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33BC3" w:rsidR="00A33BC3" w:rsidRDefault="007A76DF" w14:paraId="3B4D66FF" w14:textId="77777777">
      <w:pPr>
        <w:rPr>
          <w:rFonts w:ascii="Times New (W1)" w:hAnsi="Times New (W1)"/>
        </w:rPr>
      </w:pPr>
      <w:r w:rsidRPr="00A33BC3">
        <w:t>31288</w:t>
      </w:r>
      <w:r w:rsidRPr="00A33BC3" w:rsidR="00A33BC3">
        <w:tab/>
      </w:r>
      <w:r w:rsidRPr="00A33BC3" w:rsidR="00A33BC3">
        <w:tab/>
      </w:r>
      <w:r w:rsidRPr="00A33BC3" w:rsidR="00A33BC3">
        <w:tab/>
      </w:r>
      <w:r w:rsidRPr="00A33BC3" w:rsidR="00A33BC3">
        <w:rPr>
          <w:rFonts w:ascii="Times New (W1)" w:hAnsi="Times New (W1)"/>
        </w:rPr>
        <w:t>Hoger Onderwijs-, Onderzoek- en Wetenschapsbeleid</w:t>
      </w:r>
    </w:p>
    <w:p w:rsidRPr="00A33BC3" w:rsidR="00A33BC3" w:rsidP="00A33BC3" w:rsidRDefault="00A33BC3" w14:paraId="12BB94C3" w14:textId="4FFDE410">
      <w:pPr>
        <w:ind w:left="2124" w:hanging="2124"/>
        <w:rPr>
          <w:rFonts w:ascii="Times New Roman" w:hAnsi="Times New Roman"/>
          <w:sz w:val="24"/>
          <w:szCs w:val="24"/>
        </w:rPr>
      </w:pPr>
      <w:r w:rsidRPr="00A33BC3">
        <w:t xml:space="preserve">Nr. </w:t>
      </w:r>
      <w:r w:rsidRPr="00A33BC3">
        <w:t>1173</w:t>
      </w:r>
      <w:r w:rsidRPr="00A33BC3">
        <w:tab/>
      </w:r>
      <w:r w:rsidRPr="00A33BC3">
        <w:rPr>
          <w:sz w:val="24"/>
        </w:rPr>
        <w:t>Brief van de</w:t>
      </w:r>
      <w:r w:rsidRPr="00A33BC3">
        <w:t xml:space="preserve"> </w:t>
      </w:r>
      <w:r w:rsidRPr="00A33BC3">
        <w:rPr>
          <w:rFonts w:ascii="Times New Roman" w:hAnsi="Times New Roman"/>
          <w:sz w:val="24"/>
          <w:szCs w:val="24"/>
        </w:rPr>
        <w:t>minister van Onderwijs, Cultuur en Wetenschap</w:t>
      </w:r>
    </w:p>
    <w:p w:rsidRPr="00A33BC3" w:rsidR="00A33BC3" w:rsidP="007A76DF" w:rsidRDefault="00A33BC3" w14:paraId="0AB32B18" w14:textId="6088C33E">
      <w:r w:rsidRPr="00A33BC3">
        <w:rPr>
          <w:sz w:val="24"/>
          <w:szCs w:val="24"/>
        </w:rPr>
        <w:t>Aan de Voorzitter van de Tweede Kamer der Staten-Generaal</w:t>
      </w:r>
    </w:p>
    <w:p w:rsidRPr="00A33BC3" w:rsidR="00A33BC3" w:rsidP="007A76DF" w:rsidRDefault="00A33BC3" w14:paraId="7F230A6F" w14:textId="77777777"/>
    <w:p w:rsidRPr="00A33BC3" w:rsidR="00A33BC3" w:rsidP="007A76DF" w:rsidRDefault="00A33BC3" w14:paraId="7E6BE81A" w14:textId="15E25607">
      <w:r w:rsidRPr="00A33BC3">
        <w:t>Den Haag, 16 december 2024</w:t>
      </w:r>
    </w:p>
    <w:p w:rsidR="007A76DF" w:rsidP="007A76DF" w:rsidRDefault="007A76DF" w14:paraId="62F371C4" w14:textId="77777777"/>
    <w:p w:rsidR="007A76DF" w:rsidP="007A76DF" w:rsidRDefault="007A76DF" w14:paraId="3E449F67" w14:textId="0921716C">
      <w:r>
        <w:t>Het Landelijk Centrum Studiekeuze</w:t>
      </w:r>
      <w:r>
        <w:rPr>
          <w:rStyle w:val="Voetnootmarkering"/>
        </w:rPr>
        <w:footnoteReference w:id="1"/>
      </w:r>
      <w:r>
        <w:t xml:space="preserve"> (hierna: LCSK) is via een Aanwijzingsbesluit</w:t>
      </w:r>
      <w:r>
        <w:rPr>
          <w:rStyle w:val="Voetnootmarkering"/>
        </w:rPr>
        <w:footnoteReference w:id="2"/>
      </w:r>
      <w:r>
        <w:t xml:space="preserve"> belast met het uitvoeren van een wettelijke taak, namelijk het verzamelen en kosteloos verspreiden van objectieve, betrouwbare en vergelijkbare studiekeuze-informatie en het doen van onderzoek naar studenttevredenheid en  -betrokkenheid.</w:t>
      </w:r>
      <w:r>
        <w:rPr>
          <w:rStyle w:val="Voetnootmarkering"/>
        </w:rPr>
        <w:footnoteReference w:id="3"/>
      </w:r>
      <w:r>
        <w:t xml:space="preserve"> Het doel hiervan is dat studiekiezers laagdrempelige toegang hebben tot objectieve en vergelijkbare informatie over studies, zodat zij zich goed kunnen oriënteren en de juiste studiekeuze kunnen maken. Het LCSK wordt door het ministerie van OCW gefinancierd om deze taak uit te voeren. Het LCSK voert verschillende acties uit om aan deze taken te voldoen, zoals het beheren en onderhouden van de website studiekeuze123.nl</w:t>
      </w:r>
      <w:r>
        <w:rPr>
          <w:rStyle w:val="Voetnootmarkering"/>
        </w:rPr>
        <w:footnoteReference w:id="4"/>
      </w:r>
      <w:r>
        <w:t>, de website welkemaster.nl</w:t>
      </w:r>
      <w:r>
        <w:rPr>
          <w:rStyle w:val="Voetnootmarkering"/>
        </w:rPr>
        <w:footnoteReference w:id="5"/>
      </w:r>
      <w:r>
        <w:t xml:space="preserve"> en het uitvoeren van een jaarlijkse Nationale Studentenenquête (hierna: NSE).</w:t>
      </w:r>
      <w:r>
        <w:rPr>
          <w:rStyle w:val="Voetnootmarkering"/>
        </w:rPr>
        <w:footnoteReference w:id="6"/>
      </w:r>
    </w:p>
    <w:p w:rsidR="007A76DF" w:rsidP="007A76DF" w:rsidRDefault="007A76DF" w14:paraId="55F2AC16" w14:textId="77777777">
      <w:r>
        <w:t xml:space="preserve">Het aanwijzingsbesluit is sinds april 2020 van kracht en geeft aan dat het (werk van het) LCSK uiterlijk vijf jaar na inwerkingtreding geëvalueerd zal worden. Met deze brief informeer ik uw Kamer over deze evaluatie. </w:t>
      </w:r>
    </w:p>
    <w:p w:rsidR="007A76DF" w:rsidP="007A76DF" w:rsidRDefault="007A76DF" w14:paraId="502C819C" w14:textId="77777777">
      <w:pPr>
        <w:rPr>
          <w:i/>
          <w:iCs/>
        </w:rPr>
      </w:pPr>
      <w:r>
        <w:rPr>
          <w:i/>
          <w:iCs/>
        </w:rPr>
        <w:t>Hoofdconclusies</w:t>
      </w:r>
    </w:p>
    <w:p w:rsidR="007A76DF" w:rsidP="007A76DF" w:rsidRDefault="007A76DF" w14:paraId="56750B72" w14:textId="77777777">
      <w:r>
        <w:t xml:space="preserve">De evaluatie had tot doel om na te gaan of </w:t>
      </w:r>
    </w:p>
    <w:p w:rsidR="007A76DF" w:rsidP="007A76DF" w:rsidRDefault="007A76DF" w14:paraId="63450315" w14:textId="77777777">
      <w:pPr>
        <w:pStyle w:val="Lijstalinea"/>
        <w:numPr>
          <w:ilvl w:val="0"/>
          <w:numId w:val="1"/>
        </w:numPr>
        <w:spacing w:after="0" w:line="240" w:lineRule="atLeast"/>
      </w:pPr>
      <w:r>
        <w:t xml:space="preserve">het LCSK voldoet aan de wettelijke taken uit het uitvoeringsbesluit; </w:t>
      </w:r>
    </w:p>
    <w:p w:rsidR="007A76DF" w:rsidP="007A76DF" w:rsidRDefault="007A76DF" w14:paraId="69942155" w14:textId="77777777">
      <w:pPr>
        <w:pStyle w:val="Lijstalinea"/>
        <w:numPr>
          <w:ilvl w:val="0"/>
          <w:numId w:val="1"/>
        </w:numPr>
        <w:spacing w:after="0" w:line="240" w:lineRule="atLeast"/>
      </w:pPr>
      <w:r>
        <w:t xml:space="preserve">het LCSK haar werkwijze kan aanpassen om de doeltreffendheid; (effectiviteit) en/of doelmatigheid (efficiëntie) te vergroten; </w:t>
      </w:r>
    </w:p>
    <w:p w:rsidR="007A76DF" w:rsidP="007A76DF" w:rsidRDefault="007A76DF" w14:paraId="72CF9883" w14:textId="77777777">
      <w:pPr>
        <w:pStyle w:val="Lijstalinea"/>
        <w:numPr>
          <w:ilvl w:val="0"/>
          <w:numId w:val="1"/>
        </w:numPr>
        <w:spacing w:after="0" w:line="240" w:lineRule="atLeast"/>
      </w:pPr>
      <w:r>
        <w:t xml:space="preserve">de financiële middelen die het LCSK ontvangt in balans zijn met haar taken; </w:t>
      </w:r>
    </w:p>
    <w:p w:rsidR="007A76DF" w:rsidP="007A76DF" w:rsidRDefault="007A76DF" w14:paraId="211AC33E" w14:textId="77777777">
      <w:pPr>
        <w:pStyle w:val="Lijstalinea"/>
        <w:numPr>
          <w:ilvl w:val="0"/>
          <w:numId w:val="1"/>
        </w:numPr>
        <w:spacing w:after="0" w:line="240" w:lineRule="atLeast"/>
      </w:pPr>
      <w:r>
        <w:t>of OCW het aanwijzingsbesluit en/of de relatie met het LCSK moet herzien.</w:t>
      </w:r>
    </w:p>
    <w:p w:rsidR="007A76DF" w:rsidP="007A76DF" w:rsidRDefault="007A76DF" w14:paraId="1AC0D97F" w14:textId="77777777"/>
    <w:p w:rsidR="007A76DF" w:rsidP="007A76DF" w:rsidRDefault="007A76DF" w14:paraId="7364AAE9" w14:textId="77777777">
      <w:r>
        <w:lastRenderedPageBreak/>
        <w:t>De hoofdconclusies zijn als volgt:</w:t>
      </w:r>
    </w:p>
    <w:p w:rsidR="007A76DF" w:rsidP="007A76DF" w:rsidRDefault="007A76DF" w14:paraId="77FD9B4F" w14:textId="77777777">
      <w:pPr>
        <w:pStyle w:val="Lijstalinea"/>
        <w:numPr>
          <w:ilvl w:val="0"/>
          <w:numId w:val="2"/>
        </w:numPr>
        <w:spacing w:after="0" w:line="240" w:lineRule="atLeast"/>
      </w:pPr>
      <w:r>
        <w:t xml:space="preserve">Het LCSK functioneert, geredeneerd vanuit het aanwijzingsbesluit, doeltreffend en doelmatig. </w:t>
      </w:r>
    </w:p>
    <w:p w:rsidR="007A76DF" w:rsidP="007A76DF" w:rsidRDefault="007A76DF" w14:paraId="573C30D7" w14:textId="77777777">
      <w:pPr>
        <w:pStyle w:val="Lijstalinea"/>
        <w:numPr>
          <w:ilvl w:val="0"/>
          <w:numId w:val="2"/>
        </w:numPr>
        <w:spacing w:after="0" w:line="240" w:lineRule="atLeast"/>
      </w:pPr>
      <w:r>
        <w:t xml:space="preserve">Het LCSK voert haar taken over het algemeen goed uit en werkt actief aan het bevorderen van de toegankelijkheid, vergelijkbaarheid, betrouwbaarheid en objectiviteit van haar studiekeuze-informatie. </w:t>
      </w:r>
    </w:p>
    <w:p w:rsidR="007A76DF" w:rsidP="007A76DF" w:rsidRDefault="007A76DF" w14:paraId="3B2A8DC9" w14:textId="77777777">
      <w:pPr>
        <w:pStyle w:val="Lijstalinea"/>
        <w:numPr>
          <w:ilvl w:val="0"/>
          <w:numId w:val="2"/>
        </w:numPr>
        <w:spacing w:after="0" w:line="240" w:lineRule="atLeast"/>
      </w:pPr>
      <w:r>
        <w:t>De doelmatigheid is lastig te meten, maar de uitgaven van LCSK zijn in lijn met vergelijkbare organisaties. Er zijn geen signalen dat het LCSK ondoelmatig functioneert.</w:t>
      </w:r>
    </w:p>
    <w:p w:rsidR="007A76DF" w:rsidP="007A76DF" w:rsidRDefault="007A76DF" w14:paraId="6A8E1E26" w14:textId="77777777">
      <w:pPr>
        <w:pStyle w:val="Lijstalinea"/>
        <w:numPr>
          <w:ilvl w:val="0"/>
          <w:numId w:val="2"/>
        </w:numPr>
        <w:spacing w:after="0" w:line="240" w:lineRule="atLeast"/>
      </w:pPr>
      <w:r>
        <w:t>De werkzaamheden van LCSK, die voortvloeien uit het uitvoeringsbesluit, zijn echter niet voldoende om studiekiezers effectief richting een passende studie te begeleiden. Dit vergt meer dan de informatieproducten die LCSK onderhoudt.</w:t>
      </w:r>
    </w:p>
    <w:p w:rsidR="007A76DF" w:rsidP="007A76DF" w:rsidRDefault="007A76DF" w14:paraId="6927989B" w14:textId="77777777">
      <w:pPr>
        <w:pStyle w:val="Lijstalinea"/>
        <w:numPr>
          <w:ilvl w:val="0"/>
          <w:numId w:val="2"/>
        </w:numPr>
        <w:spacing w:after="0" w:line="240" w:lineRule="atLeast"/>
      </w:pPr>
      <w:r>
        <w:t>Het werk van LCSK en de relaties met OCW en de adviesraad (een afvaardiging van studenten en instellingen die als klankbord van het LCSK dient) zijn sterk gericht op de operationele uitvoering. Er mist een strategische dialoog tussen LCSK, OCW en de adviesraad om de taken en de rol van de organisatie in het totale studiekeuzelandschap te bespreken.</w:t>
      </w:r>
    </w:p>
    <w:p w:rsidR="007A76DF" w:rsidP="007A76DF" w:rsidRDefault="007A76DF" w14:paraId="2F16555D" w14:textId="77777777">
      <w:pPr>
        <w:pStyle w:val="Lijstalinea"/>
        <w:numPr>
          <w:ilvl w:val="0"/>
          <w:numId w:val="2"/>
        </w:numPr>
        <w:spacing w:after="0" w:line="240" w:lineRule="atLeast"/>
      </w:pPr>
      <w:r>
        <w:t>De toekomstbestendigheid van producten van het LCSK vraagt aandacht. Zo nemen websitebezoeken af, wordt het LCSK minder goed gevonden via zoekmachines en ondervindt het hierop concurrentie van instellingen.</w:t>
      </w:r>
    </w:p>
    <w:p w:rsidR="007A76DF" w:rsidP="007A76DF" w:rsidRDefault="007A76DF" w14:paraId="06D5AF93" w14:textId="77777777"/>
    <w:p w:rsidR="007A76DF" w:rsidP="007A76DF" w:rsidRDefault="007A76DF" w14:paraId="4EBD4543" w14:textId="77777777">
      <w:r>
        <w:t>De conclusies leiden tot verschillende aanbevelingen. De voornaamste aanbevelingen voor OCW en het LCSK zijn om via een strategische dialoog te reflecteren op de taken en de rol van LCSK in het studiekeuzelandschap. Daarnaast wordt geadviseerd om de toekomstbestendigheid van de producten van het LCSK te bespreken en zo nodig aan alternatieven te werken. Ook wordt geadviseerd om de subsidierelatie op dit moment niet te herzien.</w:t>
      </w:r>
    </w:p>
    <w:p w:rsidR="007A76DF" w:rsidP="007A76DF" w:rsidRDefault="007A76DF" w14:paraId="61333E1B" w14:textId="77777777">
      <w:pPr>
        <w:rPr>
          <w:i/>
          <w:iCs/>
        </w:rPr>
      </w:pPr>
      <w:r>
        <w:rPr>
          <w:i/>
          <w:iCs/>
        </w:rPr>
        <w:t>Vervolg</w:t>
      </w:r>
    </w:p>
    <w:p w:rsidR="007A76DF" w:rsidP="007A76DF" w:rsidRDefault="007A76DF" w14:paraId="05E281AE" w14:textId="77777777">
      <w:r>
        <w:t>De evaluatie schetst een helder beeld. Ik ben het met de onderzoekers eens dat het LCSK slechts één onderdeel is in het studiekeuzelandschap en dat alleen het bieden van studiekeuze-informatie via het LCSK onvoldoende is om studiekiezers goed te helpen bij het maken van de juiste studiekeuze. Ik zal de aanbevelingen daarom betrekken bij de reguliere overleggen tussen OCW en het LCSK.</w:t>
      </w:r>
    </w:p>
    <w:p w:rsidR="007A76DF" w:rsidP="007A76DF" w:rsidRDefault="007A76DF" w14:paraId="5D95AAF4" w14:textId="77777777"/>
    <w:p w:rsidR="007A76DF" w:rsidP="00A33BC3" w:rsidRDefault="007A76DF" w14:paraId="23292175" w14:textId="77777777">
      <w:pPr>
        <w:pStyle w:val="Geenafstand"/>
      </w:pPr>
      <w:r>
        <w:t>De minister van Onderwijs, Cultuur en Wetenschap,</w:t>
      </w:r>
    </w:p>
    <w:p w:rsidR="007A76DF" w:rsidP="00A33BC3" w:rsidRDefault="00A33BC3" w14:paraId="2DAA7063" w14:textId="5C280EB7">
      <w:pPr>
        <w:pStyle w:val="Geenafstand"/>
      </w:pPr>
      <w:r>
        <w:t xml:space="preserve">E.E.W. </w:t>
      </w:r>
      <w:r w:rsidR="007A76DF">
        <w:t>Bruins</w:t>
      </w:r>
    </w:p>
    <w:sectPr w:rsidR="007A76DF" w:rsidSect="007A76D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19EA4E" w14:textId="77777777" w:rsidR="007A76DF" w:rsidRDefault="007A76DF" w:rsidP="007A76DF">
      <w:pPr>
        <w:spacing w:after="0" w:line="240" w:lineRule="auto"/>
      </w:pPr>
      <w:r>
        <w:separator/>
      </w:r>
    </w:p>
  </w:endnote>
  <w:endnote w:type="continuationSeparator" w:id="0">
    <w:p w14:paraId="23A01704" w14:textId="77777777" w:rsidR="007A76DF" w:rsidRDefault="007A76DF" w:rsidP="007A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20595" w14:textId="77777777" w:rsidR="007A76DF" w:rsidRPr="007A76DF" w:rsidRDefault="007A76DF" w:rsidP="007A76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2A5456" w14:textId="77777777" w:rsidR="007A76DF" w:rsidRPr="007A76DF" w:rsidRDefault="007A76DF" w:rsidP="007A76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1F02E" w14:textId="77777777" w:rsidR="007A76DF" w:rsidRPr="007A76DF" w:rsidRDefault="007A76DF" w:rsidP="007A76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E88897" w14:textId="77777777" w:rsidR="007A76DF" w:rsidRDefault="007A76DF" w:rsidP="007A76DF">
      <w:pPr>
        <w:spacing w:after="0" w:line="240" w:lineRule="auto"/>
      </w:pPr>
      <w:r>
        <w:separator/>
      </w:r>
    </w:p>
  </w:footnote>
  <w:footnote w:type="continuationSeparator" w:id="0">
    <w:p w14:paraId="084F3F53" w14:textId="77777777" w:rsidR="007A76DF" w:rsidRDefault="007A76DF" w:rsidP="007A76DF">
      <w:pPr>
        <w:spacing w:after="0" w:line="240" w:lineRule="auto"/>
      </w:pPr>
      <w:r>
        <w:continuationSeparator/>
      </w:r>
    </w:p>
  </w:footnote>
  <w:footnote w:id="1">
    <w:p w14:paraId="055D6373" w14:textId="77777777" w:rsidR="007A76DF" w:rsidRDefault="007A76DF" w:rsidP="007A76DF">
      <w:pPr>
        <w:pStyle w:val="Voetnoottekst"/>
      </w:pPr>
      <w:r>
        <w:rPr>
          <w:rStyle w:val="Voetnootmarkering"/>
        </w:rPr>
        <w:footnoteRef/>
      </w:r>
      <w:r>
        <w:t xml:space="preserve"> Het Landelijk Centrum Studiekeuze was voorheen bekend als Stichting Studiekeuze123</w:t>
      </w:r>
    </w:p>
  </w:footnote>
  <w:footnote w:id="2">
    <w:p w14:paraId="6ABCDCE3" w14:textId="77777777" w:rsidR="007A76DF" w:rsidRDefault="007A76DF" w:rsidP="007A76DF">
      <w:pPr>
        <w:pStyle w:val="Voetnoottekst"/>
      </w:pPr>
      <w:r>
        <w:rPr>
          <w:rStyle w:val="Voetnootmarkering"/>
        </w:rPr>
        <w:footnoteRef/>
      </w:r>
      <w:r>
        <w:t xml:space="preserve"> Zie het Aanwijzingsbesluit LCSK: </w:t>
      </w:r>
      <w:hyperlink r:id="rId1" w:history="1">
        <w:r>
          <w:rPr>
            <w:rStyle w:val="Hyperlink"/>
          </w:rPr>
          <w:t>https://wetten.overheid.nl/BWBR0043412/2024-07-10</w:t>
        </w:r>
      </w:hyperlink>
      <w:r>
        <w:t xml:space="preserve"> </w:t>
      </w:r>
    </w:p>
  </w:footnote>
  <w:footnote w:id="3">
    <w:p w14:paraId="6A72CD73" w14:textId="77777777" w:rsidR="007A76DF" w:rsidRDefault="007A76DF" w:rsidP="007A76DF">
      <w:pPr>
        <w:pStyle w:val="Voetnoottekst"/>
      </w:pPr>
      <w:r>
        <w:rPr>
          <w:rStyle w:val="Voetnootmarkering"/>
        </w:rPr>
        <w:footnoteRef/>
      </w:r>
      <w:r>
        <w:t xml:space="preserve"> Artikel 7.15a WHW. Zie: </w:t>
      </w:r>
      <w:hyperlink r:id="rId2" w:history="1">
        <w:r>
          <w:rPr>
            <w:rStyle w:val="Hyperlink"/>
          </w:rPr>
          <w:t>https://wetten.overheid.nl/BWBR0005682/2024-09-01</w:t>
        </w:r>
      </w:hyperlink>
      <w:r>
        <w:t xml:space="preserve"> </w:t>
      </w:r>
    </w:p>
  </w:footnote>
  <w:footnote w:id="4">
    <w:p w14:paraId="51409E93" w14:textId="77777777" w:rsidR="007A76DF" w:rsidRDefault="007A76DF" w:rsidP="007A76DF">
      <w:pPr>
        <w:pStyle w:val="Voetnoottekst"/>
      </w:pPr>
      <w:r>
        <w:rPr>
          <w:rStyle w:val="Voetnootmarkering"/>
        </w:rPr>
        <w:footnoteRef/>
      </w:r>
      <w:r>
        <w:t xml:space="preserve"> Zie: </w:t>
      </w:r>
      <w:hyperlink r:id="rId3" w:history="1">
        <w:r>
          <w:rPr>
            <w:rStyle w:val="Hyperlink"/>
          </w:rPr>
          <w:t>www.studiekeuze123.nl</w:t>
        </w:r>
      </w:hyperlink>
      <w:r>
        <w:t xml:space="preserve"> </w:t>
      </w:r>
    </w:p>
  </w:footnote>
  <w:footnote w:id="5">
    <w:p w14:paraId="37105986" w14:textId="77777777" w:rsidR="007A76DF" w:rsidRDefault="007A76DF" w:rsidP="007A76DF">
      <w:pPr>
        <w:pStyle w:val="Voetnoottekst"/>
      </w:pPr>
      <w:r>
        <w:rPr>
          <w:rStyle w:val="Voetnootmarkering"/>
        </w:rPr>
        <w:footnoteRef/>
      </w:r>
      <w:r>
        <w:t xml:space="preserve"> Zie: </w:t>
      </w:r>
      <w:hyperlink r:id="rId4" w:history="1">
        <w:r>
          <w:rPr>
            <w:rStyle w:val="Hyperlink"/>
          </w:rPr>
          <w:t>www.welkemaster.nl</w:t>
        </w:r>
      </w:hyperlink>
      <w:r>
        <w:t xml:space="preserve"> </w:t>
      </w:r>
    </w:p>
  </w:footnote>
  <w:footnote w:id="6">
    <w:p w14:paraId="094747A5" w14:textId="77777777" w:rsidR="007A76DF" w:rsidRDefault="007A76DF" w:rsidP="007A76DF">
      <w:pPr>
        <w:pStyle w:val="Voetnoottekst"/>
      </w:pPr>
      <w:r>
        <w:rPr>
          <w:rStyle w:val="Voetnootmarkering"/>
        </w:rPr>
        <w:footnoteRef/>
      </w:r>
      <w:r>
        <w:t xml:space="preserve"> Zie: </w:t>
      </w:r>
      <w:hyperlink r:id="rId5" w:history="1">
        <w:r>
          <w:rPr>
            <w:rStyle w:val="Hyperlink"/>
          </w:rPr>
          <w:t>https://lcsk.nl/nse/</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7F3F" w14:textId="77777777" w:rsidR="007A76DF" w:rsidRPr="007A76DF" w:rsidRDefault="007A76DF" w:rsidP="007A76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68F9D" w14:textId="77777777" w:rsidR="007A76DF" w:rsidRPr="007A76DF" w:rsidRDefault="007A76DF" w:rsidP="007A76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97729" w14:textId="77777777" w:rsidR="007A76DF" w:rsidRPr="007A76DF" w:rsidRDefault="007A76DF" w:rsidP="007A76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31A3E"/>
    <w:multiLevelType w:val="hybridMultilevel"/>
    <w:tmpl w:val="7B60A784"/>
    <w:lvl w:ilvl="0" w:tplc="7262AFDE">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1607780"/>
    <w:multiLevelType w:val="hybridMultilevel"/>
    <w:tmpl w:val="CF94FED2"/>
    <w:lvl w:ilvl="0" w:tplc="E6502EE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44939056">
    <w:abstractNumId w:val="1"/>
  </w:num>
  <w:num w:numId="2" w16cid:durableId="1917128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DF"/>
    <w:rsid w:val="00186EC8"/>
    <w:rsid w:val="0025703A"/>
    <w:rsid w:val="00357BDE"/>
    <w:rsid w:val="007A76DF"/>
    <w:rsid w:val="00A33BC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6992"/>
  <w15:chartTrackingRefBased/>
  <w15:docId w15:val="{C37C4202-4A68-4B27-938B-C497F02BF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76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76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76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76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76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76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76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76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76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76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76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76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76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76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76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76DF"/>
    <w:rPr>
      <w:rFonts w:eastAsiaTheme="majorEastAsia" w:cstheme="majorBidi"/>
      <w:color w:val="272727" w:themeColor="text1" w:themeTint="D8"/>
    </w:rPr>
  </w:style>
  <w:style w:type="paragraph" w:styleId="Titel">
    <w:name w:val="Title"/>
    <w:basedOn w:val="Standaard"/>
    <w:next w:val="Standaard"/>
    <w:link w:val="TitelChar"/>
    <w:uiPriority w:val="10"/>
    <w:qFormat/>
    <w:rsid w:val="007A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76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76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76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76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76DF"/>
    <w:rPr>
      <w:i/>
      <w:iCs/>
      <w:color w:val="404040" w:themeColor="text1" w:themeTint="BF"/>
    </w:rPr>
  </w:style>
  <w:style w:type="paragraph" w:styleId="Lijstalinea">
    <w:name w:val="List Paragraph"/>
    <w:basedOn w:val="Standaard"/>
    <w:uiPriority w:val="34"/>
    <w:qFormat/>
    <w:rsid w:val="007A76DF"/>
    <w:pPr>
      <w:ind w:left="720"/>
      <w:contextualSpacing/>
    </w:pPr>
  </w:style>
  <w:style w:type="character" w:styleId="Intensievebenadrukking">
    <w:name w:val="Intense Emphasis"/>
    <w:basedOn w:val="Standaardalinea-lettertype"/>
    <w:uiPriority w:val="21"/>
    <w:qFormat/>
    <w:rsid w:val="007A76DF"/>
    <w:rPr>
      <w:i/>
      <w:iCs/>
      <w:color w:val="0F4761" w:themeColor="accent1" w:themeShade="BF"/>
    </w:rPr>
  </w:style>
  <w:style w:type="paragraph" w:styleId="Duidelijkcitaat">
    <w:name w:val="Intense Quote"/>
    <w:basedOn w:val="Standaard"/>
    <w:next w:val="Standaard"/>
    <w:link w:val="DuidelijkcitaatChar"/>
    <w:uiPriority w:val="30"/>
    <w:qFormat/>
    <w:rsid w:val="007A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76DF"/>
    <w:rPr>
      <w:i/>
      <w:iCs/>
      <w:color w:val="0F4761" w:themeColor="accent1" w:themeShade="BF"/>
    </w:rPr>
  </w:style>
  <w:style w:type="character" w:styleId="Intensieveverwijzing">
    <w:name w:val="Intense Reference"/>
    <w:basedOn w:val="Standaardalinea-lettertype"/>
    <w:uiPriority w:val="32"/>
    <w:qFormat/>
    <w:rsid w:val="007A76DF"/>
    <w:rPr>
      <w:b/>
      <w:bCs/>
      <w:smallCaps/>
      <w:color w:val="0F4761" w:themeColor="accent1" w:themeShade="BF"/>
      <w:spacing w:val="5"/>
    </w:rPr>
  </w:style>
  <w:style w:type="paragraph" w:styleId="Koptekst">
    <w:name w:val="header"/>
    <w:basedOn w:val="Standaard"/>
    <w:link w:val="KoptekstChar"/>
    <w:rsid w:val="007A7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A76D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A76D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A76D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A76D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76DF"/>
    <w:rPr>
      <w:rFonts w:ascii="Verdana" w:hAnsi="Verdana"/>
      <w:noProof/>
      <w:sz w:val="13"/>
      <w:szCs w:val="24"/>
      <w:lang w:eastAsia="nl-NL"/>
    </w:rPr>
  </w:style>
  <w:style w:type="paragraph" w:customStyle="1" w:styleId="Huisstijl-Gegeven">
    <w:name w:val="Huisstijl-Gegeven"/>
    <w:basedOn w:val="Standaard"/>
    <w:link w:val="Huisstijl-GegevenCharChar"/>
    <w:rsid w:val="007A76D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76D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A76DF"/>
    <w:rPr>
      <w:color w:val="0000FF"/>
      <w:u w:val="single"/>
    </w:rPr>
  </w:style>
  <w:style w:type="character" w:customStyle="1" w:styleId="Huisstijl-AdresChar">
    <w:name w:val="Huisstijl-Adres Char"/>
    <w:link w:val="Huisstijl-Adres"/>
    <w:locked/>
    <w:rsid w:val="007A76DF"/>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A76D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A76D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A76DF"/>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A76DF"/>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nhideWhenUsed/>
    <w:rsid w:val="007A76DF"/>
    <w:rPr>
      <w:vertAlign w:val="superscript"/>
    </w:rPr>
  </w:style>
  <w:style w:type="paragraph" w:styleId="Geenafstand">
    <w:name w:val="No Spacing"/>
    <w:uiPriority w:val="1"/>
    <w:qFormat/>
    <w:rsid w:val="00A33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studiekeuze123.nl" TargetMode="External"/><Relationship Id="rId2" Type="http://schemas.openxmlformats.org/officeDocument/2006/relationships/hyperlink" Target="https://wetten.overheid.nl/BWBR0005682/2024-09-01" TargetMode="External"/><Relationship Id="rId1" Type="http://schemas.openxmlformats.org/officeDocument/2006/relationships/hyperlink" Target="https://wetten.overheid.nl/BWBR0043412/2024-07-10" TargetMode="External"/><Relationship Id="rId5" Type="http://schemas.openxmlformats.org/officeDocument/2006/relationships/hyperlink" Target="https://lcsk.nl/nse/" TargetMode="External"/><Relationship Id="rId4" Type="http://schemas.openxmlformats.org/officeDocument/2006/relationships/hyperlink" Target="http://www.welkemast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595</ap:Words>
  <ap:Characters>3275</ap:Characters>
  <ap:DocSecurity>0</ap:DocSecurity>
  <ap:Lines>27</ap:Lines>
  <ap:Paragraphs>7</ap:Paragraphs>
  <ap:ScaleCrop>false</ap:ScaleCrop>
  <ap:LinksUpToDate>false</ap:LinksUpToDate>
  <ap:CharactersWithSpaces>3863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2025-01-07T12:12:00.0000000Z</lastPrinted>
  <dcterms:created xsi:type="dcterms:W3CDTF">2025-01-07T12:12:00.0000000Z</dcterms:created>
  <dcterms:modified xsi:type="dcterms:W3CDTF">2025-01-07T12:12:00.0000000Z</dcterms:modified>
  <version/>
  <category/>
</coreProperties>
</file>