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95FCF" w:rsidR="00A77330" w:rsidP="00E66670" w:rsidRDefault="00A77330" w14:paraId="1CC16BF8" w14:textId="5454436C">
      <w:pPr>
        <w:rPr>
          <w:szCs w:val="18"/>
        </w:rPr>
      </w:pPr>
      <w:r>
        <w:rPr>
          <w:szCs w:val="18"/>
        </w:rPr>
        <w:t xml:space="preserve">Geachte </w:t>
      </w:r>
      <w:r w:rsidR="00E66670">
        <w:rPr>
          <w:szCs w:val="18"/>
        </w:rPr>
        <w:t>V</w:t>
      </w:r>
      <w:r>
        <w:rPr>
          <w:szCs w:val="18"/>
        </w:rPr>
        <w:t>oorzitter,</w:t>
      </w:r>
      <w:r>
        <w:br/>
      </w:r>
    </w:p>
    <w:p w:rsidRPr="00923A9C" w:rsidR="00A77330" w:rsidP="00E66670" w:rsidRDefault="00A77330" w14:paraId="4357BAEC" w14:textId="74FBAFDE">
      <w:pPr>
        <w:rPr>
          <w:szCs w:val="18"/>
        </w:rPr>
      </w:pPr>
      <w:bookmarkStart w:name="_Hlk184031438" w:id="0"/>
      <w:r w:rsidRPr="00923A9C">
        <w:rPr>
          <w:szCs w:val="18"/>
        </w:rPr>
        <w:t>Met deze brief informe</w:t>
      </w:r>
      <w:r>
        <w:rPr>
          <w:szCs w:val="18"/>
        </w:rPr>
        <w:t>e</w:t>
      </w:r>
      <w:r w:rsidRPr="00923A9C">
        <w:rPr>
          <w:szCs w:val="18"/>
        </w:rPr>
        <w:t xml:space="preserve">r </w:t>
      </w:r>
      <w:r>
        <w:rPr>
          <w:szCs w:val="18"/>
        </w:rPr>
        <w:t>ik</w:t>
      </w:r>
      <w:r w:rsidRPr="00923A9C">
        <w:rPr>
          <w:szCs w:val="18"/>
        </w:rPr>
        <w:t xml:space="preserve"> u over de voorziene begrotingswijzigingen ten opzichte van de tweede suppletoire begroting 202</w:t>
      </w:r>
      <w:r>
        <w:rPr>
          <w:szCs w:val="18"/>
        </w:rPr>
        <w:t>4</w:t>
      </w:r>
      <w:r w:rsidRPr="00923A9C">
        <w:rPr>
          <w:szCs w:val="18"/>
        </w:rPr>
        <w:t xml:space="preserve"> van het </w:t>
      </w:r>
      <w:r w:rsidR="00E66670">
        <w:rPr>
          <w:szCs w:val="18"/>
        </w:rPr>
        <w:t>m</w:t>
      </w:r>
      <w:r w:rsidRPr="00923A9C">
        <w:rPr>
          <w:szCs w:val="18"/>
        </w:rPr>
        <w:t xml:space="preserve">inisterie van Landbouw, </w:t>
      </w:r>
      <w:r>
        <w:rPr>
          <w:szCs w:val="18"/>
        </w:rPr>
        <w:t>Natuur en Voedselkwaliteit (XIV)</w:t>
      </w:r>
      <w:r w:rsidRPr="00923A9C">
        <w:rPr>
          <w:szCs w:val="18"/>
        </w:rPr>
        <w:t xml:space="preserve"> en het Diergezondheidsfonds</w:t>
      </w:r>
      <w:r>
        <w:rPr>
          <w:szCs w:val="18"/>
        </w:rPr>
        <w:t xml:space="preserve"> (F).</w:t>
      </w:r>
      <w:r w:rsidRPr="00923A9C">
        <w:rPr>
          <w:szCs w:val="18"/>
        </w:rPr>
        <w:t xml:space="preserve"> De definitieve realisatiecijfers kunnen mogelijk afwijken en worden verwerkt in de Slotwet 202</w:t>
      </w:r>
      <w:r>
        <w:rPr>
          <w:szCs w:val="18"/>
        </w:rPr>
        <w:t>4</w:t>
      </w:r>
      <w:r w:rsidRPr="00923A9C">
        <w:rPr>
          <w:szCs w:val="18"/>
        </w:rPr>
        <w:t xml:space="preserve">. </w:t>
      </w:r>
    </w:p>
    <w:p w:rsidRPr="00361AEB" w:rsidR="00A77330" w:rsidP="00E66670" w:rsidRDefault="00A77330" w14:paraId="44AC8F1B" w14:textId="77777777"/>
    <w:p w:rsidRPr="006B14E5" w:rsidR="00A77330" w:rsidP="00E66670" w:rsidRDefault="00A77330" w14:paraId="2AFAD713" w14:textId="77777777">
      <w:pPr>
        <w:rPr>
          <w:b/>
          <w:bCs/>
        </w:rPr>
      </w:pPr>
      <w:r w:rsidRPr="006B14E5">
        <w:rPr>
          <w:b/>
          <w:bCs/>
        </w:rPr>
        <w:t>Artikel 22: Natuur, visserij en gebiedsgericht werken</w:t>
      </w:r>
    </w:p>
    <w:p w:rsidR="00A77330" w:rsidP="00E66670" w:rsidRDefault="00A77330" w14:paraId="7419CCB1" w14:textId="77777777">
      <w:pPr>
        <w:rPr>
          <w:b/>
          <w:bCs/>
        </w:rPr>
      </w:pPr>
    </w:p>
    <w:p w:rsidRPr="000D3E57" w:rsidR="00A77330" w:rsidP="00E66670" w:rsidRDefault="00A77330" w14:paraId="1CCE8582" w14:textId="77777777">
      <w:pPr>
        <w:rPr>
          <w:u w:val="single"/>
        </w:rPr>
      </w:pPr>
      <w:r w:rsidRPr="000D3E57">
        <w:rPr>
          <w:u w:val="single"/>
        </w:rPr>
        <w:t>Verplichtingen</w:t>
      </w:r>
    </w:p>
    <w:p w:rsidR="00A77330" w:rsidP="00E66670" w:rsidRDefault="00A77330" w14:paraId="39E49296" w14:textId="77777777">
      <w:r>
        <w:t xml:space="preserve">De verplichtingen op </w:t>
      </w:r>
      <w:r>
        <w:rPr>
          <w:i/>
          <w:iCs/>
        </w:rPr>
        <w:t>S</w:t>
      </w:r>
      <w:r w:rsidRPr="000D3E57">
        <w:rPr>
          <w:i/>
          <w:iCs/>
        </w:rPr>
        <w:t>ubsidies</w:t>
      </w:r>
      <w:r>
        <w:t xml:space="preserve"> stijgen met € 53 mln. De oorzaak hiervoor is het abusievelijk niet herschikken van het verplichtingenbudget tussen GLB-subsidies, het Ecologisch Impulspakket Wadden en de Regeling Versneld Natuurherstel enerzijds, en de </w:t>
      </w:r>
      <w:r>
        <w:rPr>
          <w:i/>
          <w:iCs/>
        </w:rPr>
        <w:t xml:space="preserve">Bijdrage aan medeoverheden </w:t>
      </w:r>
      <w:r w:rsidRPr="00C91BFD">
        <w:t>voor</w:t>
      </w:r>
      <w:r>
        <w:rPr>
          <w:i/>
          <w:iCs/>
        </w:rPr>
        <w:t xml:space="preserve"> </w:t>
      </w:r>
      <w:r>
        <w:t xml:space="preserve">het Programma Natuur anderzijds. </w:t>
      </w:r>
    </w:p>
    <w:p w:rsidR="00A77330" w:rsidP="00E66670" w:rsidRDefault="00A77330" w14:paraId="10D84D7A" w14:textId="77777777"/>
    <w:p w:rsidR="00A77330" w:rsidP="00E66670" w:rsidRDefault="00A77330" w14:paraId="5520F1A6" w14:textId="77777777">
      <w:r>
        <w:t xml:space="preserve">De verplichtingen op </w:t>
      </w:r>
      <w:r>
        <w:rPr>
          <w:i/>
          <w:iCs/>
        </w:rPr>
        <w:t>O</w:t>
      </w:r>
      <w:r w:rsidRPr="000D3E57">
        <w:rPr>
          <w:i/>
          <w:iCs/>
        </w:rPr>
        <w:t>pdrachten</w:t>
      </w:r>
      <w:r>
        <w:t xml:space="preserve"> stijgen met € 2,6 mln., omdat er dit jaar verplichtingen worden aangegaan voor Versterking Noordzee Ecosysteem die aanvankelijk in 2025 werden verwacht. Hier is sprake van een versnelling, niet van extra verplichtingen. </w:t>
      </w:r>
    </w:p>
    <w:p w:rsidR="00A77330" w:rsidP="00E66670" w:rsidRDefault="00A77330" w14:paraId="6BE34D36" w14:textId="77777777"/>
    <w:p w:rsidR="00A77330" w:rsidP="00E66670" w:rsidRDefault="00A77330" w14:paraId="0A15FDA4" w14:textId="77777777">
      <w:r>
        <w:t xml:space="preserve">De verplichtingen op </w:t>
      </w:r>
      <w:r>
        <w:rPr>
          <w:i/>
          <w:iCs/>
        </w:rPr>
        <w:t>B</w:t>
      </w:r>
      <w:r w:rsidRPr="000D3E57">
        <w:rPr>
          <w:i/>
          <w:iCs/>
        </w:rPr>
        <w:t>ijdrage aan agentschappen</w:t>
      </w:r>
      <w:r>
        <w:t xml:space="preserve"> vallen € 0,6 mln. hoger uit dan eerder is geraamd. De oorzaak hiervoor is dat er dit jaar verplichtingen worden aangegaan voor Uitvoeringskosten Nationale Grondbank die aanvankelijk in 2025 werden verwacht.</w:t>
      </w:r>
    </w:p>
    <w:p w:rsidRPr="00473CCC" w:rsidR="00A77330" w:rsidP="00E66670" w:rsidRDefault="00A77330" w14:paraId="08B03B26" w14:textId="1C679D17">
      <w:r>
        <w:t xml:space="preserve">De verplichtingen op </w:t>
      </w:r>
      <w:r>
        <w:rPr>
          <w:i/>
          <w:iCs/>
        </w:rPr>
        <w:t>Bijdrage aan medeoverheden</w:t>
      </w:r>
      <w:r>
        <w:t xml:space="preserve"> vallen</w:t>
      </w:r>
      <w:r w:rsidR="00473CCC">
        <w:t xml:space="preserve"> onder meer</w:t>
      </w:r>
      <w:r>
        <w:t xml:space="preserve"> door het niet herschikken met </w:t>
      </w:r>
      <w:r w:rsidRPr="00473CCC">
        <w:rPr>
          <w:i/>
          <w:iCs/>
        </w:rPr>
        <w:t xml:space="preserve">Subsidies </w:t>
      </w:r>
      <w:r w:rsidRPr="00473CCC">
        <w:t xml:space="preserve">€ </w:t>
      </w:r>
      <w:r w:rsidRPr="00473CCC" w:rsidR="00420BDA">
        <w:t>86</w:t>
      </w:r>
      <w:r w:rsidRPr="00473CCC">
        <w:t xml:space="preserve"> mln. lager uit, waardoor de totale verplichtingen op artikel 22 lager uitvallen dan begroot.</w:t>
      </w:r>
    </w:p>
    <w:p w:rsidRPr="00A10E7E" w:rsidR="00A77330" w:rsidP="00E66670" w:rsidRDefault="00A77330" w14:paraId="6BD9C79D" w14:textId="77777777"/>
    <w:p w:rsidRPr="00C00659" w:rsidR="00A77330" w:rsidP="00E66670" w:rsidRDefault="00A77330" w14:paraId="1CCBD5B0" w14:textId="77777777">
      <w:pPr>
        <w:rPr>
          <w:b/>
          <w:bCs/>
        </w:rPr>
      </w:pPr>
      <w:r w:rsidRPr="00C00659">
        <w:rPr>
          <w:b/>
          <w:bCs/>
        </w:rPr>
        <w:t>Artikel 24</w:t>
      </w:r>
      <w:r>
        <w:rPr>
          <w:b/>
          <w:bCs/>
        </w:rPr>
        <w:t>: Uitvoering en toezicht</w:t>
      </w:r>
    </w:p>
    <w:p w:rsidR="00A77330" w:rsidP="00E66670" w:rsidRDefault="00A77330" w14:paraId="52D179F5" w14:textId="77777777"/>
    <w:p w:rsidR="00A77330" w:rsidP="00E66670" w:rsidRDefault="00A77330" w14:paraId="49408E9C" w14:textId="77777777">
      <w:pPr>
        <w:rPr>
          <w:u w:val="single"/>
        </w:rPr>
      </w:pPr>
      <w:r>
        <w:rPr>
          <w:u w:val="single"/>
        </w:rPr>
        <w:t>Uitgaven</w:t>
      </w:r>
    </w:p>
    <w:p w:rsidRPr="003D4373" w:rsidR="00A77330" w:rsidP="00E66670" w:rsidRDefault="00A77330" w14:paraId="4CABD202" w14:textId="77777777"/>
    <w:p w:rsidRPr="003D4373" w:rsidR="00A77330" w:rsidP="00E66670" w:rsidRDefault="00A77330" w14:paraId="76A480AC" w14:textId="77777777">
      <w:pPr>
        <w:rPr>
          <w:i/>
          <w:iCs/>
        </w:rPr>
      </w:pPr>
      <w:r w:rsidRPr="003D4373">
        <w:rPr>
          <w:i/>
          <w:iCs/>
        </w:rPr>
        <w:t xml:space="preserve">Bijdrage </w:t>
      </w:r>
      <w:r>
        <w:rPr>
          <w:i/>
          <w:iCs/>
        </w:rPr>
        <w:t>aan agentschappen</w:t>
      </w:r>
    </w:p>
    <w:p w:rsidR="00A77330" w:rsidP="00E66670" w:rsidRDefault="00A77330" w14:paraId="1FE9408B" w14:textId="77777777">
      <w:r>
        <w:lastRenderedPageBreak/>
        <w:t xml:space="preserve">Naar verwachting vallen de verplichtingen en uitgaven op artikel 24 hoger uit dan begroot (€ 0,7 mln.). Dit komt door een hogere bijdrage aan de NVWA vanuit Natuur en Visserij voor verscheidene uit te voeren taken. </w:t>
      </w:r>
    </w:p>
    <w:p w:rsidR="00A77330" w:rsidP="00E66670" w:rsidRDefault="00A77330" w14:paraId="525DEA4A" w14:textId="77777777"/>
    <w:p w:rsidRPr="003D4373" w:rsidR="00A77330" w:rsidP="00E66670" w:rsidRDefault="00A77330" w14:paraId="77F1F1E5" w14:textId="77777777">
      <w:pPr>
        <w:rPr>
          <w:u w:val="single"/>
        </w:rPr>
      </w:pPr>
      <w:r w:rsidRPr="003D4373">
        <w:rPr>
          <w:u w:val="single"/>
        </w:rPr>
        <w:t>Ontvangsten</w:t>
      </w:r>
    </w:p>
    <w:p w:rsidR="00A77330" w:rsidP="00E66670" w:rsidRDefault="00A77330" w14:paraId="17D9D64E" w14:textId="77777777"/>
    <w:p w:rsidR="00A77330" w:rsidP="00E66670" w:rsidRDefault="00A77330" w14:paraId="1AFF2868" w14:textId="55D3F0C6">
      <w:r>
        <w:t>De ontvangsten op artikel 24 vallen € 0,5 mln. lager uit dan verwacht. Dit komt door een verrekening met de bijdrage aan</w:t>
      </w:r>
      <w:r w:rsidR="00E66670">
        <w:t xml:space="preserve"> </w:t>
      </w:r>
      <w:r>
        <w:t>Bureau Beheer Landbouwgronden met de R</w:t>
      </w:r>
      <w:r w:rsidR="00E66670">
        <w:t>ijksdienst voor Ondernemend Nederland</w:t>
      </w:r>
      <w:r>
        <w:t>.</w:t>
      </w:r>
    </w:p>
    <w:bookmarkEnd w:id="0"/>
    <w:p w:rsidR="00A77330" w:rsidP="00E66670" w:rsidRDefault="00A77330" w14:paraId="49BDEEDA" w14:textId="77777777"/>
    <w:p w:rsidR="00A77330" w:rsidP="00E66670" w:rsidRDefault="00A77330" w14:paraId="16810F91" w14:textId="77777777">
      <w:r>
        <w:t>Hoogachtend,</w:t>
      </w:r>
    </w:p>
    <w:p w:rsidRPr="00EC58D9" w:rsidR="00A77330" w:rsidP="00E66670" w:rsidRDefault="00A77330" w14:paraId="703EF681" w14:textId="77777777"/>
    <w:p w:rsidRPr="00EC58D9" w:rsidR="00A77330" w:rsidP="00E66670" w:rsidRDefault="00A77330" w14:paraId="3A83A1FC" w14:textId="77777777"/>
    <w:p w:rsidR="00A77330" w:rsidP="00E66670" w:rsidRDefault="00A77330" w14:paraId="66EA0268" w14:textId="77777777"/>
    <w:p w:rsidR="00A77330" w:rsidP="00E66670" w:rsidRDefault="00A77330" w14:paraId="3A6B4306" w14:textId="77777777"/>
    <w:p w:rsidRPr="00EC58D9" w:rsidR="00E66670" w:rsidP="00E66670" w:rsidRDefault="00E66670" w14:paraId="01C50A7B" w14:textId="77777777"/>
    <w:p w:rsidRPr="006A15A5" w:rsidR="00A77330" w:rsidP="00E66670" w:rsidRDefault="00A77330" w14:paraId="3FF6FE98" w14:textId="77777777">
      <w:pPr>
        <w:rPr>
          <w:szCs w:val="18"/>
        </w:rPr>
      </w:pPr>
      <w:r w:rsidRPr="00B11DD6">
        <w:t>Femke Marije Wiersma</w:t>
      </w:r>
    </w:p>
    <w:p w:rsidR="00A77330" w:rsidP="00E66670" w:rsidRDefault="00A77330" w14:paraId="0191D6A7" w14:textId="77777777">
      <w:r w:rsidRPr="00EC58D9">
        <w:t xml:space="preserve">Minister van </w:t>
      </w:r>
      <w:r>
        <w:rPr>
          <w:rFonts w:cs="Calibri"/>
          <w:szCs w:val="18"/>
        </w:rPr>
        <w:t>Landbouw, Visserij, Voedselzekerheid en Natuur</w:t>
      </w:r>
    </w:p>
    <w:p w:rsidRPr="00006C01" w:rsidR="00A77330" w:rsidP="00E66670" w:rsidRDefault="00A77330" w14:paraId="52E47871" w14:textId="77777777"/>
    <w:p w:rsidR="00A77330" w:rsidP="00E66670" w:rsidRDefault="00A77330" w14:paraId="21ED7499" w14:textId="77777777"/>
    <w:p w:rsidRPr="00A77330" w:rsidR="00377C58" w:rsidP="00E66670" w:rsidRDefault="00377C58" w14:paraId="0A16CC54" w14:textId="77777777"/>
    <w:sectPr w:rsidRPr="00A77330" w:rsidR="00377C5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D7938" w14:textId="77777777" w:rsidR="00871C24" w:rsidRDefault="00871C24">
      <w:r>
        <w:separator/>
      </w:r>
    </w:p>
    <w:p w14:paraId="1DB0161D" w14:textId="77777777" w:rsidR="00871C24" w:rsidRDefault="00871C24"/>
  </w:endnote>
  <w:endnote w:type="continuationSeparator" w:id="0">
    <w:p w14:paraId="334EF233" w14:textId="77777777" w:rsidR="00871C24" w:rsidRDefault="00871C24">
      <w:r>
        <w:continuationSeparator/>
      </w:r>
    </w:p>
    <w:p w14:paraId="76AE64D7" w14:textId="77777777" w:rsidR="00871C24" w:rsidRDefault="00871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4A7F" w14:textId="77777777" w:rsidR="00E66670" w:rsidRDefault="00E6667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9B31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B6B08" w14:paraId="7BD9A57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DA7D0BF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9FFF7FE" w14:textId="1593CF2D" w:rsidR="00527BD4" w:rsidRPr="00645414" w:rsidRDefault="008A0F9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0A4A76">
              <w:t>2</w:t>
            </w:r>
          </w:fldSimple>
        </w:p>
      </w:tc>
    </w:tr>
  </w:tbl>
  <w:p w14:paraId="67AE7A8F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B6B08" w14:paraId="5F167D5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AD8BAB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780B116" w14:textId="157E3D28" w:rsidR="00527BD4" w:rsidRPr="00ED539E" w:rsidRDefault="008A0F9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871C24">
              <w:t>1</w:t>
            </w:r>
          </w:fldSimple>
        </w:p>
      </w:tc>
    </w:tr>
  </w:tbl>
  <w:p w14:paraId="7CD294F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5A8DFC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8831A" w14:textId="77777777" w:rsidR="00871C24" w:rsidRDefault="00871C24">
      <w:r>
        <w:separator/>
      </w:r>
    </w:p>
    <w:p w14:paraId="2AAA3F5C" w14:textId="77777777" w:rsidR="00871C24" w:rsidRDefault="00871C24"/>
  </w:footnote>
  <w:footnote w:type="continuationSeparator" w:id="0">
    <w:p w14:paraId="14929EA6" w14:textId="77777777" w:rsidR="00871C24" w:rsidRDefault="00871C24">
      <w:r>
        <w:continuationSeparator/>
      </w:r>
    </w:p>
    <w:p w14:paraId="57DD14FA" w14:textId="77777777" w:rsidR="00871C24" w:rsidRDefault="00871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51B95" w14:textId="77777777" w:rsidR="00E66670" w:rsidRDefault="00E6667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B6B08" w14:paraId="46A7CDC0" w14:textId="77777777" w:rsidTr="00A50CF6">
      <w:tc>
        <w:tcPr>
          <w:tcW w:w="2156" w:type="dxa"/>
          <w:shd w:val="clear" w:color="auto" w:fill="auto"/>
        </w:tcPr>
        <w:p w14:paraId="32822A91" w14:textId="77777777" w:rsidR="00527BD4" w:rsidRPr="005819CE" w:rsidRDefault="008A0F9D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6B6B08" w14:paraId="7349094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E8D06C2" w14:textId="77777777" w:rsidR="00527BD4" w:rsidRPr="005819CE" w:rsidRDefault="00527BD4" w:rsidP="00A50CF6"/>
      </w:tc>
    </w:tr>
    <w:tr w:rsidR="006B6B08" w14:paraId="4344C90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3F6E474" w14:textId="77777777" w:rsidR="00527BD4" w:rsidRDefault="008A0F9D" w:rsidP="003A5290">
          <w:pPr>
            <w:pStyle w:val="Huisstijl-Kopje"/>
          </w:pPr>
          <w:r>
            <w:t>Ons kenmerk</w:t>
          </w:r>
        </w:p>
        <w:p w14:paraId="41A71E5E" w14:textId="2EBBA834" w:rsidR="00527BD4" w:rsidRPr="005819CE" w:rsidRDefault="008A0F9D" w:rsidP="001E6117">
          <w:pPr>
            <w:pStyle w:val="Huisstijl-Kopje"/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871C2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fldChar w:fldCharType="end"/>
              </w:r>
            </w:sdtContent>
          </w:sdt>
          <w:r w:rsidR="00E66670" w:rsidRPr="00E66670">
            <w:rPr>
              <w:b w:val="0"/>
              <w:bCs/>
            </w:rPr>
            <w:t>95793021</w:t>
          </w:r>
        </w:p>
      </w:tc>
    </w:tr>
  </w:tbl>
  <w:p w14:paraId="40E0D2F5" w14:textId="77777777" w:rsidR="00527BD4" w:rsidRDefault="00527BD4" w:rsidP="008C356D"/>
  <w:p w14:paraId="0C09CA70" w14:textId="77777777" w:rsidR="00527BD4" w:rsidRPr="00740712" w:rsidRDefault="00527BD4" w:rsidP="008C356D"/>
  <w:p w14:paraId="6EA7DE76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90E426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316A58F" w14:textId="77777777" w:rsidR="00527BD4" w:rsidRDefault="00527BD4" w:rsidP="004F44C2"/>
  <w:p w14:paraId="46DA62F9" w14:textId="77777777" w:rsidR="00527BD4" w:rsidRPr="00740712" w:rsidRDefault="00527BD4" w:rsidP="004F44C2"/>
  <w:p w14:paraId="4313C66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B6B08" w14:paraId="5F1CBB9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DD38E0D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7FD651C" w14:textId="77777777" w:rsidR="00527BD4" w:rsidRDefault="008A0F9D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971B0FE" wp14:editId="699FB4DF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55503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FF34F4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B6B08" w14:paraId="32F4288A" w14:textId="77777777" w:rsidTr="00A50CF6">
      <w:tc>
        <w:tcPr>
          <w:tcW w:w="2160" w:type="dxa"/>
          <w:shd w:val="clear" w:color="auto" w:fill="auto"/>
        </w:tcPr>
        <w:p w14:paraId="543650F5" w14:textId="77777777" w:rsidR="00527BD4" w:rsidRPr="005819CE" w:rsidRDefault="008A0F9D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42CC96E1" w14:textId="77777777" w:rsidR="00527BD4" w:rsidRPr="00BE5ED9" w:rsidRDefault="008A0F9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DC50157" w14:textId="77777777" w:rsidR="00EF495B" w:rsidRDefault="008A0F9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9D14B02" w14:textId="77777777" w:rsidR="00556BEE" w:rsidRPr="005B3814" w:rsidRDefault="008A0F9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089ABA92" w14:textId="6DADC8D9" w:rsidR="00527BD4" w:rsidRPr="00E66670" w:rsidRDefault="008A0F9D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6B6B08" w14:paraId="09DF6991" w14:textId="77777777" w:rsidTr="00E66670">
      <w:trPr>
        <w:trHeight w:hRule="exact" w:val="80"/>
      </w:trPr>
      <w:tc>
        <w:tcPr>
          <w:tcW w:w="2160" w:type="dxa"/>
          <w:shd w:val="clear" w:color="auto" w:fill="auto"/>
        </w:tcPr>
        <w:p w14:paraId="5BC40422" w14:textId="77777777" w:rsidR="00527BD4" w:rsidRPr="005819CE" w:rsidRDefault="00527BD4" w:rsidP="00A50CF6"/>
      </w:tc>
    </w:tr>
    <w:tr w:rsidR="006B6B08" w14:paraId="3D0E13F7" w14:textId="77777777" w:rsidTr="00A50CF6">
      <w:tc>
        <w:tcPr>
          <w:tcW w:w="2160" w:type="dxa"/>
          <w:shd w:val="clear" w:color="auto" w:fill="auto"/>
        </w:tcPr>
        <w:p w14:paraId="5AE191A7" w14:textId="77777777" w:rsidR="000C0163" w:rsidRPr="005819CE" w:rsidRDefault="008A0F9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A9D936E" w14:textId="77777777" w:rsidR="000C0163" w:rsidRPr="005819CE" w:rsidRDefault="008A0F9D" w:rsidP="000C0163">
          <w:pPr>
            <w:pStyle w:val="Huisstijl-Gegeven"/>
          </w:pPr>
          <w:r>
            <w:t>FEZ /</w:t>
          </w:r>
          <w:r w:rsidR="00486354">
            <w:t xml:space="preserve"> </w:t>
          </w:r>
          <w:r>
            <w:t>95793021</w:t>
          </w:r>
        </w:p>
        <w:p w14:paraId="6BC699FB" w14:textId="43B5B8D8" w:rsidR="00527BD4" w:rsidRPr="005819CE" w:rsidRDefault="00527BD4" w:rsidP="00E66670">
          <w:pPr>
            <w:pStyle w:val="Huisstijl-Kopje"/>
          </w:pPr>
        </w:p>
      </w:tc>
    </w:tr>
  </w:tbl>
  <w:p w14:paraId="6020C63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B6B08" w14:paraId="7DA9C719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46123DD" w14:textId="77777777" w:rsidR="00527BD4" w:rsidRPr="00BC3B53" w:rsidRDefault="008A0F9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B6B08" w14:paraId="673E0A29" w14:textId="77777777" w:rsidTr="009E2051">
      <w:tc>
        <w:tcPr>
          <w:tcW w:w="7520" w:type="dxa"/>
          <w:gridSpan w:val="2"/>
          <w:shd w:val="clear" w:color="auto" w:fill="auto"/>
        </w:tcPr>
        <w:p w14:paraId="754806E9" w14:textId="77777777" w:rsidR="00527BD4" w:rsidRPr="00983E8F" w:rsidRDefault="00527BD4" w:rsidP="00A50CF6">
          <w:pPr>
            <w:pStyle w:val="Huisstijl-Rubricering"/>
          </w:pPr>
        </w:p>
      </w:tc>
    </w:tr>
    <w:tr w:rsidR="006B6B08" w14:paraId="20EBEF9C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FAD0E9C" w14:textId="77777777" w:rsidR="00E66670" w:rsidRDefault="008A0F9D" w:rsidP="00A50CF6">
          <w:pPr>
            <w:pStyle w:val="Huisstijl-NAW"/>
          </w:pPr>
          <w:r>
            <w:t xml:space="preserve">De Voorzitter van de Tweede Kamer </w:t>
          </w:r>
        </w:p>
        <w:p w14:paraId="5218A7ED" w14:textId="5CEBDDE9" w:rsidR="00527BD4" w:rsidRDefault="008A0F9D" w:rsidP="00A50CF6">
          <w:pPr>
            <w:pStyle w:val="Huisstijl-NAW"/>
          </w:pPr>
          <w:r>
            <w:t>der Staten-Generaal</w:t>
          </w:r>
        </w:p>
        <w:p w14:paraId="16EF118E" w14:textId="77777777" w:rsidR="006B6B08" w:rsidRDefault="008A0F9D">
          <w:pPr>
            <w:pStyle w:val="Huisstijl-NAW"/>
          </w:pPr>
          <w:r>
            <w:t>Prinses Irenestraat 6</w:t>
          </w:r>
        </w:p>
        <w:p w14:paraId="6C8141FC" w14:textId="56298BA2" w:rsidR="006B6B08" w:rsidRDefault="008A0F9D">
          <w:pPr>
            <w:pStyle w:val="Huisstijl-NAW"/>
          </w:pPr>
          <w:r>
            <w:t xml:space="preserve">2595 BD </w:t>
          </w:r>
          <w:r w:rsidR="00E66670">
            <w:t xml:space="preserve"> DEN HAAG</w:t>
          </w:r>
        </w:p>
        <w:p w14:paraId="35CD52BD" w14:textId="77777777" w:rsidR="006B6B08" w:rsidRDefault="00486354">
          <w:pPr>
            <w:pStyle w:val="Huisstijl-NAW"/>
          </w:pPr>
          <w:r>
            <w:t xml:space="preserve"> </w:t>
          </w:r>
        </w:p>
      </w:tc>
    </w:tr>
    <w:tr w:rsidR="006B6B08" w14:paraId="2C47896F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653EA13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B6B08" w14:paraId="27151E1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F703972" w14:textId="77777777" w:rsidR="00527BD4" w:rsidRPr="007709EF" w:rsidRDefault="008A0F9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F58A741" w14:textId="39376E9D" w:rsidR="00527BD4" w:rsidRPr="007709EF" w:rsidRDefault="0041539F" w:rsidP="00A50CF6">
          <w:r>
            <w:t>16 december 2024</w:t>
          </w:r>
        </w:p>
      </w:tc>
    </w:tr>
    <w:tr w:rsidR="006B6B08" w14:paraId="2B8A358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0310C88" w14:textId="77777777" w:rsidR="00527BD4" w:rsidRPr="007709EF" w:rsidRDefault="008A0F9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4BAC0FB" w14:textId="0B424705" w:rsidR="00527BD4" w:rsidRPr="007709EF" w:rsidRDefault="00EA04E7" w:rsidP="00A50CF6">
          <w:r>
            <w:t xml:space="preserve">Begrotingswijzigingen na tweede suppletoire begroting 2024 van het </w:t>
          </w:r>
          <w:r w:rsidR="00C00659">
            <w:t>M</w:t>
          </w:r>
          <w:r>
            <w:t xml:space="preserve">inisterie van Landbouw, </w:t>
          </w:r>
          <w:r w:rsidR="00A77330">
            <w:t>Natuur en Voedselkwaliteit</w:t>
          </w:r>
        </w:p>
      </w:tc>
    </w:tr>
  </w:tbl>
  <w:p w14:paraId="7034356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CB8DDA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9AC6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7E2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4F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E9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409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2B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28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5E7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8A419B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A005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E63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2E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8B6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A27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45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44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108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3183704">
    <w:abstractNumId w:val="10"/>
  </w:num>
  <w:num w:numId="2" w16cid:durableId="64770027">
    <w:abstractNumId w:val="7"/>
  </w:num>
  <w:num w:numId="3" w16cid:durableId="1573075471">
    <w:abstractNumId w:val="6"/>
  </w:num>
  <w:num w:numId="4" w16cid:durableId="1000503098">
    <w:abstractNumId w:val="5"/>
  </w:num>
  <w:num w:numId="5" w16cid:durableId="1475950528">
    <w:abstractNumId w:val="4"/>
  </w:num>
  <w:num w:numId="6" w16cid:durableId="1907491887">
    <w:abstractNumId w:val="8"/>
  </w:num>
  <w:num w:numId="7" w16cid:durableId="2060399045">
    <w:abstractNumId w:val="3"/>
  </w:num>
  <w:num w:numId="8" w16cid:durableId="1740980371">
    <w:abstractNumId w:val="2"/>
  </w:num>
  <w:num w:numId="9" w16cid:durableId="1650749575">
    <w:abstractNumId w:val="1"/>
  </w:num>
  <w:num w:numId="10" w16cid:durableId="2132238565">
    <w:abstractNumId w:val="0"/>
  </w:num>
  <w:num w:numId="11" w16cid:durableId="521163906">
    <w:abstractNumId w:val="9"/>
  </w:num>
  <w:num w:numId="12" w16cid:durableId="775058144">
    <w:abstractNumId w:val="11"/>
  </w:num>
  <w:num w:numId="13" w16cid:durableId="467011764">
    <w:abstractNumId w:val="13"/>
  </w:num>
  <w:num w:numId="14" w16cid:durableId="112357693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5774E"/>
    <w:rsid w:val="0006024D"/>
    <w:rsid w:val="00064021"/>
    <w:rsid w:val="0006649B"/>
    <w:rsid w:val="00071F28"/>
    <w:rsid w:val="00074079"/>
    <w:rsid w:val="00092799"/>
    <w:rsid w:val="00092C5F"/>
    <w:rsid w:val="00096680"/>
    <w:rsid w:val="000A0627"/>
    <w:rsid w:val="000A0F36"/>
    <w:rsid w:val="000A174A"/>
    <w:rsid w:val="000A3E0A"/>
    <w:rsid w:val="000A4A76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D61F4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C4078"/>
    <w:rsid w:val="002C6A8A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3EC7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3F6D50"/>
    <w:rsid w:val="004008E9"/>
    <w:rsid w:val="00413D48"/>
    <w:rsid w:val="0041539F"/>
    <w:rsid w:val="00420460"/>
    <w:rsid w:val="00420BDA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3CCC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C082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14E5"/>
    <w:rsid w:val="006B3BD0"/>
    <w:rsid w:val="006B6691"/>
    <w:rsid w:val="006B6B08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4A86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1C24"/>
    <w:rsid w:val="00872271"/>
    <w:rsid w:val="00883137"/>
    <w:rsid w:val="008906AC"/>
    <w:rsid w:val="008A0F9D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05398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5E8D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0E7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259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330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26C0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77EF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0659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6FB0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0D16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1A1C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66670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4E7"/>
    <w:rsid w:val="00EB2FF5"/>
    <w:rsid w:val="00EC0DFF"/>
    <w:rsid w:val="00EC19A7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7EDC"/>
    <w:rsid w:val="00F41A6F"/>
    <w:rsid w:val="00F41B49"/>
    <w:rsid w:val="00F45A25"/>
    <w:rsid w:val="00F45C5E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4F09"/>
    <w:rsid w:val="00F8713B"/>
    <w:rsid w:val="00F90A14"/>
    <w:rsid w:val="00F93F9E"/>
    <w:rsid w:val="00FA2CD7"/>
    <w:rsid w:val="00FB06ED"/>
    <w:rsid w:val="00FB2346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DA2FB"/>
  <w15:docId w15:val="{48F2F555-FB70-4997-BE28-0D59FF55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8A0F9D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C03A93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5347B"/>
    <w:rsid w:val="00053B98"/>
    <w:rsid w:val="0005774E"/>
    <w:rsid w:val="0006649B"/>
    <w:rsid w:val="00085ACD"/>
    <w:rsid w:val="000A0627"/>
    <w:rsid w:val="0010776B"/>
    <w:rsid w:val="001D61F4"/>
    <w:rsid w:val="002A6976"/>
    <w:rsid w:val="002C6A8A"/>
    <w:rsid w:val="00384B0C"/>
    <w:rsid w:val="003A1B16"/>
    <w:rsid w:val="00566ED1"/>
    <w:rsid w:val="00764A86"/>
    <w:rsid w:val="008131C3"/>
    <w:rsid w:val="00A42592"/>
    <w:rsid w:val="00C03A93"/>
    <w:rsid w:val="00DB1A1C"/>
    <w:rsid w:val="00F41B49"/>
    <w:rsid w:val="00F4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295</ap:Words>
  <ap:Characters>1754</ap:Characters>
  <ap:DocSecurity>0</ap:DocSecurity>
  <ap:Lines>54</ap:Lines>
  <ap:Paragraphs>24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2025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2024-12-16T11:23:00.0000000Z</dcterms:created>
  <dcterms:modified xsi:type="dcterms:W3CDTF">2024-12-16T11:30:00.0000000Z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boestenm1</vt:lpwstr>
  </property>
  <property fmtid="{D5CDD505-2E9C-101B-9397-08002B2CF9AE}" pid="3" name="AUTHOR_ID">
    <vt:lpwstr>boestenm1</vt:lpwstr>
  </property>
  <property fmtid="{D5CDD505-2E9C-101B-9397-08002B2CF9AE}" pid="4" name="A_ADRES">
    <vt:lpwstr>De Voorzitter van de Tweede Kamer der Staten-Generaal
Prinses Irenestraat 6
2595 BD Den Haag
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Overzicht beleidsmatige mutaties na tweede suppletoire begroting 2024 van het ministerie van Landbouw, Visserij, Voedselzekerheid en Natuur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boestenm1</vt:lpwstr>
  </property>
</Properties>
</file>