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0FCC" w:rsidR="0018680A" w:rsidP="00130FCC" w:rsidRDefault="00854021" w14:paraId="4C84861E" w14:textId="0A55C3AA">
      <w:pPr>
        <w:pStyle w:val="Titel"/>
      </w:pPr>
      <w:r w:rsidRPr="00130FCC">
        <w:t>Omzetbelasting</w:t>
      </w:r>
      <w:r w:rsidRPr="00130FCC" w:rsidR="0018680A">
        <w:t>.</w:t>
      </w:r>
      <w:r w:rsidRPr="00130FCC">
        <w:t xml:space="preserve"> </w:t>
      </w:r>
      <w:r w:rsidR="00925550">
        <w:t>K</w:t>
      </w:r>
      <w:r w:rsidRPr="00130FCC">
        <w:t>leineondernemersregeling</w:t>
      </w:r>
      <w:r w:rsidRPr="00130FCC" w:rsidR="0018680A">
        <w:t xml:space="preserve">; </w:t>
      </w:r>
      <w:r w:rsidRPr="00130FCC">
        <w:t>artikel 25e Wet op de omzetbelasting 1968</w:t>
      </w:r>
      <w:r w:rsidRPr="00130FCC" w:rsidR="00950A16">
        <w:t xml:space="preserve"> </w:t>
      </w:r>
    </w:p>
    <w:p w:rsidRPr="00130FCC" w:rsidR="0018680A" w:rsidP="00130FCC" w:rsidRDefault="00112E6D" w14:paraId="131A065E" w14:textId="5FB16B6D">
      <w:pPr>
        <w:pStyle w:val="Ondertitel"/>
      </w:pPr>
      <w:r w:rsidRPr="00130FCC">
        <w:t xml:space="preserve">Directoraat-generaal </w:t>
      </w:r>
      <w:r w:rsidRPr="00130FCC" w:rsidR="002F6B90">
        <w:t>Belastingdienst/</w:t>
      </w:r>
      <w:r w:rsidRPr="00130FCC" w:rsidR="007B00DE">
        <w:t xml:space="preserve">Corporate </w:t>
      </w:r>
      <w:r w:rsidRPr="00130FCC" w:rsidR="008E0FB7">
        <w:t>D</w:t>
      </w:r>
      <w:r w:rsidRPr="00130FCC" w:rsidR="002F6B90">
        <w:t>ie</w:t>
      </w:r>
      <w:r w:rsidRPr="00130FCC" w:rsidR="007B00DE">
        <w:t>nst</w:t>
      </w:r>
      <w:r w:rsidRPr="00130FCC" w:rsidR="002F6B90">
        <w:t xml:space="preserve"> Vaktechniek</w:t>
      </w:r>
      <w:r w:rsidRPr="00130FCC" w:rsidR="00015917">
        <w:t xml:space="preserve"> </w:t>
      </w:r>
    </w:p>
    <w:p w:rsidRPr="00C55375" w:rsidR="0018680A" w:rsidP="00130FCC" w:rsidRDefault="0018680A" w14:paraId="6872F2FA" w14:textId="7D35CC3A">
      <w:pPr>
        <w:pStyle w:val="Ondertitel"/>
      </w:pPr>
      <w:r w:rsidRPr="00CF111C">
        <w:t xml:space="preserve">Besluit van </w:t>
      </w:r>
      <w:r w:rsidRPr="00854021" w:rsidR="00934E2C">
        <w:rPr>
          <w:highlight w:val="yellow"/>
        </w:rPr>
        <w:t>[datum]</w:t>
      </w:r>
      <w:r w:rsidRPr="00854021" w:rsidR="00BC5D56">
        <w:rPr>
          <w:highlight w:val="yellow"/>
        </w:rPr>
        <w:t xml:space="preserve">, </w:t>
      </w:r>
      <w:r w:rsidRPr="00D06553" w:rsidR="00BC5D56">
        <w:t xml:space="preserve">nr. </w:t>
      </w:r>
      <w:r w:rsidRPr="00D06553" w:rsidR="00D06553">
        <w:t>2024</w:t>
      </w:r>
      <w:r w:rsidRPr="003F0F3F" w:rsidR="00D06553">
        <w:rPr>
          <w:highlight w:val="yellow"/>
        </w:rPr>
        <w:t>-</w:t>
      </w:r>
      <w:r w:rsidRPr="003F0F3F" w:rsidR="003F0F3F">
        <w:rPr>
          <w:highlight w:val="yellow"/>
        </w:rPr>
        <w:t>…</w:t>
      </w:r>
    </w:p>
    <w:p w:rsidRPr="00CF111C" w:rsidR="0018680A" w:rsidP="00130FCC" w:rsidRDefault="003F0F3F" w14:paraId="1CE04ED1" w14:textId="518D2B6A">
      <w:pPr>
        <w:pStyle w:val="Ondertitel"/>
      </w:pPr>
      <w:r>
        <w:t>De Staatssecretaris van Financiën</w:t>
      </w:r>
      <w:r w:rsidR="00220E30">
        <w:t xml:space="preserve"> </w:t>
      </w:r>
      <w:r w:rsidRPr="00CF111C" w:rsidR="0018680A">
        <w:t>heeft het volgende besloten.</w:t>
      </w:r>
    </w:p>
    <w:p w:rsidRPr="00130FCC" w:rsidR="0018680A" w:rsidP="00130FCC" w:rsidRDefault="00A345C4" w14:paraId="643C7447" w14:textId="65B372B8">
      <w:pPr>
        <w:rPr>
          <w:rStyle w:val="Subtielebenadrukking"/>
        </w:rPr>
      </w:pPr>
      <w:r w:rsidRPr="00130FCC">
        <w:rPr>
          <w:rStyle w:val="Subtielebenadrukking"/>
        </w:rPr>
        <w:t xml:space="preserve">Dit </w:t>
      </w:r>
      <w:r w:rsidRPr="00130FCC" w:rsidR="0018680A">
        <w:rPr>
          <w:rStyle w:val="Subtielebenadrukking"/>
        </w:rPr>
        <w:t>besluit</w:t>
      </w:r>
      <w:r w:rsidRPr="00130FCC">
        <w:rPr>
          <w:rStyle w:val="Subtielebenadrukking"/>
        </w:rPr>
        <w:t xml:space="preserve"> bevat een </w:t>
      </w:r>
      <w:r w:rsidR="007C08F3">
        <w:rPr>
          <w:rStyle w:val="Subtielebenadrukking"/>
        </w:rPr>
        <w:t xml:space="preserve">goedkeuring </w:t>
      </w:r>
      <w:r w:rsidRPr="00130FCC">
        <w:rPr>
          <w:rStyle w:val="Subtielebenadrukking"/>
        </w:rPr>
        <w:t>voo</w:t>
      </w:r>
      <w:r w:rsidRPr="00130FCC" w:rsidR="00854021">
        <w:rPr>
          <w:rStyle w:val="Subtielebenadrukking"/>
        </w:rPr>
        <w:t xml:space="preserve">r de toepassing van artikel </w:t>
      </w:r>
      <w:r w:rsidRPr="00130FCC" w:rsidR="004533F5">
        <w:rPr>
          <w:rStyle w:val="Subtielebenadrukking"/>
        </w:rPr>
        <w:t>25e</w:t>
      </w:r>
      <w:r w:rsidRPr="00130FCC" w:rsidR="00854021">
        <w:rPr>
          <w:rStyle w:val="Subtielebenadrukking"/>
        </w:rPr>
        <w:t xml:space="preserve"> </w:t>
      </w:r>
      <w:r w:rsidR="00235E74">
        <w:rPr>
          <w:rStyle w:val="Subtielebenadrukking"/>
        </w:rPr>
        <w:t xml:space="preserve">van de </w:t>
      </w:r>
      <w:r w:rsidRPr="00130FCC" w:rsidR="00854021">
        <w:rPr>
          <w:rStyle w:val="Subtielebenadrukking"/>
        </w:rPr>
        <w:t>Wet op de omzetbelasting 1968.</w:t>
      </w:r>
      <w:r w:rsidRPr="00130FCC">
        <w:rPr>
          <w:rStyle w:val="Subtielebenadrukking"/>
        </w:rPr>
        <w:t xml:space="preserve"> </w:t>
      </w:r>
      <w:r w:rsidR="00512041">
        <w:rPr>
          <w:rStyle w:val="Subtielebenadrukking"/>
        </w:rPr>
        <w:t xml:space="preserve">Goedgekeurd wordt dat de informatie die </w:t>
      </w:r>
      <w:r w:rsidR="00235E74">
        <w:rPr>
          <w:rStyle w:val="Subtielebenadrukking"/>
        </w:rPr>
        <w:t>e</w:t>
      </w:r>
      <w:r w:rsidR="00512041">
        <w:rPr>
          <w:rStyle w:val="Subtielebenadrukking"/>
        </w:rPr>
        <w:t>e</w:t>
      </w:r>
      <w:r w:rsidR="00235E74">
        <w:rPr>
          <w:rStyle w:val="Subtielebenadrukking"/>
        </w:rPr>
        <w:t>n</w:t>
      </w:r>
      <w:r w:rsidR="00512041">
        <w:rPr>
          <w:rStyle w:val="Subtielebenadrukking"/>
        </w:rPr>
        <w:t xml:space="preserve"> ondernemer in de </w:t>
      </w:r>
      <w:r w:rsidR="007A31D9">
        <w:rPr>
          <w:rStyle w:val="Subtielebenadrukking"/>
        </w:rPr>
        <w:t xml:space="preserve">voorafgaande </w:t>
      </w:r>
      <w:r w:rsidR="00512041">
        <w:rPr>
          <w:rStyle w:val="Subtielebenadrukking"/>
        </w:rPr>
        <w:t>kennisgeving</w:t>
      </w:r>
      <w:r w:rsidR="003F0F3F">
        <w:rPr>
          <w:rStyle w:val="Subtielebenadrukking"/>
        </w:rPr>
        <w:t xml:space="preserve"> voor de toepassing van de kleineondernemersregeling</w:t>
      </w:r>
      <w:r w:rsidR="00512041">
        <w:rPr>
          <w:rStyle w:val="Subtielebenadrukking"/>
        </w:rPr>
        <w:t xml:space="preserve"> aan de inspecteur verstrekt, niet ook hoeft te worden verstrekt in </w:t>
      </w:r>
      <w:r w:rsidR="007A31D9">
        <w:rPr>
          <w:rStyle w:val="Subtielebenadrukking"/>
        </w:rPr>
        <w:t xml:space="preserve">de rapportage </w:t>
      </w:r>
      <w:r w:rsidR="00512041">
        <w:rPr>
          <w:rStyle w:val="Subtielebenadrukking"/>
        </w:rPr>
        <w:t xml:space="preserve">van de omzet </w:t>
      </w:r>
      <w:r w:rsidR="007A31D9">
        <w:rPr>
          <w:rStyle w:val="Subtielebenadrukking"/>
        </w:rPr>
        <w:t xml:space="preserve">die </w:t>
      </w:r>
      <w:r w:rsidR="00512041">
        <w:rPr>
          <w:rStyle w:val="Subtielebenadrukking"/>
        </w:rPr>
        <w:t xml:space="preserve">de ondernemer </w:t>
      </w:r>
      <w:r w:rsidR="00235E74">
        <w:rPr>
          <w:rStyle w:val="Subtielebenadrukking"/>
        </w:rPr>
        <w:t xml:space="preserve">in een </w:t>
      </w:r>
      <w:r w:rsidR="00512041">
        <w:rPr>
          <w:rStyle w:val="Subtielebenadrukking"/>
        </w:rPr>
        <w:t>kalenderkwartaal verstrekt.</w:t>
      </w:r>
    </w:p>
    <w:p w:rsidRPr="00130FCC" w:rsidR="0018680A" w:rsidP="00130FCC" w:rsidRDefault="0018680A" w14:paraId="7E45A526" w14:textId="77777777">
      <w:pPr>
        <w:pStyle w:val="Kop1"/>
      </w:pPr>
      <w:r w:rsidRPr="00130FCC">
        <w:t>1.</w:t>
      </w:r>
      <w:r w:rsidRPr="00130FCC">
        <w:tab/>
        <w:t>Inleiding</w:t>
      </w:r>
    </w:p>
    <w:p w:rsidRPr="004533F5" w:rsidR="0018680A" w:rsidP="00130FCC" w:rsidRDefault="009B5C75" w14:paraId="50DDAF72" w14:textId="0897F5BD">
      <w:r>
        <w:t>Voor in Nederland gevestigde ondernemers wordt het per 1 januari 2025 mogelijk om de kleineondernemersregeling</w:t>
      </w:r>
      <w:r w:rsidR="000D5DD2">
        <w:t xml:space="preserve"> (hierna</w:t>
      </w:r>
      <w:r w:rsidR="00E54058">
        <w:t>:</w:t>
      </w:r>
      <w:r w:rsidR="000D5DD2">
        <w:t xml:space="preserve"> K</w:t>
      </w:r>
      <w:r w:rsidR="00512041">
        <w:t>OR)</w:t>
      </w:r>
      <w:r>
        <w:t xml:space="preserve"> toe te passen in andere lidstaten.</w:t>
      </w:r>
      <w:r>
        <w:rPr>
          <w:rStyle w:val="Voetnootmarkering"/>
        </w:rPr>
        <w:footnoteReference w:id="1"/>
      </w:r>
      <w:r>
        <w:t xml:space="preserve"> Om hiervan gebruik te kunnen maken verstrekt een ondernemer bij </w:t>
      </w:r>
      <w:r w:rsidR="00DA48E2">
        <w:t xml:space="preserve">de </w:t>
      </w:r>
      <w:r>
        <w:t xml:space="preserve">aanmelding en </w:t>
      </w:r>
      <w:r w:rsidR="00DA48E2">
        <w:t xml:space="preserve">ook </w:t>
      </w:r>
      <w:r>
        <w:t xml:space="preserve">periodiek omzetinformatie aan de inspecteur op grond van </w:t>
      </w:r>
      <w:r w:rsidR="004D0342">
        <w:t>artikel 25c</w:t>
      </w:r>
      <w:r w:rsidR="004F79B8">
        <w:t>, eerste lid</w:t>
      </w:r>
      <w:r w:rsidR="004D0342">
        <w:t xml:space="preserve"> onderscheidenlijk </w:t>
      </w:r>
      <w:r w:rsidR="008D3F18">
        <w:t>a</w:t>
      </w:r>
      <w:r w:rsidRPr="004533F5" w:rsidR="004533F5">
        <w:t xml:space="preserve">rtikel 25e </w:t>
      </w:r>
      <w:r w:rsidR="001B659D">
        <w:t xml:space="preserve">van de </w:t>
      </w:r>
      <w:r w:rsidRPr="00130FCC" w:rsidR="004533F5">
        <w:t>Wet op de omzetbelasting</w:t>
      </w:r>
      <w:r w:rsidR="004D0342">
        <w:t xml:space="preserve"> 1968 (hierna</w:t>
      </w:r>
      <w:r w:rsidR="00E54058">
        <w:t>:</w:t>
      </w:r>
      <w:r w:rsidR="004D0342">
        <w:t xml:space="preserve"> de wet)</w:t>
      </w:r>
      <w:r w:rsidRPr="00130FCC" w:rsidR="004533F5">
        <w:t>.</w:t>
      </w:r>
      <w:r w:rsidRPr="004533F5" w:rsidR="004533F5">
        <w:t xml:space="preserve"> Dit besluit bevat een </w:t>
      </w:r>
      <w:r w:rsidR="005A2EC3">
        <w:t xml:space="preserve">goedkeuring </w:t>
      </w:r>
      <w:r>
        <w:t>ten aanzien van de aanlevering van deze informatie</w:t>
      </w:r>
      <w:r w:rsidRPr="004533F5" w:rsidR="004533F5">
        <w:t xml:space="preserve">, vooruitlopend op de wijziging van artikel 25e </w:t>
      </w:r>
      <w:r w:rsidR="001B659D">
        <w:t xml:space="preserve">van de </w:t>
      </w:r>
      <w:r w:rsidR="00E54058">
        <w:t>wet</w:t>
      </w:r>
      <w:r w:rsidRPr="004533F5" w:rsidR="004533F5">
        <w:t xml:space="preserve"> per 1 januari 2026.</w:t>
      </w:r>
    </w:p>
    <w:p w:rsidR="0018680A" w:rsidP="00130FCC" w:rsidRDefault="0018680A" w14:paraId="5C6F623A" w14:textId="4BA5A7C3">
      <w:pPr>
        <w:pStyle w:val="Kop1"/>
      </w:pPr>
      <w:r w:rsidRPr="00CF111C">
        <w:t>2.</w:t>
      </w:r>
      <w:r w:rsidRPr="00CF111C">
        <w:tab/>
      </w:r>
      <w:r w:rsidR="00512041">
        <w:t xml:space="preserve">Goedkeuring </w:t>
      </w:r>
      <w:r w:rsidR="007A3C2A">
        <w:t>artikel 25</w:t>
      </w:r>
      <w:r w:rsidRPr="007A3C2A" w:rsidR="007A3C2A">
        <w:t>e</w:t>
      </w:r>
      <w:r w:rsidR="007A3C2A">
        <w:t xml:space="preserve"> van de </w:t>
      </w:r>
      <w:r w:rsidR="00234065">
        <w:t>w</w:t>
      </w:r>
      <w:r w:rsidR="007A3C2A">
        <w:t>et</w:t>
      </w:r>
    </w:p>
    <w:p w:rsidR="007A3C2A" w:rsidP="00130FCC" w:rsidRDefault="00130FCC" w14:paraId="0F03779A" w14:textId="068352F9">
      <w:r>
        <w:t xml:space="preserve">Vanaf 1 januari 2025 kunnen </w:t>
      </w:r>
      <w:r w:rsidR="005418E1">
        <w:t>in Nederland gevestigde</w:t>
      </w:r>
      <w:r>
        <w:t xml:space="preserve"> ondernemers de </w:t>
      </w:r>
      <w:r w:rsidR="00406ABE">
        <w:t>KOR</w:t>
      </w:r>
      <w:r>
        <w:t xml:space="preserve"> toepass</w:t>
      </w:r>
      <w:r w:rsidR="001B659D">
        <w:t>en</w:t>
      </w:r>
      <w:r>
        <w:t xml:space="preserve"> in andere lidstaten.</w:t>
      </w:r>
      <w:r w:rsidR="005418E1">
        <w:t xml:space="preserve"> </w:t>
      </w:r>
      <w:r w:rsidR="00090C69">
        <w:t xml:space="preserve">Om hiervan gebruik te kunnen maken </w:t>
      </w:r>
      <w:r w:rsidR="001B659D">
        <w:t xml:space="preserve">dient </w:t>
      </w:r>
      <w:r w:rsidR="00090C69">
        <w:t>een ondernemer</w:t>
      </w:r>
      <w:r w:rsidR="004D0342">
        <w:t xml:space="preserve"> </w:t>
      </w:r>
      <w:r w:rsidR="00752E90">
        <w:t xml:space="preserve">de inspecteur hiervan in kennis te stellen </w:t>
      </w:r>
      <w:r w:rsidR="00090C69">
        <w:t xml:space="preserve">voordat hij de vrijstelling </w:t>
      </w:r>
      <w:r w:rsidR="00114FEE">
        <w:t>gaat toe</w:t>
      </w:r>
      <w:r w:rsidR="00090C69">
        <w:t>passen</w:t>
      </w:r>
      <w:r w:rsidR="00311D20">
        <w:t>.</w:t>
      </w:r>
      <w:r w:rsidR="00925550">
        <w:rPr>
          <w:rStyle w:val="Voetnootmarkering"/>
        </w:rPr>
        <w:footnoteReference w:id="2"/>
      </w:r>
      <w:r w:rsidR="004D0342">
        <w:t xml:space="preserve"> </w:t>
      </w:r>
      <w:r w:rsidR="00311D20">
        <w:t xml:space="preserve">Deze </w:t>
      </w:r>
      <w:r w:rsidR="007A31D9">
        <w:t xml:space="preserve"> voorafgaande </w:t>
      </w:r>
      <w:r w:rsidR="00311D20">
        <w:t xml:space="preserve">kennisgeving bevat onder meer </w:t>
      </w:r>
      <w:r w:rsidR="00114FEE">
        <w:t>het totaal van de</w:t>
      </w:r>
      <w:r w:rsidRPr="005418E1" w:rsidR="00114FEE">
        <w:t xml:space="preserve"> vergoedingen</w:t>
      </w:r>
      <w:r w:rsidR="00114FEE">
        <w:t xml:space="preserve"> </w:t>
      </w:r>
      <w:r w:rsidRPr="00114FEE" w:rsidR="00114FEE">
        <w:t>ter zake van de leveringen van goederen en diensten verricht in Nederland en in elk van de andere lidstaten, tijdens het kalenderjaar tot aan de kennisgeving</w:t>
      </w:r>
      <w:r w:rsidR="00311D20">
        <w:t>.</w:t>
      </w:r>
      <w:r w:rsidR="00925550">
        <w:rPr>
          <w:rStyle w:val="Voetnootmarkering"/>
        </w:rPr>
        <w:footnoteReference w:id="3"/>
      </w:r>
      <w:r w:rsidR="00406ABE">
        <w:t xml:space="preserve"> </w:t>
      </w:r>
      <w:r w:rsidR="00311D20">
        <w:t>Daarnaast verstrekt de ondernemer ieder kalenderkwartaal</w:t>
      </w:r>
      <w:r w:rsidR="00406ABE">
        <w:t xml:space="preserve"> aan de inspecteur</w:t>
      </w:r>
      <w:r w:rsidR="00311D20">
        <w:t xml:space="preserve"> een overzicht van het totaal van de</w:t>
      </w:r>
      <w:r w:rsidRPr="005418E1" w:rsidR="00311D20">
        <w:t xml:space="preserve"> vergoedingen ter zake van leveringen van goederen en diensten die tijdens het kalenderkwartaal in Nederland</w:t>
      </w:r>
      <w:r w:rsidR="00311D20">
        <w:t xml:space="preserve"> en in andere lidstaten zijn verricht.</w:t>
      </w:r>
      <w:r w:rsidR="00925550">
        <w:rPr>
          <w:rStyle w:val="Voetnootmarkering"/>
        </w:rPr>
        <w:footnoteReference w:id="4"/>
      </w:r>
      <w:r w:rsidR="00311D20">
        <w:t xml:space="preserve"> </w:t>
      </w:r>
    </w:p>
    <w:p w:rsidR="007A3C2A" w:rsidP="00130FCC" w:rsidRDefault="00311D20" w14:paraId="0A67CC28" w14:textId="36030167">
      <w:r>
        <w:t xml:space="preserve">Het kan zo zijn dat de informatie die de ondernemer </w:t>
      </w:r>
      <w:r w:rsidR="004D0342">
        <w:t>ingevolge artikel 25</w:t>
      </w:r>
      <w:r w:rsidR="005A2EC3">
        <w:t>e</w:t>
      </w:r>
      <w:r w:rsidR="000D5DD2">
        <w:t xml:space="preserve">, eerste lid </w:t>
      </w:r>
      <w:r w:rsidR="004D0342">
        <w:t xml:space="preserve">van de wet </w:t>
      </w:r>
      <w:r w:rsidR="00DA48E2">
        <w:t xml:space="preserve">in </w:t>
      </w:r>
      <w:r w:rsidR="007A31D9">
        <w:t>zijn eerste kwartaalrapportage verstrekt</w:t>
      </w:r>
      <w:r>
        <w:t>, al (deels) is verstrekt in de</w:t>
      </w:r>
      <w:r w:rsidR="007A31D9">
        <w:t xml:space="preserve"> voorafgaande</w:t>
      </w:r>
      <w:r>
        <w:t xml:space="preserve"> kennisgeving </w:t>
      </w:r>
      <w:r w:rsidR="00376F10">
        <w:t>op de voet van artikel 25c</w:t>
      </w:r>
      <w:r w:rsidR="004F79B8">
        <w:t>, eerste lid</w:t>
      </w:r>
      <w:r w:rsidR="00376F10">
        <w:t xml:space="preserve"> van de wet</w:t>
      </w:r>
      <w:r>
        <w:t xml:space="preserve">. </w:t>
      </w:r>
    </w:p>
    <w:p w:rsidR="00E54058" w:rsidP="00E54058" w:rsidRDefault="00E54058" w14:paraId="50031F1F" w14:textId="78DBF457">
      <w:r>
        <w:t>Daarom keur ik het volgende goed vooruitlopend op wijziging van artikel 25</w:t>
      </w:r>
      <w:r w:rsidRPr="00E54058">
        <w:t>e</w:t>
      </w:r>
      <w:r>
        <w:t xml:space="preserve"> van de wet:</w:t>
      </w:r>
    </w:p>
    <w:p w:rsidR="00E54058" w:rsidP="00E54058" w:rsidRDefault="00E54058" w14:paraId="22CDD030" w14:textId="77777777">
      <w:pPr>
        <w:rPr>
          <w:i/>
          <w:iCs/>
        </w:rPr>
      </w:pPr>
      <w:r>
        <w:rPr>
          <w:i/>
          <w:iCs/>
        </w:rPr>
        <w:t>Goedkeuring</w:t>
      </w:r>
    </w:p>
    <w:p w:rsidR="00311D20" w:rsidP="00130FCC" w:rsidRDefault="00E54058" w14:paraId="7964A63F" w14:textId="050FD1E1">
      <w:r>
        <w:t xml:space="preserve">Ik keur goed </w:t>
      </w:r>
      <w:r w:rsidR="00934C8D">
        <w:t xml:space="preserve">dat </w:t>
      </w:r>
      <w:r w:rsidR="00862498">
        <w:t xml:space="preserve">een ondernemer </w:t>
      </w:r>
      <w:r w:rsidR="00934C8D">
        <w:t xml:space="preserve">de informatie </w:t>
      </w:r>
      <w:r w:rsidR="00862498">
        <w:t>die hij aan de inspecteur verstrekt</w:t>
      </w:r>
      <w:r w:rsidR="00934C8D">
        <w:t xml:space="preserve"> in </w:t>
      </w:r>
      <w:r w:rsidR="00862498">
        <w:t>een</w:t>
      </w:r>
      <w:r w:rsidR="00934C8D">
        <w:t xml:space="preserve"> voorafgaande kennisgeving </w:t>
      </w:r>
      <w:r w:rsidR="00406ABE">
        <w:t>op grond van artikel 25c</w:t>
      </w:r>
      <w:r w:rsidR="00376F10">
        <w:t>, eerste</w:t>
      </w:r>
      <w:r w:rsidR="0042433E">
        <w:t xml:space="preserve"> lid</w:t>
      </w:r>
      <w:r w:rsidR="00406ABE">
        <w:t xml:space="preserve"> van de </w:t>
      </w:r>
      <w:r w:rsidR="00234065">
        <w:t>w</w:t>
      </w:r>
      <w:r w:rsidR="00406ABE">
        <w:t>et</w:t>
      </w:r>
      <w:r w:rsidR="00934C8D">
        <w:t>, niet ook</w:t>
      </w:r>
      <w:r w:rsidR="000D5DD2">
        <w:t xml:space="preserve"> </w:t>
      </w:r>
      <w:r w:rsidR="00934C8D">
        <w:t xml:space="preserve">hoeft </w:t>
      </w:r>
      <w:r w:rsidR="00862498">
        <w:t>op te nemen</w:t>
      </w:r>
      <w:r w:rsidR="00934C8D">
        <w:t xml:space="preserve"> in de informatie die </w:t>
      </w:r>
      <w:r w:rsidR="00862498">
        <w:t xml:space="preserve">hij </w:t>
      </w:r>
      <w:r w:rsidR="00934C8D">
        <w:t>op grond van artikel 25</w:t>
      </w:r>
      <w:r>
        <w:t>e</w:t>
      </w:r>
      <w:r w:rsidR="000D5DD2">
        <w:t>, eerste lid</w:t>
      </w:r>
      <w:r w:rsidR="00934C8D">
        <w:t xml:space="preserve"> van de </w:t>
      </w:r>
      <w:r w:rsidR="00234065">
        <w:t>w</w:t>
      </w:r>
      <w:r w:rsidR="00934C8D">
        <w:t xml:space="preserve">et </w:t>
      </w:r>
      <w:r w:rsidR="00AD3343">
        <w:t xml:space="preserve">in </w:t>
      </w:r>
      <w:r w:rsidR="007A31D9">
        <w:t>zijn eerste kwartaalrapportage</w:t>
      </w:r>
      <w:r w:rsidR="00934C8D">
        <w:t xml:space="preserve"> aan de inspecteur verstrekt.</w:t>
      </w:r>
    </w:p>
    <w:p w:rsidRPr="00CF111C" w:rsidR="0018680A" w:rsidP="00130FCC" w:rsidRDefault="001B659D" w14:paraId="10DB6CD8" w14:textId="591143A4">
      <w:pPr>
        <w:pStyle w:val="Kop1"/>
      </w:pPr>
      <w:r>
        <w:t>3</w:t>
      </w:r>
      <w:r w:rsidRPr="00CF111C" w:rsidR="0018680A">
        <w:t>.</w:t>
      </w:r>
      <w:r w:rsidRPr="00CF111C" w:rsidR="0018680A">
        <w:tab/>
        <w:t>Inwerkingtreding</w:t>
      </w:r>
      <w:r w:rsidR="00914680">
        <w:t xml:space="preserve"> en vervaldatum</w:t>
      </w:r>
    </w:p>
    <w:p w:rsidRPr="00CF111C" w:rsidR="0018680A" w:rsidP="00130FCC" w:rsidRDefault="0018680A" w14:paraId="4CEB4627" w14:textId="637FC3CD">
      <w:r w:rsidRPr="00CF111C">
        <w:lastRenderedPageBreak/>
        <w:t>Dit besluit treedt in werking met ingang van</w:t>
      </w:r>
      <w:r>
        <w:t xml:space="preserve"> </w:t>
      </w:r>
      <w:r w:rsidR="00934C8D">
        <w:t>1 januari 2025</w:t>
      </w:r>
      <w:r w:rsidR="00914680">
        <w:t xml:space="preserve"> </w:t>
      </w:r>
      <w:r w:rsidRPr="00CF111C" w:rsidR="00914680">
        <w:t>en vervalt met ingang van</w:t>
      </w:r>
      <w:r w:rsidR="00914680">
        <w:t xml:space="preserve"> 1 januari 2026.</w:t>
      </w:r>
    </w:p>
    <w:p w:rsidRPr="00CF111C" w:rsidR="0018680A" w:rsidP="00130FCC" w:rsidRDefault="0018680A" w14:paraId="68067D60" w14:textId="77777777"/>
    <w:p w:rsidR="00B419A3" w:rsidP="00130FCC" w:rsidRDefault="0018680A" w14:paraId="3BC4FB03" w14:textId="400B9F10">
      <w:r w:rsidRPr="00CF111C">
        <w:t xml:space="preserve">Dit besluit </w:t>
      </w:r>
      <w:r w:rsidR="00B4306A">
        <w:t>zal</w:t>
      </w:r>
      <w:r w:rsidR="00E27F25">
        <w:t xml:space="preserve"> </w:t>
      </w:r>
      <w:r w:rsidRPr="00CF111C">
        <w:t xml:space="preserve">in de Staatscourant </w:t>
      </w:r>
      <w:r w:rsidR="00B4306A">
        <w:t xml:space="preserve">worden </w:t>
      </w:r>
      <w:r w:rsidRPr="00CF111C">
        <w:t>gep</w:t>
      </w:r>
      <w:r w:rsidR="00B4306A">
        <w:t>laatst</w:t>
      </w:r>
      <w:r w:rsidR="00B419A3">
        <w:t>.</w:t>
      </w:r>
    </w:p>
    <w:p w:rsidR="00B419A3" w:rsidP="00130FCC" w:rsidRDefault="00B419A3" w14:paraId="095EDE76" w14:textId="77777777"/>
    <w:p w:rsidRPr="00CF111C" w:rsidR="0018680A" w:rsidP="00130FCC" w:rsidRDefault="0018680A" w14:paraId="1408CB6C" w14:textId="0EDE8346">
      <w:r w:rsidRPr="003F0F3F">
        <w:t xml:space="preserve">Den Haag, </w:t>
      </w:r>
      <w:r w:rsidRPr="003F0F3F" w:rsidR="003224FC">
        <w:rPr>
          <w:highlight w:val="yellow"/>
        </w:rPr>
        <w:t xml:space="preserve">. . . </w:t>
      </w:r>
      <w:proofErr w:type="gramStart"/>
      <w:r w:rsidRPr="003F0F3F" w:rsidR="003224FC">
        <w:rPr>
          <w:highlight w:val="yellow"/>
        </w:rPr>
        <w:t>. . . .</w:t>
      </w:r>
      <w:proofErr w:type="gramEnd"/>
      <w:r w:rsidRPr="003F0F3F" w:rsidR="003224FC">
        <w:rPr>
          <w:highlight w:val="yellow"/>
        </w:rPr>
        <w:t xml:space="preserve"> .</w:t>
      </w:r>
      <w:r w:rsidR="003224FC">
        <w:t xml:space="preserve"> </w:t>
      </w:r>
    </w:p>
    <w:p w:rsidR="0018680A" w:rsidP="00130FCC" w:rsidRDefault="0018680A" w14:paraId="3070B2B8" w14:textId="77777777">
      <w:r w:rsidRPr="00CF111C">
        <w:t xml:space="preserve"> </w:t>
      </w:r>
    </w:p>
    <w:p w:rsidR="003F0F3F" w:rsidP="003F0F3F" w:rsidRDefault="003F0F3F" w14:paraId="7AFB4D48" w14:textId="77777777">
      <w:pPr>
        <w:pStyle w:val="standaard0"/>
        <w:tabs>
          <w:tab w:val="left" w:pos="284"/>
        </w:tabs>
        <w:spacing w:line="240" w:lineRule="exact"/>
        <w:ind w:left="0" w:firstLine="0"/>
        <w:rPr>
          <w:rFonts w:cs="Times New Roman"/>
          <w:color w:val="auto"/>
        </w:rPr>
      </w:pPr>
      <w:r w:rsidRPr="000703E8">
        <w:rPr>
          <w:rFonts w:cs="Times New Roman"/>
          <w:color w:val="auto"/>
        </w:rPr>
        <w:t xml:space="preserve">De </w:t>
      </w:r>
      <w:r>
        <w:rPr>
          <w:rFonts w:cs="Times New Roman"/>
          <w:color w:val="auto"/>
        </w:rPr>
        <w:t>S</w:t>
      </w:r>
      <w:r w:rsidRPr="000703E8">
        <w:rPr>
          <w:rFonts w:cs="Times New Roman"/>
          <w:color w:val="auto"/>
        </w:rPr>
        <w:t>taatssecretaris van Financiën</w:t>
      </w:r>
      <w:r>
        <w:rPr>
          <w:rFonts w:cs="Times New Roman"/>
          <w:color w:val="auto"/>
        </w:rPr>
        <w:t>,</w:t>
      </w:r>
    </w:p>
    <w:p w:rsidR="003F0F3F" w:rsidP="003F0F3F" w:rsidRDefault="003F0F3F" w14:paraId="15D0CB61" w14:textId="77777777">
      <w:pPr>
        <w:pStyle w:val="standaard0"/>
        <w:tabs>
          <w:tab w:val="left" w:pos="284"/>
        </w:tabs>
        <w:spacing w:line="240" w:lineRule="exact"/>
        <w:ind w:left="0" w:firstLine="0"/>
        <w:rPr>
          <w:rFonts w:cs="Times New Roman"/>
          <w:color w:val="auto"/>
        </w:rPr>
      </w:pPr>
    </w:p>
    <w:p w:rsidRPr="00D570B8" w:rsidR="003F0F3F" w:rsidP="003F0F3F" w:rsidRDefault="003F0F3F" w14:paraId="06170469" w14:textId="77777777">
      <w:pPr>
        <w:pStyle w:val="standaard0"/>
        <w:tabs>
          <w:tab w:val="left" w:pos="284"/>
        </w:tabs>
        <w:spacing w:line="240" w:lineRule="exact"/>
        <w:ind w:left="0" w:firstLine="0"/>
        <w:rPr>
          <w:rFonts w:cs="Times New Roman"/>
          <w:color w:val="auto"/>
        </w:rPr>
      </w:pPr>
      <w:proofErr w:type="gramStart"/>
      <w:r w:rsidRPr="00D570B8">
        <w:rPr>
          <w:rFonts w:cs="Times New Roman"/>
          <w:color w:val="auto"/>
        </w:rPr>
        <w:t>namens</w:t>
      </w:r>
      <w:proofErr w:type="gramEnd"/>
      <w:r w:rsidRPr="00D570B8">
        <w:rPr>
          <w:rFonts w:cs="Times New Roman"/>
          <w:color w:val="auto"/>
        </w:rPr>
        <w:t xml:space="preserve"> deze,</w:t>
      </w:r>
    </w:p>
    <w:p w:rsidRPr="00D570B8" w:rsidR="003F0F3F" w:rsidP="003F0F3F" w:rsidRDefault="003F0F3F" w14:paraId="3C10DE27" w14:textId="77777777">
      <w:pPr>
        <w:pStyle w:val="standaard0"/>
        <w:tabs>
          <w:tab w:val="left" w:pos="284"/>
        </w:tabs>
        <w:spacing w:line="240" w:lineRule="exact"/>
        <w:ind w:left="0" w:firstLine="0"/>
        <w:rPr>
          <w:rFonts w:cs="Times New Roman"/>
          <w:color w:val="auto"/>
        </w:rPr>
      </w:pPr>
    </w:p>
    <w:p w:rsidRPr="00D570B8" w:rsidR="003F0F3F" w:rsidP="003F0F3F" w:rsidRDefault="003F0F3F" w14:paraId="6E2745DF" w14:textId="77777777">
      <w:pPr>
        <w:pStyle w:val="standaard0"/>
        <w:tabs>
          <w:tab w:val="left" w:pos="284"/>
        </w:tabs>
        <w:spacing w:line="240" w:lineRule="exact"/>
        <w:ind w:left="0" w:firstLine="0"/>
        <w:rPr>
          <w:rFonts w:cs="Times New Roman"/>
          <w:color w:val="auto"/>
        </w:rPr>
      </w:pPr>
    </w:p>
    <w:p w:rsidR="003F0F3F" w:rsidP="003F0F3F" w:rsidRDefault="003F0F3F" w14:paraId="73B075B1" w14:textId="77777777">
      <w:pPr>
        <w:rPr>
          <w:color w:val="000000"/>
        </w:rPr>
      </w:pPr>
      <w:r w:rsidRPr="00157171">
        <w:rPr>
          <w:color w:val="000000"/>
        </w:rPr>
        <w:t>H.G. Roodbeen</w:t>
      </w:r>
    </w:p>
    <w:p w:rsidR="003F0F3F" w:rsidP="003F0F3F" w:rsidRDefault="003F0F3F" w14:paraId="53A006E7" w14:textId="77777777">
      <w:r>
        <w:t>H</w:t>
      </w:r>
      <w:r w:rsidRPr="00112E6D">
        <w:t>oofddirecteur Fiscal</w:t>
      </w:r>
      <w:r>
        <w:t>e</w:t>
      </w:r>
      <w:r w:rsidRPr="00112E6D">
        <w:t xml:space="preserve"> en Juridische Zaken</w:t>
      </w:r>
      <w:r w:rsidRPr="00D570B8" w:rsidDel="00D570B8">
        <w:t xml:space="preserve"> </w:t>
      </w:r>
    </w:p>
    <w:p w:rsidRPr="00CF111C" w:rsidR="003F0F3F" w:rsidP="00130FCC" w:rsidRDefault="003F0F3F" w14:paraId="41732FBD" w14:textId="77777777"/>
    <w:p w:rsidR="00FC056C" w:rsidP="00130FCC" w:rsidRDefault="00FC056C" w14:paraId="02E0C7F5" w14:textId="77777777">
      <w:pPr>
        <w:pStyle w:val="standaard0"/>
      </w:pPr>
    </w:p>
    <w:p w:rsidR="00B419A3" w:rsidP="00D06553" w:rsidRDefault="00B419A3" w14:paraId="54D80657" w14:textId="2B598324">
      <w:pPr>
        <w:pStyle w:val="standaard0"/>
      </w:pPr>
      <w:r>
        <w:t xml:space="preserve">   </w:t>
      </w:r>
    </w:p>
    <w:p w:rsidR="00B419A3" w:rsidP="00130FCC" w:rsidRDefault="00B419A3" w14:paraId="2DE56AF1" w14:textId="77777777"/>
    <w:p w:rsidR="00B419A3" w:rsidP="00130FCC" w:rsidRDefault="00B419A3" w14:paraId="3A825616" w14:textId="77777777"/>
    <w:p w:rsidR="00B419A3" w:rsidP="00130FCC" w:rsidRDefault="00B419A3" w14:paraId="2605FA76" w14:textId="77777777"/>
    <w:p w:rsidR="00B419A3" w:rsidP="00130FCC" w:rsidRDefault="00B419A3" w14:paraId="47148A8A" w14:textId="77777777"/>
    <w:p w:rsidR="00302E13" w:rsidP="00302E13" w:rsidRDefault="00302E13" w14:paraId="5351CF49" w14:textId="77777777">
      <w:pPr>
        <w:tabs>
          <w:tab w:val="clear" w:pos="540"/>
          <w:tab w:val="clear" w:pos="900"/>
        </w:tabs>
      </w:pPr>
    </w:p>
    <w:sectPr w:rsidR="00302E13" w:rsidSect="0018680A">
      <w:headerReference w:type="even" r:id="rId7"/>
      <w:headerReference w:type="default" r:id="rId8"/>
      <w:headerReference w:type="first" r:id="rId9"/>
      <w:endnotePr>
        <w:numFmt w:val="decimal"/>
      </w:endnotePr>
      <w:type w:val="continuous"/>
      <w:pgSz w:w="11907" w:h="16840" w:code="9"/>
      <w:pgMar w:top="726" w:right="1134" w:bottom="1276" w:left="2694" w:header="567" w:footer="567" w:gutter="0"/>
      <w:cols w:space="720"/>
      <w:formProt w:val="0"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1973" w14:textId="77777777" w:rsidR="00C95EE8" w:rsidRDefault="00C95EE8" w:rsidP="00130FCC">
      <w:r>
        <w:separator/>
      </w:r>
    </w:p>
  </w:endnote>
  <w:endnote w:type="continuationSeparator" w:id="0">
    <w:p w14:paraId="7ACABEFF" w14:textId="77777777" w:rsidR="00C95EE8" w:rsidRDefault="00C95EE8" w:rsidP="0013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5C20" w14:textId="77777777" w:rsidR="00C95EE8" w:rsidRDefault="00C95EE8" w:rsidP="00130FCC">
      <w:r>
        <w:separator/>
      </w:r>
    </w:p>
  </w:footnote>
  <w:footnote w:type="continuationSeparator" w:id="0">
    <w:p w14:paraId="4E3E7375" w14:textId="77777777" w:rsidR="00C95EE8" w:rsidRDefault="00C95EE8" w:rsidP="00130FCC">
      <w:r>
        <w:continuationSeparator/>
      </w:r>
    </w:p>
  </w:footnote>
  <w:footnote w:id="1">
    <w:p w14:paraId="5EBC48CD" w14:textId="1F401795" w:rsidR="009B5C75" w:rsidRPr="009B5C75" w:rsidRDefault="009B5C75">
      <w:pPr>
        <w:pStyle w:val="Voetnoottekst"/>
        <w:rPr>
          <w:sz w:val="16"/>
          <w:szCs w:val="16"/>
        </w:rPr>
      </w:pPr>
      <w:r w:rsidRPr="009B5C75">
        <w:rPr>
          <w:rStyle w:val="Voetnootmarkering"/>
          <w:sz w:val="16"/>
          <w:szCs w:val="16"/>
        </w:rPr>
        <w:footnoteRef/>
      </w:r>
      <w:r w:rsidRPr="009B5C75">
        <w:rPr>
          <w:sz w:val="16"/>
          <w:szCs w:val="16"/>
        </w:rPr>
        <w:t xml:space="preserve"> </w:t>
      </w:r>
      <w:r w:rsidR="003C0FD8" w:rsidRPr="003C0FD8">
        <w:rPr>
          <w:sz w:val="16"/>
          <w:szCs w:val="16"/>
        </w:rPr>
        <w:t>Wet van 10 juli 2023 tot wijziging van de Wet op de omzetbelasting 1968 in verband met de aanpassing van de kleineondernemersregeling (Wet implementatie Richtlijn kleineondernemersregeling)</w:t>
      </w:r>
      <w:r w:rsidR="003C0FD8">
        <w:rPr>
          <w:sz w:val="16"/>
          <w:szCs w:val="16"/>
        </w:rPr>
        <w:t xml:space="preserve"> (Stb. 2023, 278).</w:t>
      </w:r>
    </w:p>
  </w:footnote>
  <w:footnote w:id="2">
    <w:p w14:paraId="1339BD65" w14:textId="549EA210" w:rsidR="00925550" w:rsidRPr="00925550" w:rsidRDefault="00925550">
      <w:pPr>
        <w:pStyle w:val="Voetnoottekst"/>
        <w:rPr>
          <w:sz w:val="16"/>
          <w:szCs w:val="16"/>
        </w:rPr>
      </w:pPr>
      <w:r w:rsidRPr="00925550">
        <w:rPr>
          <w:rStyle w:val="Voetnootmarkering"/>
          <w:sz w:val="16"/>
          <w:szCs w:val="16"/>
        </w:rPr>
        <w:footnoteRef/>
      </w:r>
      <w:r w:rsidRPr="00925550">
        <w:rPr>
          <w:sz w:val="16"/>
          <w:szCs w:val="16"/>
        </w:rPr>
        <w:t xml:space="preserve"> Artikel 25c, eerste lid, onderdeel a</w:t>
      </w:r>
      <w:r w:rsidR="00E27F25">
        <w:rPr>
          <w:sz w:val="16"/>
          <w:szCs w:val="16"/>
        </w:rPr>
        <w:t>,</w:t>
      </w:r>
      <w:r w:rsidRPr="00925550">
        <w:rPr>
          <w:sz w:val="16"/>
          <w:szCs w:val="16"/>
        </w:rPr>
        <w:t xml:space="preserve"> van de Wet op de omzetbelasting 1968.</w:t>
      </w:r>
    </w:p>
  </w:footnote>
  <w:footnote w:id="3">
    <w:p w14:paraId="241BAFC2" w14:textId="76A03380" w:rsidR="00925550" w:rsidRPr="00925550" w:rsidRDefault="00925550">
      <w:pPr>
        <w:pStyle w:val="Voetnoottekst"/>
        <w:rPr>
          <w:sz w:val="16"/>
          <w:szCs w:val="16"/>
        </w:rPr>
      </w:pPr>
      <w:r w:rsidRPr="00925550">
        <w:rPr>
          <w:rStyle w:val="Voetnootmarkering"/>
          <w:sz w:val="16"/>
          <w:szCs w:val="16"/>
        </w:rPr>
        <w:footnoteRef/>
      </w:r>
      <w:r w:rsidRPr="00925550">
        <w:rPr>
          <w:sz w:val="16"/>
          <w:szCs w:val="16"/>
        </w:rPr>
        <w:t xml:space="preserve"> Artikel 25d, eerste lid, onderdeel d</w:t>
      </w:r>
      <w:r w:rsidR="00E27F25">
        <w:rPr>
          <w:sz w:val="16"/>
          <w:szCs w:val="16"/>
        </w:rPr>
        <w:t>,</w:t>
      </w:r>
      <w:r w:rsidRPr="00925550">
        <w:rPr>
          <w:sz w:val="16"/>
          <w:szCs w:val="16"/>
        </w:rPr>
        <w:t xml:space="preserve"> van de Wet op de omzetbelasting 1968.</w:t>
      </w:r>
    </w:p>
  </w:footnote>
  <w:footnote w:id="4">
    <w:p w14:paraId="23E61773" w14:textId="61E0F2DB" w:rsidR="00925550" w:rsidRPr="00925550" w:rsidRDefault="00925550">
      <w:pPr>
        <w:pStyle w:val="Voetnoottekst"/>
      </w:pPr>
      <w:r w:rsidRPr="00925550">
        <w:rPr>
          <w:rStyle w:val="Voetnootmarkering"/>
          <w:sz w:val="16"/>
          <w:szCs w:val="16"/>
        </w:rPr>
        <w:footnoteRef/>
      </w:r>
      <w:r w:rsidRPr="00925550">
        <w:rPr>
          <w:sz w:val="16"/>
          <w:szCs w:val="16"/>
        </w:rPr>
        <w:t xml:space="preserve"> Artikel 25e, eerste lid, van de Wet op de omzetbelasting 1968.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3F8E" w14:textId="57307B5F" w:rsidR="002E1B6A" w:rsidRDefault="00EC7406">
    <w:pPr>
      <w:pStyle w:val="Koptekst"/>
    </w:pPr>
    <w:r>
      <w:rPr>
        <w:noProof/>
      </w:rPr>
      <w:pict w14:anchorId="042695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68782" o:spid="_x0000_s1027" type="#_x0000_t136" style="position:absolute;margin-left:0;margin-top:0;width:465.95pt;height:10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B320" w14:textId="5953A23E" w:rsidR="002E1B6A" w:rsidRDefault="00EC7406">
    <w:pPr>
      <w:pStyle w:val="Koptekst"/>
    </w:pPr>
    <w:r>
      <w:rPr>
        <w:noProof/>
      </w:rPr>
      <w:pict w14:anchorId="22DED3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68783" o:spid="_x0000_s1028" type="#_x0000_t136" style="position:absolute;margin-left:0;margin-top:0;width:465.95pt;height:10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BB81" w14:textId="6C3FEECC" w:rsidR="002E1B6A" w:rsidRDefault="00EC7406">
    <w:pPr>
      <w:pStyle w:val="Koptekst"/>
    </w:pPr>
    <w:r>
      <w:rPr>
        <w:noProof/>
      </w:rPr>
      <w:pict w14:anchorId="6E026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1768781" o:spid="_x0000_s1026" type="#_x0000_t136" style="position:absolute;margin-left:0;margin-top:0;width:465.95pt;height:10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679A"/>
    <w:multiLevelType w:val="multilevel"/>
    <w:tmpl w:val="EDB2771C"/>
    <w:lvl w:ilvl="0">
      <w:start w:val="1"/>
      <w:numFmt w:val="decimal"/>
      <w:lvlText w:val="%1."/>
      <w:lvlJc w:val="left"/>
      <w:pPr>
        <w:tabs>
          <w:tab w:val="num" w:pos="4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" w15:restartNumberingAfterBreak="0">
    <w:nsid w:val="478B6E2D"/>
    <w:multiLevelType w:val="hybridMultilevel"/>
    <w:tmpl w:val="B144343C"/>
    <w:lvl w:ilvl="0" w:tplc="5E962F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543C5B8A"/>
    <w:multiLevelType w:val="hybridMultilevel"/>
    <w:tmpl w:val="05C834E4"/>
    <w:lvl w:ilvl="0" w:tplc="0DE2DC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704B456">
      <w:start w:val="1"/>
      <w:numFmt w:val="lowerLetter"/>
      <w:lvlText w:val="%3.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791574"/>
    <w:multiLevelType w:val="multilevel"/>
    <w:tmpl w:val="05C834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3052995">
    <w:abstractNumId w:val="2"/>
  </w:num>
  <w:num w:numId="2" w16cid:durableId="620460596">
    <w:abstractNumId w:val="3"/>
  </w:num>
  <w:num w:numId="3" w16cid:durableId="261450309">
    <w:abstractNumId w:val="1"/>
  </w:num>
  <w:num w:numId="4" w16cid:durableId="188155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39"/>
    <w:rsid w:val="00015917"/>
    <w:rsid w:val="00017C19"/>
    <w:rsid w:val="0003456A"/>
    <w:rsid w:val="000421A9"/>
    <w:rsid w:val="00042BF5"/>
    <w:rsid w:val="00052CD3"/>
    <w:rsid w:val="00054AD7"/>
    <w:rsid w:val="00060266"/>
    <w:rsid w:val="00063557"/>
    <w:rsid w:val="000703E8"/>
    <w:rsid w:val="0007500A"/>
    <w:rsid w:val="000776C8"/>
    <w:rsid w:val="00081932"/>
    <w:rsid w:val="00084668"/>
    <w:rsid w:val="000850E0"/>
    <w:rsid w:val="00090C69"/>
    <w:rsid w:val="00093C07"/>
    <w:rsid w:val="000A72FE"/>
    <w:rsid w:val="000C0E01"/>
    <w:rsid w:val="000D5DD2"/>
    <w:rsid w:val="00105B69"/>
    <w:rsid w:val="00112E6D"/>
    <w:rsid w:val="00114FEE"/>
    <w:rsid w:val="00130FCC"/>
    <w:rsid w:val="001520BB"/>
    <w:rsid w:val="00157171"/>
    <w:rsid w:val="001618C4"/>
    <w:rsid w:val="0016725C"/>
    <w:rsid w:val="0018067E"/>
    <w:rsid w:val="0018680A"/>
    <w:rsid w:val="00187740"/>
    <w:rsid w:val="001A766C"/>
    <w:rsid w:val="001B659D"/>
    <w:rsid w:val="001D0049"/>
    <w:rsid w:val="001D02F1"/>
    <w:rsid w:val="001D58B0"/>
    <w:rsid w:val="00206AAE"/>
    <w:rsid w:val="00220E30"/>
    <w:rsid w:val="00225838"/>
    <w:rsid w:val="002313F2"/>
    <w:rsid w:val="00234065"/>
    <w:rsid w:val="00235E74"/>
    <w:rsid w:val="00265DF7"/>
    <w:rsid w:val="0028529C"/>
    <w:rsid w:val="00294479"/>
    <w:rsid w:val="002A5C9C"/>
    <w:rsid w:val="002A6271"/>
    <w:rsid w:val="002A6A0E"/>
    <w:rsid w:val="002B1D31"/>
    <w:rsid w:val="002C0E16"/>
    <w:rsid w:val="002E1B6A"/>
    <w:rsid w:val="002F6B90"/>
    <w:rsid w:val="00302E13"/>
    <w:rsid w:val="00307CAB"/>
    <w:rsid w:val="00311D20"/>
    <w:rsid w:val="003224FC"/>
    <w:rsid w:val="00326912"/>
    <w:rsid w:val="00345E0F"/>
    <w:rsid w:val="00350B6C"/>
    <w:rsid w:val="00366B7A"/>
    <w:rsid w:val="00376F10"/>
    <w:rsid w:val="00387BD8"/>
    <w:rsid w:val="003A5237"/>
    <w:rsid w:val="003B4303"/>
    <w:rsid w:val="003C0FD8"/>
    <w:rsid w:val="003E3DE0"/>
    <w:rsid w:val="003F0F3F"/>
    <w:rsid w:val="003F1C69"/>
    <w:rsid w:val="00406ABE"/>
    <w:rsid w:val="00423902"/>
    <w:rsid w:val="0042433E"/>
    <w:rsid w:val="004443EE"/>
    <w:rsid w:val="004533F5"/>
    <w:rsid w:val="0045490C"/>
    <w:rsid w:val="00460FA8"/>
    <w:rsid w:val="00490AA4"/>
    <w:rsid w:val="004A3206"/>
    <w:rsid w:val="004A3A37"/>
    <w:rsid w:val="004D0342"/>
    <w:rsid w:val="004D5E0F"/>
    <w:rsid w:val="004E4390"/>
    <w:rsid w:val="004E450A"/>
    <w:rsid w:val="004E6A69"/>
    <w:rsid w:val="004E7263"/>
    <w:rsid w:val="004F5FE1"/>
    <w:rsid w:val="004F6147"/>
    <w:rsid w:val="004F79B8"/>
    <w:rsid w:val="00500B78"/>
    <w:rsid w:val="005058AC"/>
    <w:rsid w:val="00512041"/>
    <w:rsid w:val="00516475"/>
    <w:rsid w:val="005238FB"/>
    <w:rsid w:val="005326A2"/>
    <w:rsid w:val="005418E1"/>
    <w:rsid w:val="00586A72"/>
    <w:rsid w:val="0059305E"/>
    <w:rsid w:val="005A2EC3"/>
    <w:rsid w:val="005A38A5"/>
    <w:rsid w:val="005B378B"/>
    <w:rsid w:val="006002B7"/>
    <w:rsid w:val="00620D32"/>
    <w:rsid w:val="00646A1E"/>
    <w:rsid w:val="006521A5"/>
    <w:rsid w:val="00662C5F"/>
    <w:rsid w:val="0066301A"/>
    <w:rsid w:val="00666B2F"/>
    <w:rsid w:val="00692217"/>
    <w:rsid w:val="006A5542"/>
    <w:rsid w:val="006B07D4"/>
    <w:rsid w:val="006C43BE"/>
    <w:rsid w:val="006C5F71"/>
    <w:rsid w:val="006F1205"/>
    <w:rsid w:val="006F2432"/>
    <w:rsid w:val="006F5DD5"/>
    <w:rsid w:val="0071555C"/>
    <w:rsid w:val="007157B1"/>
    <w:rsid w:val="00730837"/>
    <w:rsid w:val="00752E90"/>
    <w:rsid w:val="007609F1"/>
    <w:rsid w:val="00764EFF"/>
    <w:rsid w:val="007836B4"/>
    <w:rsid w:val="00791FB5"/>
    <w:rsid w:val="007A31D9"/>
    <w:rsid w:val="007A3C2A"/>
    <w:rsid w:val="007B00DE"/>
    <w:rsid w:val="007B0A52"/>
    <w:rsid w:val="007B65B8"/>
    <w:rsid w:val="007C08F3"/>
    <w:rsid w:val="007E4938"/>
    <w:rsid w:val="00812FDE"/>
    <w:rsid w:val="0084031B"/>
    <w:rsid w:val="00854021"/>
    <w:rsid w:val="00862498"/>
    <w:rsid w:val="008774C8"/>
    <w:rsid w:val="008D2F9B"/>
    <w:rsid w:val="008D3F18"/>
    <w:rsid w:val="008E0FB7"/>
    <w:rsid w:val="008E57BE"/>
    <w:rsid w:val="008F5785"/>
    <w:rsid w:val="00902877"/>
    <w:rsid w:val="009064CB"/>
    <w:rsid w:val="00913278"/>
    <w:rsid w:val="00914680"/>
    <w:rsid w:val="00925550"/>
    <w:rsid w:val="00927ADF"/>
    <w:rsid w:val="00934C8D"/>
    <w:rsid w:val="00934E2C"/>
    <w:rsid w:val="00950A16"/>
    <w:rsid w:val="009566A0"/>
    <w:rsid w:val="009625E1"/>
    <w:rsid w:val="00971167"/>
    <w:rsid w:val="009933B5"/>
    <w:rsid w:val="009B0BDF"/>
    <w:rsid w:val="009B5969"/>
    <w:rsid w:val="009B5C75"/>
    <w:rsid w:val="009F67C0"/>
    <w:rsid w:val="00A22542"/>
    <w:rsid w:val="00A345C4"/>
    <w:rsid w:val="00A36957"/>
    <w:rsid w:val="00A37848"/>
    <w:rsid w:val="00A45C79"/>
    <w:rsid w:val="00AA4439"/>
    <w:rsid w:val="00AA5984"/>
    <w:rsid w:val="00AB6B0D"/>
    <w:rsid w:val="00AD0DD3"/>
    <w:rsid w:val="00AD3343"/>
    <w:rsid w:val="00AE037E"/>
    <w:rsid w:val="00AE562A"/>
    <w:rsid w:val="00B244CC"/>
    <w:rsid w:val="00B2599C"/>
    <w:rsid w:val="00B331AB"/>
    <w:rsid w:val="00B35A0C"/>
    <w:rsid w:val="00B419A3"/>
    <w:rsid w:val="00B4306A"/>
    <w:rsid w:val="00B51138"/>
    <w:rsid w:val="00B919C7"/>
    <w:rsid w:val="00BA3DE8"/>
    <w:rsid w:val="00BC5D56"/>
    <w:rsid w:val="00BE5C72"/>
    <w:rsid w:val="00BF29CE"/>
    <w:rsid w:val="00C46D8D"/>
    <w:rsid w:val="00C55375"/>
    <w:rsid w:val="00C76C71"/>
    <w:rsid w:val="00C84121"/>
    <w:rsid w:val="00C95EE8"/>
    <w:rsid w:val="00CB332A"/>
    <w:rsid w:val="00CB7AE3"/>
    <w:rsid w:val="00CC21EE"/>
    <w:rsid w:val="00CE44E1"/>
    <w:rsid w:val="00CF111C"/>
    <w:rsid w:val="00CF14DB"/>
    <w:rsid w:val="00D06553"/>
    <w:rsid w:val="00D234A9"/>
    <w:rsid w:val="00D32930"/>
    <w:rsid w:val="00D44873"/>
    <w:rsid w:val="00D512CC"/>
    <w:rsid w:val="00D51C51"/>
    <w:rsid w:val="00D570B8"/>
    <w:rsid w:val="00D70B0D"/>
    <w:rsid w:val="00D714C0"/>
    <w:rsid w:val="00D76066"/>
    <w:rsid w:val="00D83ED2"/>
    <w:rsid w:val="00DA48E2"/>
    <w:rsid w:val="00DD769E"/>
    <w:rsid w:val="00DD7BE0"/>
    <w:rsid w:val="00DE39BC"/>
    <w:rsid w:val="00DF61B6"/>
    <w:rsid w:val="00E01B93"/>
    <w:rsid w:val="00E046D0"/>
    <w:rsid w:val="00E05706"/>
    <w:rsid w:val="00E1066D"/>
    <w:rsid w:val="00E1275E"/>
    <w:rsid w:val="00E15465"/>
    <w:rsid w:val="00E27F25"/>
    <w:rsid w:val="00E3328F"/>
    <w:rsid w:val="00E516B7"/>
    <w:rsid w:val="00E54058"/>
    <w:rsid w:val="00E63BEE"/>
    <w:rsid w:val="00E9666E"/>
    <w:rsid w:val="00E979FC"/>
    <w:rsid w:val="00EA6861"/>
    <w:rsid w:val="00EB290E"/>
    <w:rsid w:val="00EB30B4"/>
    <w:rsid w:val="00EC7406"/>
    <w:rsid w:val="00ED7862"/>
    <w:rsid w:val="00EE3703"/>
    <w:rsid w:val="00EF09A0"/>
    <w:rsid w:val="00F02E8C"/>
    <w:rsid w:val="00F0698F"/>
    <w:rsid w:val="00F25474"/>
    <w:rsid w:val="00F32536"/>
    <w:rsid w:val="00F42983"/>
    <w:rsid w:val="00F626FE"/>
    <w:rsid w:val="00F62B41"/>
    <w:rsid w:val="00F64AE5"/>
    <w:rsid w:val="00F857D6"/>
    <w:rsid w:val="00F8793A"/>
    <w:rsid w:val="00FC056C"/>
    <w:rsid w:val="00FE41CD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11D53"/>
  <w15:docId w15:val="{A83151BC-3486-4566-8D99-3F2F697E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0FCC"/>
    <w:pPr>
      <w:tabs>
        <w:tab w:val="left" w:pos="540"/>
        <w:tab w:val="left" w:pos="900"/>
        <w:tab w:val="left" w:pos="1080"/>
      </w:tabs>
      <w:suppressAutoHyphens/>
      <w:spacing w:before="120" w:after="120"/>
    </w:pPr>
    <w:rPr>
      <w:rFonts w:ascii="Verdana" w:hAnsi="Verdana" w:cs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130FCC"/>
    <w:pPr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1D58B0"/>
    <w:rPr>
      <w:rFonts w:ascii="Tahoma" w:hAnsi="Tahoma" w:cs="Tahoma"/>
      <w:sz w:val="16"/>
      <w:szCs w:val="16"/>
    </w:rPr>
  </w:style>
  <w:style w:type="character" w:styleId="Hyperlink">
    <w:name w:val="Hyperlink"/>
    <w:rsid w:val="00DD769E"/>
    <w:rPr>
      <w:color w:val="0000FF"/>
      <w:u w:val="single"/>
    </w:rPr>
  </w:style>
  <w:style w:type="paragraph" w:styleId="Koptekst">
    <w:name w:val="header"/>
    <w:basedOn w:val="Standaard"/>
    <w:rsid w:val="00093C07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093C07"/>
    <w:pPr>
      <w:tabs>
        <w:tab w:val="center" w:pos="4703"/>
        <w:tab w:val="right" w:pos="9406"/>
      </w:tabs>
    </w:pPr>
  </w:style>
  <w:style w:type="paragraph" w:customStyle="1" w:styleId="standaard0">
    <w:name w:val="standaard"/>
    <w:basedOn w:val="Standaard"/>
    <w:rsid w:val="000703E8"/>
    <w:pPr>
      <w:shd w:val="clear" w:color="auto" w:fill="FFFFFF"/>
      <w:suppressAutoHyphens w:val="0"/>
      <w:spacing w:before="30" w:line="180" w:lineRule="atLeast"/>
      <w:ind w:left="75" w:right="45" w:hanging="284"/>
    </w:pPr>
    <w:rPr>
      <w:color w:val="000000"/>
    </w:rPr>
  </w:style>
  <w:style w:type="character" w:styleId="GevolgdeHyperlink">
    <w:name w:val="FollowedHyperlink"/>
    <w:uiPriority w:val="99"/>
    <w:semiHidden/>
    <w:unhideWhenUsed/>
    <w:rsid w:val="003224FC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3269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26912"/>
  </w:style>
  <w:style w:type="character" w:customStyle="1" w:styleId="TekstopmerkingChar">
    <w:name w:val="Tekst opmerking Char"/>
    <w:link w:val="Tekstopmerking"/>
    <w:uiPriority w:val="99"/>
    <w:rsid w:val="0032691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691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26912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423902"/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130FCC"/>
    <w:rPr>
      <w:rFonts w:ascii="Verdana" w:hAnsi="Verdana" w:cs="Arial"/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130FCC"/>
    <w:rPr>
      <w:rFonts w:eastAsia="Verdana"/>
      <w:b/>
      <w:bCs/>
      <w:sz w:val="2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130FCC"/>
    <w:rPr>
      <w:rFonts w:ascii="Verdana" w:eastAsia="Verdana" w:hAnsi="Verdana"/>
      <w:b/>
      <w:bCs/>
      <w:sz w:val="22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0FCC"/>
    <w:rPr>
      <w:b/>
      <w:bCs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0FCC"/>
    <w:rPr>
      <w:rFonts w:ascii="Verdana" w:hAnsi="Verdana" w:cs="Arial"/>
      <w:b/>
      <w:bCs/>
    </w:rPr>
  </w:style>
  <w:style w:type="character" w:styleId="Subtielebenadrukking">
    <w:name w:val="Subtle Emphasis"/>
    <w:uiPriority w:val="19"/>
    <w:qFormat/>
    <w:rsid w:val="00130FCC"/>
    <w:rPr>
      <w:rFonts w:ascii="Verdana" w:hAnsi="Verdana" w:cs="Arial"/>
      <w:i/>
      <w:iCs/>
    </w:rPr>
  </w:style>
  <w:style w:type="paragraph" w:styleId="Lijstalinea">
    <w:name w:val="List Paragraph"/>
    <w:basedOn w:val="Standaard"/>
    <w:uiPriority w:val="34"/>
    <w:qFormat/>
    <w:rsid w:val="00130FC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5550"/>
    <w:pPr>
      <w:spacing w:before="0"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5550"/>
    <w:rPr>
      <w:rFonts w:ascii="Verdana" w:hAnsi="Verdana" w:cs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5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463</ap:Words>
  <ap:Characters>2568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Sjabloon beleidsbesluit v27012015</vt:lpstr>
    </vt:vector>
  </ap:TitlesOfParts>
  <ap:LinksUpToDate>false</ap:LinksUpToDate>
  <ap:CharactersWithSpaces>3025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2024-11-19T10:36:00.0000000Z</lastPrinted>
  <dcterms:created xsi:type="dcterms:W3CDTF">2024-12-17T14:38:00.0000000Z</dcterms:created>
  <dcterms:modified xsi:type="dcterms:W3CDTF">2024-12-17T14:38:00.0000000Z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0462cb-1b47-485e-830d-87ca0cc9766d_Enabled">
    <vt:lpwstr>true</vt:lpwstr>
  </property>
  <property fmtid="{D5CDD505-2E9C-101B-9397-08002B2CF9AE}" pid="3" name="MSIP_Label_e00462cb-1b47-485e-830d-87ca0cc9766d_SetDate">
    <vt:lpwstr>2022-02-22T15:40:18Z</vt:lpwstr>
  </property>
  <property fmtid="{D5CDD505-2E9C-101B-9397-08002B2CF9AE}" pid="4" name="MSIP_Label_e00462cb-1b47-485e-830d-87ca0cc9766d_Method">
    <vt:lpwstr>Standard</vt:lpwstr>
  </property>
  <property fmtid="{D5CDD505-2E9C-101B-9397-08002B2CF9AE}" pid="5" name="MSIP_Label_e00462cb-1b47-485e-830d-87ca0cc9766d_Name">
    <vt:lpwstr>Rijksoverheid (DGBEL)</vt:lpwstr>
  </property>
  <property fmtid="{D5CDD505-2E9C-101B-9397-08002B2CF9AE}" pid="6" name="MSIP_Label_e00462cb-1b47-485e-830d-87ca0cc9766d_SiteId">
    <vt:lpwstr>84712536-f524-40a0-913b-5d25ba502732</vt:lpwstr>
  </property>
  <property fmtid="{D5CDD505-2E9C-101B-9397-08002B2CF9AE}" pid="7" name="MSIP_Label_e00462cb-1b47-485e-830d-87ca0cc9766d_ActionId">
    <vt:lpwstr>6be576d8-c466-408a-968c-3077513290b7</vt:lpwstr>
  </property>
  <property fmtid="{D5CDD505-2E9C-101B-9397-08002B2CF9AE}" pid="8" name="MSIP_Label_e00462cb-1b47-485e-830d-87ca0cc9766d_ContentBits">
    <vt:lpwstr>0</vt:lpwstr>
  </property>
</Properties>
</file>