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38DB" w:rsidR="00CC38DB" w:rsidRDefault="0049273F" w14:paraId="0F1279DB" w14:textId="77777777">
      <w:pPr>
        <w:rPr>
          <w:rFonts w:ascii="Calibri" w:hAnsi="Calibri" w:cs="Calibri"/>
        </w:rPr>
      </w:pPr>
      <w:r w:rsidRPr="00CC38DB">
        <w:rPr>
          <w:rFonts w:ascii="Calibri" w:hAnsi="Calibri" w:cs="Calibri"/>
        </w:rPr>
        <w:t>31239</w:t>
      </w:r>
      <w:r w:rsidRPr="00CC38DB" w:rsidR="00CC38DB">
        <w:rPr>
          <w:rFonts w:ascii="Calibri" w:hAnsi="Calibri" w:cs="Calibri"/>
        </w:rPr>
        <w:tab/>
      </w:r>
      <w:r w:rsidRPr="00CC38DB" w:rsidR="00CC38DB">
        <w:rPr>
          <w:rFonts w:ascii="Calibri" w:hAnsi="Calibri" w:cs="Calibri"/>
        </w:rPr>
        <w:tab/>
      </w:r>
      <w:r w:rsidRPr="00CC38DB" w:rsidR="00CC38DB">
        <w:rPr>
          <w:rFonts w:ascii="Calibri" w:hAnsi="Calibri" w:cs="Calibri"/>
        </w:rPr>
        <w:tab/>
        <w:t xml:space="preserve">Stimulering duurzame energieproductie </w:t>
      </w:r>
    </w:p>
    <w:p w:rsidRPr="00CC38DB" w:rsidR="00CC38DB" w:rsidP="0049273F" w:rsidRDefault="00CC38DB" w14:paraId="4D0BCFF3" w14:textId="77777777">
      <w:pPr>
        <w:spacing w:after="0"/>
        <w:rPr>
          <w:rFonts w:ascii="Calibri" w:hAnsi="Calibri" w:cs="Calibri"/>
        </w:rPr>
      </w:pPr>
      <w:r w:rsidRPr="00CC38DB">
        <w:rPr>
          <w:rFonts w:ascii="Calibri" w:hAnsi="Calibri" w:cs="Calibri"/>
        </w:rPr>
        <w:t xml:space="preserve">Nr. </w:t>
      </w:r>
      <w:r w:rsidRPr="00CC38DB">
        <w:rPr>
          <w:rFonts w:ascii="Calibri" w:hAnsi="Calibri" w:cs="Calibri"/>
        </w:rPr>
        <w:t>402</w:t>
      </w:r>
      <w:r w:rsidRPr="00CC38DB">
        <w:rPr>
          <w:rFonts w:ascii="Calibri" w:hAnsi="Calibri" w:cs="Calibri"/>
        </w:rPr>
        <w:tab/>
      </w:r>
      <w:r w:rsidRPr="00CC38DB">
        <w:rPr>
          <w:rFonts w:ascii="Calibri" w:hAnsi="Calibri" w:cs="Calibri"/>
        </w:rPr>
        <w:tab/>
      </w:r>
      <w:r w:rsidRPr="00CC38DB">
        <w:rPr>
          <w:rFonts w:ascii="Calibri" w:hAnsi="Calibri" w:cs="Calibri"/>
        </w:rPr>
        <w:tab/>
        <w:t>Brief van de minister van Klimaat en Groene Groei</w:t>
      </w:r>
    </w:p>
    <w:p w:rsidRPr="00CC38DB" w:rsidR="00CC38DB" w:rsidP="0049273F" w:rsidRDefault="00CC38DB" w14:paraId="72DFAECD" w14:textId="77777777">
      <w:pPr>
        <w:spacing w:after="0"/>
        <w:rPr>
          <w:rFonts w:ascii="Calibri" w:hAnsi="Calibri" w:cs="Calibri"/>
        </w:rPr>
      </w:pPr>
    </w:p>
    <w:p w:rsidRPr="00CC38DB" w:rsidR="00CC38DB" w:rsidP="0049273F" w:rsidRDefault="00CC38DB" w14:paraId="338D51CA" w14:textId="77777777">
      <w:pPr>
        <w:spacing w:after="0"/>
        <w:rPr>
          <w:rFonts w:ascii="Calibri" w:hAnsi="Calibri" w:cs="Calibri"/>
        </w:rPr>
      </w:pPr>
      <w:r w:rsidRPr="00CC38DB">
        <w:rPr>
          <w:rFonts w:ascii="Calibri" w:hAnsi="Calibri" w:cs="Calibri"/>
        </w:rPr>
        <w:t>Aan de Voorzitter van de Tweede Kamer der Staten-Generaal</w:t>
      </w:r>
    </w:p>
    <w:p w:rsidRPr="00CC38DB" w:rsidR="00CC38DB" w:rsidP="0049273F" w:rsidRDefault="00CC38DB" w14:paraId="1E465671" w14:textId="77777777">
      <w:pPr>
        <w:spacing w:after="0"/>
        <w:rPr>
          <w:rFonts w:ascii="Calibri" w:hAnsi="Calibri" w:cs="Calibri"/>
        </w:rPr>
      </w:pPr>
    </w:p>
    <w:p w:rsidRPr="00CC38DB" w:rsidR="00CC38DB" w:rsidP="0049273F" w:rsidRDefault="00CC38DB" w14:paraId="3ED9E6EF" w14:textId="77777777">
      <w:pPr>
        <w:spacing w:after="0"/>
        <w:rPr>
          <w:rFonts w:ascii="Calibri" w:hAnsi="Calibri" w:cs="Calibri"/>
        </w:rPr>
      </w:pPr>
      <w:r w:rsidRPr="00CC38DB">
        <w:rPr>
          <w:rFonts w:ascii="Calibri" w:hAnsi="Calibri" w:cs="Calibri"/>
        </w:rPr>
        <w:t>Den Haag, 17 december 2024</w:t>
      </w:r>
    </w:p>
    <w:p w:rsidRPr="00CC38DB" w:rsidR="0049273F" w:rsidP="0049273F" w:rsidRDefault="0049273F" w14:paraId="51CED302" w14:textId="5C9442F7">
      <w:pPr>
        <w:spacing w:after="0"/>
        <w:rPr>
          <w:rFonts w:ascii="Calibri" w:hAnsi="Calibri" w:cs="Calibri"/>
        </w:rPr>
      </w:pPr>
      <w:r w:rsidRPr="00CC38DB">
        <w:rPr>
          <w:rFonts w:ascii="Calibri" w:hAnsi="Calibri" w:cs="Calibri"/>
        </w:rPr>
        <w:br/>
      </w:r>
      <w:r w:rsidRPr="00CC38DB">
        <w:rPr>
          <w:rFonts w:ascii="Calibri" w:hAnsi="Calibri" w:cs="Calibri"/>
        </w:rPr>
        <w:br/>
        <w:t xml:space="preserve">Met deze brief informeert het kabinet de Kamer over de Subsidieregeling Coöperatieve Energieopwekking (SCE). Deze regeling is bedoeld voor coöperaties en VvE’s die een bijdrage willen leveren aan de energietransitie. Met de SCE stelt het kabinet jaarlijks subsidie beschikbaar voor lokale projecten voor de opwek van hernieuwbare elektriciteit met zonnepanelen, windturbines en waterkrachtcentrales. Deze brief gaat eerst in op de resultaten van de openstellingsronde van 2024 en geeft vervolgens een vooruitblik naar de openstellingsronde van 2025. </w:t>
      </w:r>
    </w:p>
    <w:p w:rsidRPr="00CC38DB" w:rsidR="0049273F" w:rsidP="0049273F" w:rsidRDefault="0049273F" w14:paraId="0681D450" w14:textId="77777777">
      <w:pPr>
        <w:spacing w:after="0"/>
        <w:rPr>
          <w:rFonts w:ascii="Calibri" w:hAnsi="Calibri" w:cs="Calibri"/>
        </w:rPr>
      </w:pPr>
    </w:p>
    <w:p w:rsidRPr="00CC38DB" w:rsidR="0049273F" w:rsidP="0049273F" w:rsidRDefault="0049273F" w14:paraId="3DBAB9B5" w14:textId="77777777">
      <w:pPr>
        <w:spacing w:after="0"/>
        <w:rPr>
          <w:rFonts w:ascii="Calibri" w:hAnsi="Calibri" w:cs="Calibri"/>
          <w:b/>
          <w:bCs/>
        </w:rPr>
      </w:pPr>
      <w:r w:rsidRPr="00CC38DB">
        <w:rPr>
          <w:rFonts w:ascii="Calibri" w:hAnsi="Calibri" w:cs="Calibri"/>
          <w:b/>
          <w:bCs/>
        </w:rPr>
        <w:t>Resultaten openstellingsronde 2024</w:t>
      </w:r>
    </w:p>
    <w:p w:rsidRPr="00CC38DB" w:rsidR="0049273F" w:rsidP="0049273F" w:rsidRDefault="0049273F" w14:paraId="3F733AE2" w14:textId="77777777">
      <w:pPr>
        <w:spacing w:after="0"/>
        <w:rPr>
          <w:rFonts w:ascii="Calibri" w:hAnsi="Calibri" w:cs="Calibri"/>
        </w:rPr>
      </w:pPr>
      <w:r w:rsidRPr="00CC38DB">
        <w:rPr>
          <w:rFonts w:ascii="Calibri" w:hAnsi="Calibri" w:cs="Calibri"/>
        </w:rPr>
        <w:t xml:space="preserve">De openstellingsronde van de SCE van 2024 vond plaats van 2 april 2024 tot en met 1 november 2024. Het totaal beschikbare budget was 100 miljoen euro. De beoordeling van aanvragen door de Rijksdienst voor Ondernemend Nederland (RVO) is afgerond op 10 december 2024. Het resultaat van de openstellingsronde is te zien in onderstaande tabel. </w:t>
      </w:r>
    </w:p>
    <w:p w:rsidRPr="00CC38DB" w:rsidR="0049273F" w:rsidP="0049273F" w:rsidRDefault="0049273F" w14:paraId="42A6B9AE" w14:textId="77777777">
      <w:pPr>
        <w:spacing w:after="0"/>
        <w:rPr>
          <w:rFonts w:ascii="Calibri" w:hAnsi="Calibri" w:cs="Calibri"/>
        </w:rPr>
      </w:pPr>
    </w:p>
    <w:p w:rsidRPr="00CC38DB" w:rsidR="0049273F" w:rsidP="0049273F" w:rsidRDefault="0049273F" w14:paraId="112E304A" w14:textId="77777777">
      <w:pPr>
        <w:pStyle w:val="Bijschrift"/>
        <w:keepNext/>
        <w:spacing w:after="0" w:line="240" w:lineRule="atLeast"/>
        <w:rPr>
          <w:rFonts w:ascii="Calibri" w:hAnsi="Calibri" w:cs="Calibri"/>
          <w:sz w:val="22"/>
          <w:szCs w:val="22"/>
        </w:rPr>
      </w:pPr>
      <w:r w:rsidRPr="00CC38DB">
        <w:rPr>
          <w:rFonts w:ascii="Calibri" w:hAnsi="Calibri" w:cs="Calibri"/>
          <w:sz w:val="22"/>
          <w:szCs w:val="22"/>
        </w:rPr>
        <w:t xml:space="preserve">Tabel </w:t>
      </w:r>
      <w:r w:rsidRPr="00CC38DB">
        <w:rPr>
          <w:rFonts w:ascii="Calibri" w:hAnsi="Calibri" w:cs="Calibri"/>
          <w:sz w:val="22"/>
          <w:szCs w:val="22"/>
        </w:rPr>
        <w:fldChar w:fldCharType="begin"/>
      </w:r>
      <w:r w:rsidRPr="00CC38DB">
        <w:rPr>
          <w:rFonts w:ascii="Calibri" w:hAnsi="Calibri" w:cs="Calibri"/>
          <w:sz w:val="22"/>
          <w:szCs w:val="22"/>
        </w:rPr>
        <w:instrText xml:space="preserve"> SEQ Tabel \* ARABIC </w:instrText>
      </w:r>
      <w:r w:rsidRPr="00CC38DB">
        <w:rPr>
          <w:rFonts w:ascii="Calibri" w:hAnsi="Calibri" w:cs="Calibri"/>
          <w:sz w:val="22"/>
          <w:szCs w:val="22"/>
        </w:rPr>
        <w:fldChar w:fldCharType="separate"/>
      </w:r>
      <w:r w:rsidRPr="00CC38DB">
        <w:rPr>
          <w:rFonts w:ascii="Calibri" w:hAnsi="Calibri" w:cs="Calibri"/>
          <w:noProof/>
          <w:sz w:val="22"/>
          <w:szCs w:val="22"/>
        </w:rPr>
        <w:t>1</w:t>
      </w:r>
      <w:r w:rsidRPr="00CC38DB">
        <w:rPr>
          <w:rFonts w:ascii="Calibri" w:hAnsi="Calibri" w:cs="Calibri"/>
          <w:sz w:val="22"/>
          <w:szCs w:val="22"/>
        </w:rPr>
        <w:fldChar w:fldCharType="end"/>
      </w:r>
      <w:r w:rsidRPr="00CC38DB">
        <w:rPr>
          <w:rFonts w:ascii="Calibri" w:hAnsi="Calibri" w:cs="Calibri"/>
          <w:sz w:val="22"/>
          <w:szCs w:val="22"/>
        </w:rPr>
        <w:t xml:space="preserve">: Aanvragen en beschikkingen SCE 2024 </w:t>
      </w:r>
    </w:p>
    <w:tbl>
      <w:tblPr>
        <w:tblStyle w:val="Rastertabel4-Accent1"/>
        <w:tblW w:w="8500" w:type="dxa"/>
        <w:tblLook w:val="06A0" w:firstRow="1" w:lastRow="0" w:firstColumn="1" w:lastColumn="0" w:noHBand="1" w:noVBand="1"/>
      </w:tblPr>
      <w:tblGrid>
        <w:gridCol w:w="2122"/>
        <w:gridCol w:w="1275"/>
        <w:gridCol w:w="1560"/>
        <w:gridCol w:w="1842"/>
        <w:gridCol w:w="1701"/>
      </w:tblGrid>
      <w:tr w:rsidRPr="00CC38DB" w:rsidR="0049273F" w:rsidTr="00800367" w14:paraId="3B2688DD"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33FF45D3" w14:textId="77777777">
            <w:pPr>
              <w:rPr>
                <w:rFonts w:ascii="Calibri" w:hAnsi="Calibri" w:eastAsia="Aptos Narrow" w:cs="Calibri"/>
                <w:b w:val="0"/>
                <w:bCs w:val="0"/>
                <w:sz w:val="22"/>
                <w:szCs w:val="22"/>
              </w:rPr>
            </w:pPr>
            <w:proofErr w:type="spellStart"/>
            <w:r w:rsidRPr="00CC38DB">
              <w:rPr>
                <w:rFonts w:ascii="Calibri" w:hAnsi="Calibri" w:eastAsia="Aptos Narrow" w:cs="Calibri"/>
                <w:sz w:val="22"/>
                <w:szCs w:val="22"/>
              </w:rPr>
              <w:t>Categorieën</w:t>
            </w:r>
            <w:proofErr w:type="spellEnd"/>
          </w:p>
        </w:tc>
        <w:tc>
          <w:tcPr>
            <w:tcW w:w="1275" w:type="dxa"/>
          </w:tcPr>
          <w:p w:rsidRPr="00CC38DB" w:rsidR="0049273F" w:rsidP="0049273F" w:rsidRDefault="0049273F" w14:paraId="6326794E" w14:textId="77777777">
            <w:pPr>
              <w:cnfStyle w:val="100000000000" w:firstRow="1" w:lastRow="0" w:firstColumn="0" w:lastColumn="0" w:oddVBand="0" w:evenVBand="0" w:oddHBand="0" w:evenHBand="0" w:firstRowFirstColumn="0" w:firstRowLastColumn="0" w:lastRowFirstColumn="0" w:lastRowLastColumn="0"/>
              <w:rPr>
                <w:rFonts w:ascii="Calibri" w:hAnsi="Calibri" w:eastAsia="Aptos Narrow" w:cs="Calibri"/>
                <w:b w:val="0"/>
                <w:bCs w:val="0"/>
                <w:sz w:val="22"/>
                <w:szCs w:val="22"/>
              </w:rPr>
            </w:pPr>
            <w:proofErr w:type="spellStart"/>
            <w:r w:rsidRPr="00CC38DB">
              <w:rPr>
                <w:rFonts w:ascii="Calibri" w:hAnsi="Calibri" w:eastAsia="Aptos Narrow" w:cs="Calibri"/>
                <w:sz w:val="22"/>
                <w:szCs w:val="22"/>
              </w:rPr>
              <w:t>Aanvragen</w:t>
            </w:r>
            <w:proofErr w:type="spellEnd"/>
          </w:p>
        </w:tc>
        <w:tc>
          <w:tcPr>
            <w:tcW w:w="1560" w:type="dxa"/>
          </w:tcPr>
          <w:p w:rsidRPr="00CC38DB" w:rsidR="0049273F" w:rsidP="0049273F" w:rsidRDefault="0049273F" w14:paraId="56089461" w14:textId="77777777">
            <w:pPr>
              <w:cnfStyle w:val="100000000000" w:firstRow="1" w:lastRow="0" w:firstColumn="0" w:lastColumn="0" w:oddVBand="0" w:evenVBand="0" w:oddHBand="0" w:evenHBand="0" w:firstRowFirstColumn="0" w:firstRowLastColumn="0" w:lastRowFirstColumn="0" w:lastRowLastColumn="0"/>
              <w:rPr>
                <w:rFonts w:ascii="Calibri" w:hAnsi="Calibri" w:eastAsia="Aptos Narrow" w:cs="Calibri"/>
                <w:b w:val="0"/>
                <w:bCs w:val="0"/>
                <w:sz w:val="22"/>
                <w:szCs w:val="22"/>
              </w:rPr>
            </w:pPr>
            <w:proofErr w:type="spellStart"/>
            <w:r w:rsidRPr="00CC38DB">
              <w:rPr>
                <w:rFonts w:ascii="Calibri" w:hAnsi="Calibri" w:eastAsia="Aptos Narrow" w:cs="Calibri"/>
                <w:sz w:val="22"/>
                <w:szCs w:val="22"/>
              </w:rPr>
              <w:t>Beschikkingen</w:t>
            </w:r>
            <w:proofErr w:type="spellEnd"/>
          </w:p>
        </w:tc>
        <w:tc>
          <w:tcPr>
            <w:tcW w:w="1842" w:type="dxa"/>
          </w:tcPr>
          <w:p w:rsidRPr="00CC38DB" w:rsidR="0049273F" w:rsidP="0049273F" w:rsidRDefault="0049273F" w14:paraId="22312E6C" w14:textId="77777777">
            <w:pPr>
              <w:cnfStyle w:val="100000000000" w:firstRow="1" w:lastRow="0" w:firstColumn="0" w:lastColumn="0" w:oddVBand="0" w:evenVBand="0" w:oddHBand="0" w:evenHBand="0" w:firstRowFirstColumn="0" w:firstRowLastColumn="0" w:lastRowFirstColumn="0" w:lastRowLastColumn="0"/>
              <w:rPr>
                <w:rFonts w:ascii="Calibri" w:hAnsi="Calibri" w:eastAsia="Aptos Narrow" w:cs="Calibri"/>
                <w:b w:val="0"/>
                <w:bCs w:val="0"/>
                <w:sz w:val="22"/>
                <w:szCs w:val="22"/>
              </w:rPr>
            </w:pPr>
            <w:proofErr w:type="spellStart"/>
            <w:r w:rsidRPr="00CC38DB">
              <w:rPr>
                <w:rFonts w:ascii="Calibri" w:hAnsi="Calibri" w:eastAsia="Aptos Narrow" w:cs="Calibri"/>
                <w:sz w:val="22"/>
                <w:szCs w:val="22"/>
              </w:rPr>
              <w:t>Beschikt</w:t>
            </w:r>
            <w:proofErr w:type="spellEnd"/>
            <w:r w:rsidRPr="00CC38DB">
              <w:rPr>
                <w:rFonts w:ascii="Calibri" w:hAnsi="Calibri" w:eastAsia="Aptos Narrow" w:cs="Calibri"/>
                <w:sz w:val="22"/>
                <w:szCs w:val="22"/>
              </w:rPr>
              <w:t xml:space="preserve"> </w:t>
            </w:r>
            <w:proofErr w:type="spellStart"/>
            <w:r w:rsidRPr="00CC38DB">
              <w:rPr>
                <w:rFonts w:ascii="Calibri" w:hAnsi="Calibri" w:eastAsia="Aptos Narrow" w:cs="Calibri"/>
                <w:sz w:val="22"/>
                <w:szCs w:val="22"/>
              </w:rPr>
              <w:t>vermogen</w:t>
            </w:r>
            <w:proofErr w:type="spellEnd"/>
            <w:r w:rsidRPr="00CC38DB">
              <w:rPr>
                <w:rFonts w:ascii="Calibri" w:hAnsi="Calibri" w:eastAsia="Aptos Narrow" w:cs="Calibri"/>
                <w:sz w:val="22"/>
                <w:szCs w:val="22"/>
              </w:rPr>
              <w:t xml:space="preserve"> (MW)</w:t>
            </w:r>
          </w:p>
        </w:tc>
        <w:tc>
          <w:tcPr>
            <w:tcW w:w="1701" w:type="dxa"/>
          </w:tcPr>
          <w:p w:rsidRPr="00CC38DB" w:rsidR="0049273F" w:rsidP="0049273F" w:rsidRDefault="0049273F" w14:paraId="53CEAF43" w14:textId="77777777">
            <w:pPr>
              <w:cnfStyle w:val="100000000000" w:firstRow="1" w:lastRow="0" w:firstColumn="0" w:lastColumn="0" w:oddVBand="0" w:evenVBand="0" w:oddHBand="0" w:evenHBand="0" w:firstRowFirstColumn="0" w:firstRowLastColumn="0" w:lastRowFirstColumn="0" w:lastRowLastColumn="0"/>
              <w:rPr>
                <w:rFonts w:ascii="Calibri" w:hAnsi="Calibri" w:eastAsia="Aptos Narrow" w:cs="Calibri"/>
                <w:b w:val="0"/>
                <w:bCs w:val="0"/>
                <w:sz w:val="22"/>
                <w:szCs w:val="22"/>
              </w:rPr>
            </w:pPr>
            <w:proofErr w:type="spellStart"/>
            <w:r w:rsidRPr="00CC38DB">
              <w:rPr>
                <w:rFonts w:ascii="Calibri" w:hAnsi="Calibri" w:eastAsia="Aptos Narrow" w:cs="Calibri"/>
                <w:sz w:val="22"/>
                <w:szCs w:val="22"/>
              </w:rPr>
              <w:t>Budgetclaim</w:t>
            </w:r>
            <w:proofErr w:type="spellEnd"/>
            <w:r w:rsidRPr="00CC38DB">
              <w:rPr>
                <w:rFonts w:ascii="Calibri" w:hAnsi="Calibri" w:eastAsia="Aptos Narrow" w:cs="Calibri"/>
                <w:sz w:val="22"/>
                <w:szCs w:val="22"/>
              </w:rPr>
              <w:t xml:space="preserve"> (€)</w:t>
            </w:r>
          </w:p>
        </w:tc>
      </w:tr>
      <w:tr w:rsidRPr="00CC38DB" w:rsidR="0049273F" w:rsidTr="00800367" w14:paraId="3D741010" w14:textId="77777777">
        <w:trPr>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505D52DC" w14:textId="77777777">
            <w:pPr>
              <w:rPr>
                <w:rFonts w:ascii="Calibri" w:hAnsi="Calibri" w:eastAsia="Aptos Narrow" w:cs="Calibri"/>
                <w:color w:val="000000" w:themeColor="text1"/>
                <w:sz w:val="22"/>
                <w:szCs w:val="22"/>
                <w:lang w:val="nl-NL"/>
              </w:rPr>
            </w:pPr>
            <w:r w:rsidRPr="00CC38DB">
              <w:rPr>
                <w:rFonts w:ascii="Calibri" w:hAnsi="Calibri" w:eastAsia="Aptos Narrow" w:cs="Calibri"/>
                <w:b w:val="0"/>
                <w:bCs w:val="0"/>
                <w:color w:val="000000" w:themeColor="text1"/>
                <w:sz w:val="22"/>
                <w:szCs w:val="22"/>
                <w:lang w:val="nl-NL"/>
              </w:rPr>
              <w:t xml:space="preserve">Zon op dak </w:t>
            </w:r>
            <w:proofErr w:type="spellStart"/>
            <w:r w:rsidRPr="00CC38DB">
              <w:rPr>
                <w:rFonts w:ascii="Calibri" w:hAnsi="Calibri" w:eastAsia="Aptos Narrow" w:cs="Calibri"/>
                <w:b w:val="0"/>
                <w:bCs w:val="0"/>
                <w:color w:val="000000" w:themeColor="text1"/>
                <w:sz w:val="22"/>
                <w:szCs w:val="22"/>
                <w:lang w:val="nl-NL"/>
              </w:rPr>
              <w:t>kva</w:t>
            </w:r>
            <w:proofErr w:type="spellEnd"/>
            <w:r w:rsidRPr="00CC38DB">
              <w:rPr>
                <w:rFonts w:ascii="Calibri" w:hAnsi="Calibri" w:eastAsia="Aptos Narrow" w:cs="Calibri"/>
                <w:b w:val="0"/>
                <w:bCs w:val="0"/>
                <w:color w:val="000000" w:themeColor="text1"/>
                <w:sz w:val="22"/>
                <w:szCs w:val="22"/>
                <w:lang w:val="nl-NL"/>
              </w:rPr>
              <w:t xml:space="preserve"> &gt;= 15 </w:t>
            </w:r>
            <w:proofErr w:type="spellStart"/>
            <w:r w:rsidRPr="00CC38DB">
              <w:rPr>
                <w:rFonts w:ascii="Calibri" w:hAnsi="Calibri" w:eastAsia="Aptos Narrow" w:cs="Calibri"/>
                <w:b w:val="0"/>
                <w:bCs w:val="0"/>
                <w:color w:val="000000" w:themeColor="text1"/>
                <w:sz w:val="22"/>
                <w:szCs w:val="22"/>
                <w:lang w:val="nl-NL"/>
              </w:rPr>
              <w:t>kWp</w:t>
            </w:r>
            <w:proofErr w:type="spellEnd"/>
            <w:r w:rsidRPr="00CC38DB">
              <w:rPr>
                <w:rFonts w:ascii="Calibri" w:hAnsi="Calibri" w:eastAsia="Aptos Narrow" w:cs="Calibri"/>
                <w:b w:val="0"/>
                <w:bCs w:val="0"/>
                <w:color w:val="000000" w:themeColor="text1"/>
                <w:sz w:val="22"/>
                <w:szCs w:val="22"/>
                <w:lang w:val="nl-NL"/>
              </w:rPr>
              <w:t xml:space="preserve"> en &lt;= 100 </w:t>
            </w:r>
            <w:proofErr w:type="spellStart"/>
            <w:r w:rsidRPr="00CC38DB">
              <w:rPr>
                <w:rFonts w:ascii="Calibri" w:hAnsi="Calibri" w:eastAsia="Aptos Narrow" w:cs="Calibri"/>
                <w:b w:val="0"/>
                <w:bCs w:val="0"/>
                <w:color w:val="000000" w:themeColor="text1"/>
                <w:sz w:val="22"/>
                <w:szCs w:val="22"/>
                <w:lang w:val="nl-NL"/>
              </w:rPr>
              <w:t>kWp</w:t>
            </w:r>
            <w:proofErr w:type="spellEnd"/>
          </w:p>
        </w:tc>
        <w:tc>
          <w:tcPr>
            <w:tcW w:w="1275" w:type="dxa"/>
          </w:tcPr>
          <w:p w:rsidRPr="00CC38DB" w:rsidR="0049273F" w:rsidP="0049273F" w:rsidRDefault="0049273F" w14:paraId="2740B4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67</w:t>
            </w:r>
          </w:p>
        </w:tc>
        <w:tc>
          <w:tcPr>
            <w:tcW w:w="1560" w:type="dxa"/>
          </w:tcPr>
          <w:p w:rsidRPr="00CC38DB" w:rsidR="0049273F" w:rsidP="0049273F" w:rsidRDefault="0049273F" w14:paraId="784D6F5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55</w:t>
            </w:r>
          </w:p>
        </w:tc>
        <w:tc>
          <w:tcPr>
            <w:tcW w:w="1842" w:type="dxa"/>
          </w:tcPr>
          <w:p w:rsidRPr="00CC38DB" w:rsidR="0049273F" w:rsidP="0049273F" w:rsidRDefault="0049273F" w14:paraId="4DB5A8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4,4</w:t>
            </w:r>
          </w:p>
        </w:tc>
        <w:tc>
          <w:tcPr>
            <w:tcW w:w="1701" w:type="dxa"/>
          </w:tcPr>
          <w:p w:rsidRPr="00CC38DB" w:rsidR="0049273F" w:rsidP="0049273F" w:rsidRDefault="0049273F" w14:paraId="4D07C0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4.466.144</w:t>
            </w:r>
          </w:p>
        </w:tc>
      </w:tr>
      <w:tr w:rsidRPr="00CC38DB" w:rsidR="0049273F" w:rsidTr="00800367" w14:paraId="61384BBE" w14:textId="77777777">
        <w:trPr>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2898F9ED" w14:textId="77777777">
            <w:pPr>
              <w:rPr>
                <w:rFonts w:ascii="Calibri" w:hAnsi="Calibri" w:eastAsia="Aptos Narrow" w:cs="Calibri"/>
                <w:color w:val="000000" w:themeColor="text1"/>
                <w:sz w:val="22"/>
                <w:szCs w:val="22"/>
                <w:lang w:val="nl-NL"/>
              </w:rPr>
            </w:pPr>
            <w:r w:rsidRPr="00CC38DB">
              <w:rPr>
                <w:rFonts w:ascii="Calibri" w:hAnsi="Calibri" w:eastAsia="Aptos Narrow" w:cs="Calibri"/>
                <w:b w:val="0"/>
                <w:bCs w:val="0"/>
                <w:color w:val="000000" w:themeColor="text1"/>
                <w:sz w:val="22"/>
                <w:szCs w:val="22"/>
                <w:lang w:val="nl-NL"/>
              </w:rPr>
              <w:t xml:space="preserve">Zon op veld </w:t>
            </w:r>
            <w:proofErr w:type="spellStart"/>
            <w:r w:rsidRPr="00CC38DB">
              <w:rPr>
                <w:rFonts w:ascii="Calibri" w:hAnsi="Calibri" w:eastAsia="Aptos Narrow" w:cs="Calibri"/>
                <w:b w:val="0"/>
                <w:bCs w:val="0"/>
                <w:color w:val="000000" w:themeColor="text1"/>
                <w:sz w:val="22"/>
                <w:szCs w:val="22"/>
                <w:lang w:val="nl-NL"/>
              </w:rPr>
              <w:t>kva</w:t>
            </w:r>
            <w:proofErr w:type="spellEnd"/>
            <w:r w:rsidRPr="00CC38DB">
              <w:rPr>
                <w:rFonts w:ascii="Calibri" w:hAnsi="Calibri" w:eastAsia="Aptos Narrow" w:cs="Calibri"/>
                <w:b w:val="0"/>
                <w:bCs w:val="0"/>
                <w:color w:val="000000" w:themeColor="text1"/>
                <w:sz w:val="22"/>
                <w:szCs w:val="22"/>
                <w:lang w:val="nl-NL"/>
              </w:rPr>
              <w:t xml:space="preserve"> &gt;= 15 </w:t>
            </w:r>
            <w:proofErr w:type="spellStart"/>
            <w:r w:rsidRPr="00CC38DB">
              <w:rPr>
                <w:rFonts w:ascii="Calibri" w:hAnsi="Calibri" w:eastAsia="Aptos Narrow" w:cs="Calibri"/>
                <w:b w:val="0"/>
                <w:bCs w:val="0"/>
                <w:color w:val="000000" w:themeColor="text1"/>
                <w:sz w:val="22"/>
                <w:szCs w:val="22"/>
                <w:lang w:val="nl-NL"/>
              </w:rPr>
              <w:t>kWp</w:t>
            </w:r>
            <w:proofErr w:type="spellEnd"/>
            <w:r w:rsidRPr="00CC38DB">
              <w:rPr>
                <w:rFonts w:ascii="Calibri" w:hAnsi="Calibri" w:eastAsia="Aptos Narrow" w:cs="Calibri"/>
                <w:b w:val="0"/>
                <w:bCs w:val="0"/>
                <w:color w:val="000000" w:themeColor="text1"/>
                <w:sz w:val="22"/>
                <w:szCs w:val="22"/>
                <w:lang w:val="nl-NL"/>
              </w:rPr>
              <w:t xml:space="preserve"> en &lt;= 100 </w:t>
            </w:r>
            <w:proofErr w:type="spellStart"/>
            <w:r w:rsidRPr="00CC38DB">
              <w:rPr>
                <w:rFonts w:ascii="Calibri" w:hAnsi="Calibri" w:eastAsia="Aptos Narrow" w:cs="Calibri"/>
                <w:b w:val="0"/>
                <w:bCs w:val="0"/>
                <w:color w:val="000000" w:themeColor="text1"/>
                <w:sz w:val="22"/>
                <w:szCs w:val="22"/>
                <w:lang w:val="nl-NL"/>
              </w:rPr>
              <w:t>kWp</w:t>
            </w:r>
            <w:proofErr w:type="spellEnd"/>
          </w:p>
        </w:tc>
        <w:tc>
          <w:tcPr>
            <w:tcW w:w="1275" w:type="dxa"/>
          </w:tcPr>
          <w:p w:rsidRPr="00CC38DB" w:rsidR="0049273F" w:rsidP="0049273F" w:rsidRDefault="0049273F" w14:paraId="0FB8B0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3</w:t>
            </w:r>
          </w:p>
        </w:tc>
        <w:tc>
          <w:tcPr>
            <w:tcW w:w="1560" w:type="dxa"/>
          </w:tcPr>
          <w:p w:rsidRPr="00CC38DB" w:rsidR="0049273F" w:rsidP="0049273F" w:rsidRDefault="0049273F" w14:paraId="3B652D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1</w:t>
            </w:r>
          </w:p>
        </w:tc>
        <w:tc>
          <w:tcPr>
            <w:tcW w:w="1842" w:type="dxa"/>
          </w:tcPr>
          <w:p w:rsidRPr="00CC38DB" w:rsidR="0049273F" w:rsidP="0049273F" w:rsidRDefault="0049273F" w14:paraId="339727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0,1</w:t>
            </w:r>
          </w:p>
        </w:tc>
        <w:tc>
          <w:tcPr>
            <w:tcW w:w="1701" w:type="dxa"/>
          </w:tcPr>
          <w:p w:rsidRPr="00CC38DB" w:rsidR="0049273F" w:rsidP="0049273F" w:rsidRDefault="0049273F" w14:paraId="48C24E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102.600</w:t>
            </w:r>
          </w:p>
        </w:tc>
      </w:tr>
      <w:tr w:rsidRPr="00CC38DB" w:rsidR="0049273F" w:rsidTr="00800367" w14:paraId="502ED75F" w14:textId="77777777">
        <w:trPr>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47BE92C3" w14:textId="77777777">
            <w:pPr>
              <w:rPr>
                <w:rFonts w:ascii="Calibri" w:hAnsi="Calibri" w:eastAsia="Aptos Narrow" w:cs="Calibri"/>
                <w:color w:val="000000" w:themeColor="text1"/>
                <w:sz w:val="22"/>
                <w:szCs w:val="22"/>
                <w:lang w:val="nl-NL"/>
              </w:rPr>
            </w:pPr>
            <w:r w:rsidRPr="00CC38DB">
              <w:rPr>
                <w:rFonts w:ascii="Calibri" w:hAnsi="Calibri" w:eastAsia="Aptos Narrow" w:cs="Calibri"/>
                <w:b w:val="0"/>
                <w:bCs w:val="0"/>
                <w:color w:val="000000" w:themeColor="text1"/>
                <w:sz w:val="22"/>
                <w:szCs w:val="22"/>
                <w:lang w:val="nl-NL"/>
              </w:rPr>
              <w:t xml:space="preserve">Zon op dak </w:t>
            </w:r>
            <w:proofErr w:type="spellStart"/>
            <w:r w:rsidRPr="00CC38DB">
              <w:rPr>
                <w:rFonts w:ascii="Calibri" w:hAnsi="Calibri" w:eastAsia="Aptos Narrow" w:cs="Calibri"/>
                <w:b w:val="0"/>
                <w:bCs w:val="0"/>
                <w:color w:val="000000" w:themeColor="text1"/>
                <w:sz w:val="22"/>
                <w:szCs w:val="22"/>
                <w:lang w:val="nl-NL"/>
              </w:rPr>
              <w:t>gva</w:t>
            </w:r>
            <w:proofErr w:type="spellEnd"/>
            <w:r w:rsidRPr="00CC38DB">
              <w:rPr>
                <w:rFonts w:ascii="Calibri" w:hAnsi="Calibri" w:eastAsia="Aptos Narrow" w:cs="Calibri"/>
                <w:b w:val="0"/>
                <w:bCs w:val="0"/>
                <w:color w:val="000000" w:themeColor="text1"/>
                <w:sz w:val="22"/>
                <w:szCs w:val="22"/>
                <w:lang w:val="nl-NL"/>
              </w:rPr>
              <w:t xml:space="preserve"> &gt;= 15 </w:t>
            </w:r>
            <w:proofErr w:type="spellStart"/>
            <w:r w:rsidRPr="00CC38DB">
              <w:rPr>
                <w:rFonts w:ascii="Calibri" w:hAnsi="Calibri" w:eastAsia="Aptos Narrow" w:cs="Calibri"/>
                <w:b w:val="0"/>
                <w:bCs w:val="0"/>
                <w:color w:val="000000" w:themeColor="text1"/>
                <w:sz w:val="22"/>
                <w:szCs w:val="22"/>
                <w:lang w:val="nl-NL"/>
              </w:rPr>
              <w:t>kWp</w:t>
            </w:r>
            <w:proofErr w:type="spellEnd"/>
            <w:r w:rsidRPr="00CC38DB">
              <w:rPr>
                <w:rFonts w:ascii="Calibri" w:hAnsi="Calibri" w:eastAsia="Aptos Narrow" w:cs="Calibri"/>
                <w:b w:val="0"/>
                <w:bCs w:val="0"/>
                <w:color w:val="000000" w:themeColor="text1"/>
                <w:sz w:val="22"/>
                <w:szCs w:val="22"/>
                <w:lang w:val="nl-NL"/>
              </w:rPr>
              <w:t xml:space="preserve"> en &lt; 500 </w:t>
            </w:r>
            <w:proofErr w:type="spellStart"/>
            <w:r w:rsidRPr="00CC38DB">
              <w:rPr>
                <w:rFonts w:ascii="Calibri" w:hAnsi="Calibri" w:eastAsia="Aptos Narrow" w:cs="Calibri"/>
                <w:b w:val="0"/>
                <w:bCs w:val="0"/>
                <w:color w:val="000000" w:themeColor="text1"/>
                <w:sz w:val="22"/>
                <w:szCs w:val="22"/>
                <w:lang w:val="nl-NL"/>
              </w:rPr>
              <w:t>kWp</w:t>
            </w:r>
            <w:proofErr w:type="spellEnd"/>
          </w:p>
        </w:tc>
        <w:tc>
          <w:tcPr>
            <w:tcW w:w="1275" w:type="dxa"/>
          </w:tcPr>
          <w:p w:rsidRPr="00CC38DB" w:rsidR="0049273F" w:rsidP="0049273F" w:rsidRDefault="0049273F" w14:paraId="75111B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12</w:t>
            </w:r>
          </w:p>
        </w:tc>
        <w:tc>
          <w:tcPr>
            <w:tcW w:w="1560" w:type="dxa"/>
          </w:tcPr>
          <w:p w:rsidRPr="00CC38DB" w:rsidR="0049273F" w:rsidP="0049273F" w:rsidRDefault="0049273F" w14:paraId="2C5533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10</w:t>
            </w:r>
          </w:p>
        </w:tc>
        <w:tc>
          <w:tcPr>
            <w:tcW w:w="1842" w:type="dxa"/>
          </w:tcPr>
          <w:p w:rsidRPr="00CC38DB" w:rsidR="0049273F" w:rsidP="0049273F" w:rsidRDefault="0049273F" w14:paraId="5B957F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2,1</w:t>
            </w:r>
          </w:p>
        </w:tc>
        <w:tc>
          <w:tcPr>
            <w:tcW w:w="1701" w:type="dxa"/>
          </w:tcPr>
          <w:p w:rsidRPr="00CC38DB" w:rsidR="0049273F" w:rsidP="0049273F" w:rsidRDefault="0049273F" w14:paraId="114647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1.628.833</w:t>
            </w:r>
          </w:p>
        </w:tc>
      </w:tr>
      <w:tr w:rsidRPr="00CC38DB" w:rsidR="0049273F" w:rsidTr="00800367" w14:paraId="062534E7" w14:textId="77777777">
        <w:trPr>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300928E3" w14:textId="77777777">
            <w:pPr>
              <w:rPr>
                <w:rFonts w:ascii="Calibri" w:hAnsi="Calibri" w:eastAsia="Aptos Narrow" w:cs="Calibri"/>
                <w:color w:val="000000" w:themeColor="text1"/>
                <w:sz w:val="22"/>
                <w:szCs w:val="22"/>
                <w:lang w:val="nl-NL"/>
              </w:rPr>
            </w:pPr>
            <w:r w:rsidRPr="00CC38DB">
              <w:rPr>
                <w:rFonts w:ascii="Calibri" w:hAnsi="Calibri" w:eastAsia="Aptos Narrow" w:cs="Calibri"/>
                <w:b w:val="0"/>
                <w:bCs w:val="0"/>
                <w:color w:val="000000" w:themeColor="text1"/>
                <w:sz w:val="22"/>
                <w:szCs w:val="22"/>
                <w:lang w:val="nl-NL"/>
              </w:rPr>
              <w:t xml:space="preserve">Zon op veld </w:t>
            </w:r>
            <w:proofErr w:type="spellStart"/>
            <w:r w:rsidRPr="00CC38DB">
              <w:rPr>
                <w:rFonts w:ascii="Calibri" w:hAnsi="Calibri" w:eastAsia="Aptos Narrow" w:cs="Calibri"/>
                <w:b w:val="0"/>
                <w:bCs w:val="0"/>
                <w:color w:val="000000" w:themeColor="text1"/>
                <w:sz w:val="22"/>
                <w:szCs w:val="22"/>
                <w:lang w:val="nl-NL"/>
              </w:rPr>
              <w:t>gva</w:t>
            </w:r>
            <w:proofErr w:type="spellEnd"/>
            <w:r w:rsidRPr="00CC38DB">
              <w:rPr>
                <w:rFonts w:ascii="Calibri" w:hAnsi="Calibri" w:eastAsia="Aptos Narrow" w:cs="Calibri"/>
                <w:b w:val="0"/>
                <w:bCs w:val="0"/>
                <w:color w:val="000000" w:themeColor="text1"/>
                <w:sz w:val="22"/>
                <w:szCs w:val="22"/>
                <w:lang w:val="nl-NL"/>
              </w:rPr>
              <w:t xml:space="preserve"> &gt;= 15 </w:t>
            </w:r>
            <w:proofErr w:type="spellStart"/>
            <w:r w:rsidRPr="00CC38DB">
              <w:rPr>
                <w:rFonts w:ascii="Calibri" w:hAnsi="Calibri" w:eastAsia="Aptos Narrow" w:cs="Calibri"/>
                <w:b w:val="0"/>
                <w:bCs w:val="0"/>
                <w:color w:val="000000" w:themeColor="text1"/>
                <w:sz w:val="22"/>
                <w:szCs w:val="22"/>
                <w:lang w:val="nl-NL"/>
              </w:rPr>
              <w:t>kWp</w:t>
            </w:r>
            <w:proofErr w:type="spellEnd"/>
            <w:r w:rsidRPr="00CC38DB">
              <w:rPr>
                <w:rFonts w:ascii="Calibri" w:hAnsi="Calibri" w:eastAsia="Aptos Narrow" w:cs="Calibri"/>
                <w:b w:val="0"/>
                <w:bCs w:val="0"/>
                <w:color w:val="000000" w:themeColor="text1"/>
                <w:sz w:val="22"/>
                <w:szCs w:val="22"/>
                <w:lang w:val="nl-NL"/>
              </w:rPr>
              <w:t xml:space="preserve"> en &lt; 500 </w:t>
            </w:r>
            <w:proofErr w:type="spellStart"/>
            <w:r w:rsidRPr="00CC38DB">
              <w:rPr>
                <w:rFonts w:ascii="Calibri" w:hAnsi="Calibri" w:eastAsia="Aptos Narrow" w:cs="Calibri"/>
                <w:b w:val="0"/>
                <w:bCs w:val="0"/>
                <w:color w:val="000000" w:themeColor="text1"/>
                <w:sz w:val="22"/>
                <w:szCs w:val="22"/>
                <w:lang w:val="nl-NL"/>
              </w:rPr>
              <w:t>kWp</w:t>
            </w:r>
            <w:proofErr w:type="spellEnd"/>
          </w:p>
        </w:tc>
        <w:tc>
          <w:tcPr>
            <w:tcW w:w="1275" w:type="dxa"/>
          </w:tcPr>
          <w:p w:rsidRPr="00CC38DB" w:rsidR="0049273F" w:rsidP="0049273F" w:rsidRDefault="0049273F" w14:paraId="6A7249F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54</w:t>
            </w:r>
          </w:p>
        </w:tc>
        <w:tc>
          <w:tcPr>
            <w:tcW w:w="1560" w:type="dxa"/>
          </w:tcPr>
          <w:p w:rsidRPr="00CC38DB" w:rsidR="0049273F" w:rsidP="0049273F" w:rsidRDefault="0049273F" w14:paraId="3D8D00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7</w:t>
            </w:r>
          </w:p>
        </w:tc>
        <w:tc>
          <w:tcPr>
            <w:tcW w:w="1842" w:type="dxa"/>
          </w:tcPr>
          <w:p w:rsidRPr="00CC38DB" w:rsidR="0049273F" w:rsidP="0049273F" w:rsidRDefault="0049273F" w14:paraId="65681B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3,5</w:t>
            </w:r>
          </w:p>
        </w:tc>
        <w:tc>
          <w:tcPr>
            <w:tcW w:w="1701" w:type="dxa"/>
          </w:tcPr>
          <w:p w:rsidRPr="00CC38DB" w:rsidR="0049273F" w:rsidP="0049273F" w:rsidRDefault="0049273F" w14:paraId="65F1BE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2.665.423</w:t>
            </w:r>
          </w:p>
        </w:tc>
      </w:tr>
      <w:tr w:rsidRPr="00CC38DB" w:rsidR="0049273F" w:rsidTr="00800367" w14:paraId="3B29DE82" w14:textId="77777777">
        <w:trPr>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5C6B2894" w14:textId="77777777">
            <w:pPr>
              <w:rPr>
                <w:rFonts w:ascii="Calibri" w:hAnsi="Calibri" w:eastAsia="Aptos Narrow" w:cs="Calibri"/>
                <w:color w:val="000000" w:themeColor="text1"/>
                <w:sz w:val="22"/>
                <w:szCs w:val="22"/>
                <w:lang w:val="nl-NL"/>
              </w:rPr>
            </w:pPr>
            <w:r w:rsidRPr="00CC38DB">
              <w:rPr>
                <w:rFonts w:ascii="Calibri" w:hAnsi="Calibri" w:eastAsia="Aptos Narrow" w:cs="Calibri"/>
                <w:b w:val="0"/>
                <w:bCs w:val="0"/>
                <w:color w:val="000000" w:themeColor="text1"/>
                <w:sz w:val="22"/>
                <w:szCs w:val="22"/>
                <w:lang w:val="nl-NL"/>
              </w:rPr>
              <w:t xml:space="preserve">Zon op water </w:t>
            </w:r>
            <w:proofErr w:type="spellStart"/>
            <w:r w:rsidRPr="00CC38DB">
              <w:rPr>
                <w:rFonts w:ascii="Calibri" w:hAnsi="Calibri" w:eastAsia="Aptos Narrow" w:cs="Calibri"/>
                <w:b w:val="0"/>
                <w:bCs w:val="0"/>
                <w:color w:val="000000" w:themeColor="text1"/>
                <w:sz w:val="22"/>
                <w:szCs w:val="22"/>
                <w:lang w:val="nl-NL"/>
              </w:rPr>
              <w:t>gva</w:t>
            </w:r>
            <w:proofErr w:type="spellEnd"/>
            <w:r w:rsidRPr="00CC38DB">
              <w:rPr>
                <w:rFonts w:ascii="Calibri" w:hAnsi="Calibri" w:eastAsia="Aptos Narrow" w:cs="Calibri"/>
                <w:b w:val="0"/>
                <w:bCs w:val="0"/>
                <w:color w:val="000000" w:themeColor="text1"/>
                <w:sz w:val="22"/>
                <w:szCs w:val="22"/>
                <w:lang w:val="nl-NL"/>
              </w:rPr>
              <w:t xml:space="preserve"> &gt;= 15 </w:t>
            </w:r>
            <w:proofErr w:type="spellStart"/>
            <w:r w:rsidRPr="00CC38DB">
              <w:rPr>
                <w:rFonts w:ascii="Calibri" w:hAnsi="Calibri" w:eastAsia="Aptos Narrow" w:cs="Calibri"/>
                <w:b w:val="0"/>
                <w:bCs w:val="0"/>
                <w:color w:val="000000" w:themeColor="text1"/>
                <w:sz w:val="22"/>
                <w:szCs w:val="22"/>
                <w:lang w:val="nl-NL"/>
              </w:rPr>
              <w:t>kWp</w:t>
            </w:r>
            <w:proofErr w:type="spellEnd"/>
            <w:r w:rsidRPr="00CC38DB">
              <w:rPr>
                <w:rFonts w:ascii="Calibri" w:hAnsi="Calibri" w:eastAsia="Aptos Narrow" w:cs="Calibri"/>
                <w:b w:val="0"/>
                <w:bCs w:val="0"/>
                <w:color w:val="000000" w:themeColor="text1"/>
                <w:sz w:val="22"/>
                <w:szCs w:val="22"/>
                <w:lang w:val="nl-NL"/>
              </w:rPr>
              <w:t xml:space="preserve"> en &lt; 500 </w:t>
            </w:r>
            <w:proofErr w:type="spellStart"/>
            <w:r w:rsidRPr="00CC38DB">
              <w:rPr>
                <w:rFonts w:ascii="Calibri" w:hAnsi="Calibri" w:eastAsia="Aptos Narrow" w:cs="Calibri"/>
                <w:b w:val="0"/>
                <w:bCs w:val="0"/>
                <w:color w:val="000000" w:themeColor="text1"/>
                <w:sz w:val="22"/>
                <w:szCs w:val="22"/>
                <w:lang w:val="nl-NL"/>
              </w:rPr>
              <w:t>kWp</w:t>
            </w:r>
            <w:proofErr w:type="spellEnd"/>
          </w:p>
        </w:tc>
        <w:tc>
          <w:tcPr>
            <w:tcW w:w="1275" w:type="dxa"/>
          </w:tcPr>
          <w:p w:rsidRPr="00CC38DB" w:rsidR="0049273F" w:rsidP="0049273F" w:rsidRDefault="0049273F" w14:paraId="1600AB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1</w:t>
            </w:r>
          </w:p>
        </w:tc>
        <w:tc>
          <w:tcPr>
            <w:tcW w:w="1560" w:type="dxa"/>
          </w:tcPr>
          <w:p w:rsidRPr="00CC38DB" w:rsidR="0049273F" w:rsidP="0049273F" w:rsidRDefault="0049273F" w14:paraId="32BF4ED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1</w:t>
            </w:r>
          </w:p>
        </w:tc>
        <w:tc>
          <w:tcPr>
            <w:tcW w:w="1842" w:type="dxa"/>
          </w:tcPr>
          <w:p w:rsidRPr="00CC38DB" w:rsidR="0049273F" w:rsidP="0049273F" w:rsidRDefault="0049273F" w14:paraId="70419B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0,05</w:t>
            </w:r>
          </w:p>
        </w:tc>
        <w:tc>
          <w:tcPr>
            <w:tcW w:w="1701" w:type="dxa"/>
          </w:tcPr>
          <w:p w:rsidRPr="00CC38DB" w:rsidR="0049273F" w:rsidP="0049273F" w:rsidRDefault="0049273F" w14:paraId="2006AD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41.505</w:t>
            </w:r>
          </w:p>
        </w:tc>
      </w:tr>
      <w:tr w:rsidRPr="00CC38DB" w:rsidR="0049273F" w:rsidTr="00800367" w14:paraId="72D3A8B1" w14:textId="77777777">
        <w:trPr>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5049F4B2" w14:textId="77777777">
            <w:pPr>
              <w:rPr>
                <w:rFonts w:ascii="Calibri" w:hAnsi="Calibri" w:eastAsia="Aptos Narrow" w:cs="Calibri"/>
                <w:color w:val="000000" w:themeColor="text1"/>
                <w:sz w:val="22"/>
                <w:szCs w:val="22"/>
                <w:lang w:val="nl-NL"/>
              </w:rPr>
            </w:pPr>
            <w:r w:rsidRPr="00CC38DB">
              <w:rPr>
                <w:rFonts w:ascii="Calibri" w:hAnsi="Calibri" w:eastAsia="Aptos Narrow" w:cs="Calibri"/>
                <w:b w:val="0"/>
                <w:bCs w:val="0"/>
                <w:color w:val="000000" w:themeColor="text1"/>
                <w:sz w:val="22"/>
                <w:szCs w:val="22"/>
                <w:lang w:val="nl-NL"/>
              </w:rPr>
              <w:t xml:space="preserve">Zon op veld </w:t>
            </w:r>
            <w:proofErr w:type="spellStart"/>
            <w:r w:rsidRPr="00CC38DB">
              <w:rPr>
                <w:rFonts w:ascii="Calibri" w:hAnsi="Calibri" w:eastAsia="Aptos Narrow" w:cs="Calibri"/>
                <w:b w:val="0"/>
                <w:bCs w:val="0"/>
                <w:color w:val="000000" w:themeColor="text1"/>
                <w:sz w:val="22"/>
                <w:szCs w:val="22"/>
                <w:lang w:val="nl-NL"/>
              </w:rPr>
              <w:t>gva</w:t>
            </w:r>
            <w:proofErr w:type="spellEnd"/>
            <w:r w:rsidRPr="00CC38DB">
              <w:rPr>
                <w:rFonts w:ascii="Calibri" w:hAnsi="Calibri" w:eastAsia="Aptos Narrow" w:cs="Calibri"/>
                <w:b w:val="0"/>
                <w:bCs w:val="0"/>
                <w:color w:val="000000" w:themeColor="text1"/>
                <w:sz w:val="22"/>
                <w:szCs w:val="22"/>
                <w:lang w:val="nl-NL"/>
              </w:rPr>
              <w:t xml:space="preserve"> &gt;= 500 </w:t>
            </w:r>
            <w:proofErr w:type="spellStart"/>
            <w:r w:rsidRPr="00CC38DB">
              <w:rPr>
                <w:rFonts w:ascii="Calibri" w:hAnsi="Calibri" w:eastAsia="Aptos Narrow" w:cs="Calibri"/>
                <w:b w:val="0"/>
                <w:bCs w:val="0"/>
                <w:color w:val="000000" w:themeColor="text1"/>
                <w:sz w:val="22"/>
                <w:szCs w:val="22"/>
                <w:lang w:val="nl-NL"/>
              </w:rPr>
              <w:t>kWp</w:t>
            </w:r>
            <w:proofErr w:type="spellEnd"/>
            <w:r w:rsidRPr="00CC38DB">
              <w:rPr>
                <w:rFonts w:ascii="Calibri" w:hAnsi="Calibri" w:eastAsia="Aptos Narrow" w:cs="Calibri"/>
                <w:b w:val="0"/>
                <w:bCs w:val="0"/>
                <w:color w:val="000000" w:themeColor="text1"/>
                <w:sz w:val="22"/>
                <w:szCs w:val="22"/>
                <w:lang w:val="nl-NL"/>
              </w:rPr>
              <w:t xml:space="preserve"> en &lt;= 6 </w:t>
            </w:r>
            <w:proofErr w:type="spellStart"/>
            <w:r w:rsidRPr="00CC38DB">
              <w:rPr>
                <w:rFonts w:ascii="Calibri" w:hAnsi="Calibri" w:eastAsia="Aptos Narrow" w:cs="Calibri"/>
                <w:b w:val="0"/>
                <w:bCs w:val="0"/>
                <w:color w:val="000000" w:themeColor="text1"/>
                <w:sz w:val="22"/>
                <w:szCs w:val="22"/>
                <w:lang w:val="nl-NL"/>
              </w:rPr>
              <w:t>MWp</w:t>
            </w:r>
            <w:proofErr w:type="spellEnd"/>
          </w:p>
        </w:tc>
        <w:tc>
          <w:tcPr>
            <w:tcW w:w="1275" w:type="dxa"/>
          </w:tcPr>
          <w:p w:rsidRPr="00CC38DB" w:rsidR="0049273F" w:rsidP="0049273F" w:rsidRDefault="0049273F" w14:paraId="403D37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3</w:t>
            </w:r>
          </w:p>
        </w:tc>
        <w:tc>
          <w:tcPr>
            <w:tcW w:w="1560" w:type="dxa"/>
          </w:tcPr>
          <w:p w:rsidRPr="00CC38DB" w:rsidR="0049273F" w:rsidP="0049273F" w:rsidRDefault="0049273F" w14:paraId="079411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2</w:t>
            </w:r>
          </w:p>
        </w:tc>
        <w:tc>
          <w:tcPr>
            <w:tcW w:w="1842" w:type="dxa"/>
          </w:tcPr>
          <w:p w:rsidRPr="00CC38DB" w:rsidR="0049273F" w:rsidP="0049273F" w:rsidRDefault="0049273F" w14:paraId="5670C9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3,2</w:t>
            </w:r>
          </w:p>
        </w:tc>
        <w:tc>
          <w:tcPr>
            <w:tcW w:w="1701" w:type="dxa"/>
          </w:tcPr>
          <w:p w:rsidRPr="00CC38DB" w:rsidR="0049273F" w:rsidP="0049273F" w:rsidRDefault="0049273F" w14:paraId="3FF69C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902.598</w:t>
            </w:r>
          </w:p>
        </w:tc>
      </w:tr>
      <w:tr w:rsidRPr="00CC38DB" w:rsidR="0049273F" w:rsidTr="00800367" w14:paraId="7A5E0FD6" w14:textId="77777777">
        <w:trPr>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3CFB8FC7" w14:textId="77777777">
            <w:pPr>
              <w:rPr>
                <w:rFonts w:ascii="Calibri" w:hAnsi="Calibri" w:eastAsia="Aptos Narrow" w:cs="Calibri"/>
                <w:color w:val="000000" w:themeColor="text1"/>
                <w:sz w:val="22"/>
                <w:szCs w:val="22"/>
                <w:lang w:val="nl-NL"/>
              </w:rPr>
            </w:pPr>
            <w:r w:rsidRPr="00CC38DB">
              <w:rPr>
                <w:rFonts w:ascii="Calibri" w:hAnsi="Calibri" w:eastAsia="Aptos Narrow" w:cs="Calibri"/>
                <w:b w:val="0"/>
                <w:bCs w:val="0"/>
                <w:color w:val="000000" w:themeColor="text1"/>
                <w:sz w:val="22"/>
                <w:szCs w:val="22"/>
                <w:lang w:val="nl-NL"/>
              </w:rPr>
              <w:t xml:space="preserve">Windenergie </w:t>
            </w:r>
            <w:proofErr w:type="spellStart"/>
            <w:r w:rsidRPr="00CC38DB">
              <w:rPr>
                <w:rFonts w:ascii="Calibri" w:hAnsi="Calibri" w:eastAsia="Aptos Narrow" w:cs="Calibri"/>
                <w:b w:val="0"/>
                <w:bCs w:val="0"/>
                <w:color w:val="000000" w:themeColor="text1"/>
                <w:sz w:val="22"/>
                <w:szCs w:val="22"/>
                <w:lang w:val="nl-NL"/>
              </w:rPr>
              <w:t>kva</w:t>
            </w:r>
            <w:proofErr w:type="spellEnd"/>
            <w:r w:rsidRPr="00CC38DB">
              <w:rPr>
                <w:rFonts w:ascii="Calibri" w:hAnsi="Calibri" w:eastAsia="Aptos Narrow" w:cs="Calibri"/>
                <w:b w:val="0"/>
                <w:bCs w:val="0"/>
                <w:color w:val="000000" w:themeColor="text1"/>
                <w:sz w:val="22"/>
                <w:szCs w:val="22"/>
                <w:lang w:val="nl-NL"/>
              </w:rPr>
              <w:t xml:space="preserve"> &gt;= 15 kW en &lt;= 100 kW</w:t>
            </w:r>
          </w:p>
        </w:tc>
        <w:tc>
          <w:tcPr>
            <w:tcW w:w="1275" w:type="dxa"/>
          </w:tcPr>
          <w:p w:rsidRPr="00CC38DB" w:rsidR="0049273F" w:rsidP="0049273F" w:rsidRDefault="0049273F" w14:paraId="19C79A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2</w:t>
            </w:r>
          </w:p>
        </w:tc>
        <w:tc>
          <w:tcPr>
            <w:tcW w:w="1560" w:type="dxa"/>
          </w:tcPr>
          <w:p w:rsidRPr="00CC38DB" w:rsidR="0049273F" w:rsidP="0049273F" w:rsidRDefault="0049273F" w14:paraId="1978B5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w:t>
            </w:r>
          </w:p>
        </w:tc>
        <w:tc>
          <w:tcPr>
            <w:tcW w:w="1842" w:type="dxa"/>
          </w:tcPr>
          <w:p w:rsidRPr="00CC38DB" w:rsidR="0049273F" w:rsidP="0049273F" w:rsidRDefault="0049273F" w14:paraId="46D01F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w:t>
            </w:r>
          </w:p>
        </w:tc>
        <w:tc>
          <w:tcPr>
            <w:tcW w:w="1701" w:type="dxa"/>
          </w:tcPr>
          <w:p w:rsidRPr="00CC38DB" w:rsidR="0049273F" w:rsidP="0049273F" w:rsidRDefault="0049273F" w14:paraId="3957DA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w:t>
            </w:r>
          </w:p>
        </w:tc>
      </w:tr>
      <w:tr w:rsidRPr="00CC38DB" w:rsidR="0049273F" w:rsidTr="00800367" w14:paraId="762C4420" w14:textId="77777777">
        <w:trPr>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05928579" w14:textId="77777777">
            <w:pPr>
              <w:rPr>
                <w:rFonts w:ascii="Calibri" w:hAnsi="Calibri" w:eastAsia="Aptos Narrow" w:cs="Calibri"/>
                <w:color w:val="000000" w:themeColor="text1"/>
                <w:sz w:val="22"/>
                <w:szCs w:val="22"/>
              </w:rPr>
            </w:pPr>
            <w:proofErr w:type="spellStart"/>
            <w:r w:rsidRPr="00CC38DB">
              <w:rPr>
                <w:rFonts w:ascii="Calibri" w:hAnsi="Calibri" w:eastAsia="Aptos Narrow" w:cs="Calibri"/>
                <w:b w:val="0"/>
                <w:bCs w:val="0"/>
                <w:color w:val="000000" w:themeColor="text1"/>
                <w:sz w:val="22"/>
                <w:szCs w:val="22"/>
              </w:rPr>
              <w:lastRenderedPageBreak/>
              <w:t>Windenergie</w:t>
            </w:r>
            <w:proofErr w:type="spellEnd"/>
            <w:r w:rsidRPr="00CC38DB">
              <w:rPr>
                <w:rFonts w:ascii="Calibri" w:hAnsi="Calibri" w:eastAsia="Aptos Narrow" w:cs="Calibri"/>
                <w:b w:val="0"/>
                <w:bCs w:val="0"/>
                <w:color w:val="000000" w:themeColor="text1"/>
                <w:sz w:val="22"/>
                <w:szCs w:val="22"/>
              </w:rPr>
              <w:t xml:space="preserve"> </w:t>
            </w:r>
            <w:proofErr w:type="spellStart"/>
            <w:r w:rsidRPr="00CC38DB">
              <w:rPr>
                <w:rFonts w:ascii="Calibri" w:hAnsi="Calibri" w:eastAsia="Aptos Narrow" w:cs="Calibri"/>
                <w:b w:val="0"/>
                <w:bCs w:val="0"/>
                <w:color w:val="000000" w:themeColor="text1"/>
                <w:sz w:val="22"/>
                <w:szCs w:val="22"/>
              </w:rPr>
              <w:t>gva</w:t>
            </w:r>
            <w:proofErr w:type="spellEnd"/>
            <w:r w:rsidRPr="00CC38DB">
              <w:rPr>
                <w:rFonts w:ascii="Calibri" w:hAnsi="Calibri" w:eastAsia="Aptos Narrow" w:cs="Calibri"/>
                <w:b w:val="0"/>
                <w:bCs w:val="0"/>
                <w:color w:val="000000" w:themeColor="text1"/>
                <w:sz w:val="22"/>
                <w:szCs w:val="22"/>
              </w:rPr>
              <w:t xml:space="preserve"> &lt; 1 MW</w:t>
            </w:r>
          </w:p>
        </w:tc>
        <w:tc>
          <w:tcPr>
            <w:tcW w:w="1275" w:type="dxa"/>
          </w:tcPr>
          <w:p w:rsidRPr="00CC38DB" w:rsidR="0049273F" w:rsidP="0049273F" w:rsidRDefault="0049273F" w14:paraId="611728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9</w:t>
            </w:r>
          </w:p>
        </w:tc>
        <w:tc>
          <w:tcPr>
            <w:tcW w:w="1560" w:type="dxa"/>
          </w:tcPr>
          <w:p w:rsidRPr="00CC38DB" w:rsidR="0049273F" w:rsidP="0049273F" w:rsidRDefault="0049273F" w14:paraId="50863D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w:t>
            </w:r>
          </w:p>
        </w:tc>
        <w:tc>
          <w:tcPr>
            <w:tcW w:w="1842" w:type="dxa"/>
          </w:tcPr>
          <w:p w:rsidRPr="00CC38DB" w:rsidR="0049273F" w:rsidP="0049273F" w:rsidRDefault="0049273F" w14:paraId="48FFE9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w:t>
            </w:r>
          </w:p>
        </w:tc>
        <w:tc>
          <w:tcPr>
            <w:tcW w:w="1701" w:type="dxa"/>
          </w:tcPr>
          <w:p w:rsidRPr="00CC38DB" w:rsidR="0049273F" w:rsidP="0049273F" w:rsidRDefault="0049273F" w14:paraId="1CAEBA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w:t>
            </w:r>
          </w:p>
        </w:tc>
      </w:tr>
      <w:tr w:rsidRPr="00CC38DB" w:rsidR="0049273F" w:rsidTr="00800367" w14:paraId="47323A4C" w14:textId="77777777">
        <w:trPr>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1B3E6AC6" w14:textId="77777777">
            <w:pPr>
              <w:rPr>
                <w:rFonts w:ascii="Calibri" w:hAnsi="Calibri" w:eastAsia="Aptos Narrow" w:cs="Calibri"/>
                <w:color w:val="000000" w:themeColor="text1"/>
                <w:sz w:val="22"/>
                <w:szCs w:val="22"/>
                <w:lang w:val="nl-NL"/>
              </w:rPr>
            </w:pPr>
            <w:r w:rsidRPr="00CC38DB">
              <w:rPr>
                <w:rFonts w:ascii="Calibri" w:hAnsi="Calibri" w:eastAsia="Aptos Narrow" w:cs="Calibri"/>
                <w:b w:val="0"/>
                <w:bCs w:val="0"/>
                <w:color w:val="000000" w:themeColor="text1"/>
                <w:sz w:val="22"/>
                <w:szCs w:val="22"/>
                <w:lang w:val="nl-NL"/>
              </w:rPr>
              <w:t xml:space="preserve">Windenergie </w:t>
            </w:r>
            <w:proofErr w:type="spellStart"/>
            <w:r w:rsidRPr="00CC38DB">
              <w:rPr>
                <w:rFonts w:ascii="Calibri" w:hAnsi="Calibri" w:eastAsia="Aptos Narrow" w:cs="Calibri"/>
                <w:b w:val="0"/>
                <w:bCs w:val="0"/>
                <w:color w:val="000000" w:themeColor="text1"/>
                <w:sz w:val="22"/>
                <w:szCs w:val="22"/>
                <w:lang w:val="nl-NL"/>
              </w:rPr>
              <w:t>gva</w:t>
            </w:r>
            <w:proofErr w:type="spellEnd"/>
            <w:r w:rsidRPr="00CC38DB">
              <w:rPr>
                <w:rFonts w:ascii="Calibri" w:hAnsi="Calibri" w:eastAsia="Aptos Narrow" w:cs="Calibri"/>
                <w:b w:val="0"/>
                <w:bCs w:val="0"/>
                <w:color w:val="000000" w:themeColor="text1"/>
                <w:sz w:val="22"/>
                <w:szCs w:val="22"/>
                <w:lang w:val="nl-NL"/>
              </w:rPr>
              <w:t xml:space="preserve"> &gt;= 1 MW en &lt;= 6 MW</w:t>
            </w:r>
          </w:p>
        </w:tc>
        <w:tc>
          <w:tcPr>
            <w:tcW w:w="1275" w:type="dxa"/>
          </w:tcPr>
          <w:p w:rsidRPr="00CC38DB" w:rsidR="0049273F" w:rsidP="0049273F" w:rsidRDefault="0049273F" w14:paraId="4492FE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1</w:t>
            </w:r>
          </w:p>
        </w:tc>
        <w:tc>
          <w:tcPr>
            <w:tcW w:w="1560" w:type="dxa"/>
          </w:tcPr>
          <w:p w:rsidRPr="00CC38DB" w:rsidR="0049273F" w:rsidP="0049273F" w:rsidRDefault="0049273F" w14:paraId="562DF2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w:t>
            </w:r>
          </w:p>
        </w:tc>
        <w:tc>
          <w:tcPr>
            <w:tcW w:w="1842" w:type="dxa"/>
          </w:tcPr>
          <w:p w:rsidRPr="00CC38DB" w:rsidR="0049273F" w:rsidP="0049273F" w:rsidRDefault="0049273F" w14:paraId="3BC825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w:t>
            </w:r>
          </w:p>
        </w:tc>
        <w:tc>
          <w:tcPr>
            <w:tcW w:w="1701" w:type="dxa"/>
          </w:tcPr>
          <w:p w:rsidRPr="00CC38DB" w:rsidR="0049273F" w:rsidP="0049273F" w:rsidRDefault="0049273F" w14:paraId="085530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0</w:t>
            </w:r>
          </w:p>
        </w:tc>
      </w:tr>
      <w:tr w:rsidRPr="00CC38DB" w:rsidR="0049273F" w:rsidTr="00800367" w14:paraId="66E94920" w14:textId="77777777">
        <w:trPr>
          <w:trHeight w:val="285"/>
        </w:trPr>
        <w:tc>
          <w:tcPr>
            <w:cnfStyle w:val="001000000000" w:firstRow="0" w:lastRow="0" w:firstColumn="1" w:lastColumn="0" w:oddVBand="0" w:evenVBand="0" w:oddHBand="0" w:evenHBand="0" w:firstRowFirstColumn="0" w:firstRowLastColumn="0" w:lastRowFirstColumn="0" w:lastRowLastColumn="0"/>
            <w:tcW w:w="2122" w:type="dxa"/>
          </w:tcPr>
          <w:p w:rsidRPr="00CC38DB" w:rsidR="0049273F" w:rsidP="0049273F" w:rsidRDefault="0049273F" w14:paraId="6CF35E5B" w14:textId="77777777">
            <w:pPr>
              <w:rPr>
                <w:rFonts w:ascii="Calibri" w:hAnsi="Calibri" w:eastAsia="Aptos Narrow" w:cs="Calibri"/>
                <w:b w:val="0"/>
                <w:bCs w:val="0"/>
                <w:color w:val="000000" w:themeColor="text1"/>
                <w:sz w:val="22"/>
                <w:szCs w:val="22"/>
              </w:rPr>
            </w:pPr>
            <w:proofErr w:type="spellStart"/>
            <w:r w:rsidRPr="00CC38DB">
              <w:rPr>
                <w:rFonts w:ascii="Calibri" w:hAnsi="Calibri" w:eastAsia="Aptos Narrow" w:cs="Calibri"/>
                <w:color w:val="000000" w:themeColor="text1"/>
                <w:sz w:val="22"/>
                <w:szCs w:val="22"/>
              </w:rPr>
              <w:t>Totaal</w:t>
            </w:r>
            <w:proofErr w:type="spellEnd"/>
          </w:p>
        </w:tc>
        <w:tc>
          <w:tcPr>
            <w:tcW w:w="1275" w:type="dxa"/>
          </w:tcPr>
          <w:p w:rsidRPr="00CC38DB" w:rsidR="0049273F" w:rsidP="0049273F" w:rsidRDefault="0049273F" w14:paraId="4F77C6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b/>
                <w:bCs/>
                <w:color w:val="000000" w:themeColor="text1"/>
                <w:sz w:val="22"/>
                <w:szCs w:val="22"/>
              </w:rPr>
            </w:pPr>
            <w:r w:rsidRPr="00CC38DB">
              <w:rPr>
                <w:rFonts w:ascii="Calibri" w:hAnsi="Calibri" w:eastAsia="Aptos Narrow" w:cs="Calibri"/>
                <w:b/>
                <w:bCs/>
                <w:color w:val="000000" w:themeColor="text1"/>
                <w:sz w:val="22"/>
                <w:szCs w:val="22"/>
              </w:rPr>
              <w:t>152</w:t>
            </w:r>
          </w:p>
        </w:tc>
        <w:tc>
          <w:tcPr>
            <w:tcW w:w="1560" w:type="dxa"/>
          </w:tcPr>
          <w:p w:rsidRPr="00CC38DB" w:rsidR="0049273F" w:rsidP="0049273F" w:rsidRDefault="0049273F" w14:paraId="410F25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b/>
                <w:bCs/>
                <w:color w:val="000000" w:themeColor="text1"/>
                <w:sz w:val="22"/>
                <w:szCs w:val="22"/>
              </w:rPr>
            </w:pPr>
            <w:r w:rsidRPr="00CC38DB">
              <w:rPr>
                <w:rFonts w:ascii="Calibri" w:hAnsi="Calibri" w:eastAsia="Aptos Narrow" w:cs="Calibri"/>
                <w:b/>
                <w:bCs/>
                <w:color w:val="000000" w:themeColor="text1"/>
                <w:sz w:val="22"/>
                <w:szCs w:val="22"/>
              </w:rPr>
              <w:t>76</w:t>
            </w:r>
          </w:p>
        </w:tc>
        <w:tc>
          <w:tcPr>
            <w:tcW w:w="1842" w:type="dxa"/>
          </w:tcPr>
          <w:p w:rsidRPr="00CC38DB" w:rsidR="0049273F" w:rsidP="0049273F" w:rsidRDefault="0049273F" w14:paraId="7D1DD9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b/>
                <w:bCs/>
                <w:color w:val="000000" w:themeColor="text1"/>
                <w:sz w:val="22"/>
                <w:szCs w:val="22"/>
              </w:rPr>
            </w:pPr>
            <w:r w:rsidRPr="00CC38DB">
              <w:rPr>
                <w:rFonts w:ascii="Calibri" w:hAnsi="Calibri" w:eastAsia="Aptos Narrow" w:cs="Calibri"/>
                <w:b/>
                <w:bCs/>
                <w:color w:val="000000" w:themeColor="text1"/>
                <w:sz w:val="22"/>
                <w:szCs w:val="22"/>
              </w:rPr>
              <w:t>13,3</w:t>
            </w:r>
          </w:p>
        </w:tc>
        <w:tc>
          <w:tcPr>
            <w:tcW w:w="1701" w:type="dxa"/>
          </w:tcPr>
          <w:p w:rsidRPr="00CC38DB" w:rsidR="0049273F" w:rsidP="0049273F" w:rsidRDefault="0049273F" w14:paraId="7D1D44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b/>
                <w:bCs/>
                <w:color w:val="000000" w:themeColor="text1"/>
                <w:sz w:val="22"/>
                <w:szCs w:val="22"/>
              </w:rPr>
            </w:pPr>
            <w:r w:rsidRPr="00CC38DB">
              <w:rPr>
                <w:rFonts w:ascii="Calibri" w:hAnsi="Calibri" w:eastAsia="Aptos Narrow" w:cs="Calibri"/>
                <w:b/>
                <w:bCs/>
                <w:color w:val="000000" w:themeColor="text1"/>
                <w:sz w:val="22"/>
                <w:szCs w:val="22"/>
              </w:rPr>
              <w:t>9.807.103</w:t>
            </w:r>
          </w:p>
        </w:tc>
      </w:tr>
      <w:tr w:rsidRPr="00CC38DB" w:rsidR="0049273F" w:rsidTr="00800367" w14:paraId="13C92735" w14:textId="77777777">
        <w:trPr>
          <w:trHeight w:val="285"/>
        </w:trPr>
        <w:tc>
          <w:tcPr>
            <w:cnfStyle w:val="001000000000" w:firstRow="0" w:lastRow="0" w:firstColumn="1" w:lastColumn="0" w:oddVBand="0" w:evenVBand="0" w:oddHBand="0" w:evenHBand="0" w:firstRowFirstColumn="0" w:firstRowLastColumn="0" w:lastRowFirstColumn="0" w:lastRowLastColumn="0"/>
            <w:tcW w:w="8500" w:type="dxa"/>
            <w:gridSpan w:val="5"/>
          </w:tcPr>
          <w:p w:rsidRPr="00CC38DB" w:rsidR="0049273F" w:rsidP="0049273F" w:rsidRDefault="0049273F" w14:paraId="1EA75088" w14:textId="77777777">
            <w:pPr>
              <w:rPr>
                <w:rFonts w:ascii="Calibri" w:hAnsi="Calibri" w:eastAsia="Aptos Narrow" w:cs="Calibri"/>
                <w:b w:val="0"/>
                <w:bCs w:val="0"/>
                <w:color w:val="000000" w:themeColor="text1"/>
                <w:sz w:val="22"/>
                <w:szCs w:val="22"/>
              </w:rPr>
            </w:pPr>
          </w:p>
        </w:tc>
      </w:tr>
      <w:tr w:rsidRPr="00CC38DB" w:rsidR="0049273F" w:rsidTr="00800367" w14:paraId="426F3A4D" w14:textId="77777777">
        <w:trPr>
          <w:trHeight w:val="285"/>
        </w:trPr>
        <w:tc>
          <w:tcPr>
            <w:cnfStyle w:val="001000000000" w:firstRow="0" w:lastRow="0" w:firstColumn="1" w:lastColumn="0" w:oddVBand="0" w:evenVBand="0" w:oddHBand="0" w:evenHBand="0" w:firstRowFirstColumn="0" w:firstRowLastColumn="0" w:lastRowFirstColumn="0" w:lastRowLastColumn="0"/>
            <w:tcW w:w="3397" w:type="dxa"/>
            <w:gridSpan w:val="2"/>
          </w:tcPr>
          <w:p w:rsidRPr="00CC38DB" w:rsidR="0049273F" w:rsidP="0049273F" w:rsidRDefault="0049273F" w14:paraId="26F1DFC4" w14:textId="77777777">
            <w:pPr>
              <w:rPr>
                <w:rFonts w:ascii="Calibri" w:hAnsi="Calibri" w:eastAsia="Aptos Narrow" w:cs="Calibri"/>
                <w:b w:val="0"/>
                <w:bCs w:val="0"/>
                <w:color w:val="000000" w:themeColor="text1"/>
                <w:sz w:val="22"/>
                <w:szCs w:val="22"/>
              </w:rPr>
            </w:pPr>
            <w:proofErr w:type="spellStart"/>
            <w:r w:rsidRPr="00CC38DB">
              <w:rPr>
                <w:rFonts w:ascii="Calibri" w:hAnsi="Calibri" w:eastAsia="Aptos Narrow" w:cs="Calibri"/>
                <w:b w:val="0"/>
                <w:bCs w:val="0"/>
                <w:color w:val="000000" w:themeColor="text1"/>
                <w:sz w:val="22"/>
                <w:szCs w:val="22"/>
              </w:rPr>
              <w:t>Aanvragen</w:t>
            </w:r>
            <w:proofErr w:type="spellEnd"/>
            <w:r w:rsidRPr="00CC38DB">
              <w:rPr>
                <w:rFonts w:ascii="Calibri" w:hAnsi="Calibri" w:eastAsia="Aptos Narrow" w:cs="Calibri"/>
                <w:b w:val="0"/>
                <w:bCs w:val="0"/>
                <w:color w:val="000000" w:themeColor="text1"/>
                <w:sz w:val="22"/>
                <w:szCs w:val="22"/>
              </w:rPr>
              <w:t xml:space="preserve"> door </w:t>
            </w:r>
            <w:proofErr w:type="spellStart"/>
            <w:r w:rsidRPr="00CC38DB">
              <w:rPr>
                <w:rFonts w:ascii="Calibri" w:hAnsi="Calibri" w:eastAsia="Aptos Narrow" w:cs="Calibri"/>
                <w:b w:val="0"/>
                <w:bCs w:val="0"/>
                <w:color w:val="000000" w:themeColor="text1"/>
                <w:sz w:val="22"/>
                <w:szCs w:val="22"/>
              </w:rPr>
              <w:t>coöperaties</w:t>
            </w:r>
            <w:proofErr w:type="spellEnd"/>
          </w:p>
        </w:tc>
        <w:tc>
          <w:tcPr>
            <w:tcW w:w="5103" w:type="dxa"/>
            <w:gridSpan w:val="3"/>
          </w:tcPr>
          <w:p w:rsidRPr="00CC38DB" w:rsidR="0049273F" w:rsidP="0049273F" w:rsidRDefault="0049273F" w14:paraId="28222EE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144</w:t>
            </w:r>
          </w:p>
        </w:tc>
      </w:tr>
      <w:tr w:rsidRPr="00CC38DB" w:rsidR="0049273F" w:rsidTr="00800367" w14:paraId="315C871B" w14:textId="77777777">
        <w:trPr>
          <w:trHeight w:val="285"/>
        </w:trPr>
        <w:tc>
          <w:tcPr>
            <w:cnfStyle w:val="001000000000" w:firstRow="0" w:lastRow="0" w:firstColumn="1" w:lastColumn="0" w:oddVBand="0" w:evenVBand="0" w:oddHBand="0" w:evenHBand="0" w:firstRowFirstColumn="0" w:firstRowLastColumn="0" w:lastRowFirstColumn="0" w:lastRowLastColumn="0"/>
            <w:tcW w:w="3397" w:type="dxa"/>
            <w:gridSpan w:val="2"/>
          </w:tcPr>
          <w:p w:rsidRPr="00CC38DB" w:rsidR="0049273F" w:rsidP="0049273F" w:rsidRDefault="0049273F" w14:paraId="401C6DA5" w14:textId="77777777">
            <w:pPr>
              <w:rPr>
                <w:rFonts w:ascii="Calibri" w:hAnsi="Calibri" w:eastAsia="Aptos Narrow" w:cs="Calibri"/>
                <w:b w:val="0"/>
                <w:bCs w:val="0"/>
                <w:color w:val="000000" w:themeColor="text1"/>
                <w:sz w:val="22"/>
                <w:szCs w:val="22"/>
              </w:rPr>
            </w:pPr>
            <w:proofErr w:type="spellStart"/>
            <w:r w:rsidRPr="00CC38DB">
              <w:rPr>
                <w:rFonts w:ascii="Calibri" w:hAnsi="Calibri" w:eastAsia="Aptos Narrow" w:cs="Calibri"/>
                <w:b w:val="0"/>
                <w:bCs w:val="0"/>
                <w:color w:val="000000" w:themeColor="text1"/>
                <w:sz w:val="22"/>
                <w:szCs w:val="22"/>
              </w:rPr>
              <w:t>Aanvragen</w:t>
            </w:r>
            <w:proofErr w:type="spellEnd"/>
            <w:r w:rsidRPr="00CC38DB">
              <w:rPr>
                <w:rFonts w:ascii="Calibri" w:hAnsi="Calibri" w:eastAsia="Aptos Narrow" w:cs="Calibri"/>
                <w:b w:val="0"/>
                <w:bCs w:val="0"/>
                <w:color w:val="000000" w:themeColor="text1"/>
                <w:sz w:val="22"/>
                <w:szCs w:val="22"/>
              </w:rPr>
              <w:t xml:space="preserve"> door </w:t>
            </w:r>
            <w:proofErr w:type="spellStart"/>
            <w:r w:rsidRPr="00CC38DB">
              <w:rPr>
                <w:rFonts w:ascii="Calibri" w:hAnsi="Calibri" w:eastAsia="Aptos Narrow" w:cs="Calibri"/>
                <w:b w:val="0"/>
                <w:bCs w:val="0"/>
                <w:color w:val="000000" w:themeColor="text1"/>
                <w:sz w:val="22"/>
                <w:szCs w:val="22"/>
              </w:rPr>
              <w:t>VvE’s</w:t>
            </w:r>
            <w:proofErr w:type="spellEnd"/>
          </w:p>
        </w:tc>
        <w:tc>
          <w:tcPr>
            <w:tcW w:w="5103" w:type="dxa"/>
            <w:gridSpan w:val="3"/>
          </w:tcPr>
          <w:p w:rsidRPr="00CC38DB" w:rsidR="0049273F" w:rsidP="0049273F" w:rsidRDefault="0049273F" w14:paraId="1DA72C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Aptos Narrow" w:cs="Calibri"/>
                <w:color w:val="000000" w:themeColor="text1"/>
                <w:sz w:val="22"/>
                <w:szCs w:val="22"/>
              </w:rPr>
            </w:pPr>
            <w:r w:rsidRPr="00CC38DB">
              <w:rPr>
                <w:rFonts w:ascii="Calibri" w:hAnsi="Calibri" w:eastAsia="Aptos Narrow" w:cs="Calibri"/>
                <w:color w:val="000000" w:themeColor="text1"/>
                <w:sz w:val="22"/>
                <w:szCs w:val="22"/>
              </w:rPr>
              <w:t>8</w:t>
            </w:r>
          </w:p>
        </w:tc>
      </w:tr>
    </w:tbl>
    <w:p w:rsidRPr="00CC38DB" w:rsidR="0049273F" w:rsidP="0049273F" w:rsidRDefault="0049273F" w14:paraId="45B7E290" w14:textId="77777777">
      <w:pPr>
        <w:spacing w:after="0"/>
        <w:rPr>
          <w:rFonts w:ascii="Calibri" w:hAnsi="Calibri" w:cs="Calibri"/>
        </w:rPr>
      </w:pPr>
      <w:r w:rsidRPr="00CC38DB">
        <w:rPr>
          <w:rFonts w:ascii="Calibri" w:hAnsi="Calibri" w:cs="Calibri"/>
        </w:rPr>
        <w:t>(</w:t>
      </w:r>
      <w:proofErr w:type="spellStart"/>
      <w:r w:rsidRPr="00CC38DB">
        <w:rPr>
          <w:rFonts w:ascii="Calibri" w:hAnsi="Calibri" w:cs="Calibri"/>
        </w:rPr>
        <w:t>kva</w:t>
      </w:r>
      <w:proofErr w:type="spellEnd"/>
      <w:r w:rsidRPr="00CC38DB">
        <w:rPr>
          <w:rFonts w:ascii="Calibri" w:hAnsi="Calibri" w:cs="Calibri"/>
        </w:rPr>
        <w:t xml:space="preserve"> = kleinverbruikersaansluiting, </w:t>
      </w:r>
      <w:proofErr w:type="spellStart"/>
      <w:r w:rsidRPr="00CC38DB">
        <w:rPr>
          <w:rFonts w:ascii="Calibri" w:hAnsi="Calibri" w:cs="Calibri"/>
        </w:rPr>
        <w:t>gva</w:t>
      </w:r>
      <w:proofErr w:type="spellEnd"/>
      <w:r w:rsidRPr="00CC38DB">
        <w:rPr>
          <w:rFonts w:ascii="Calibri" w:hAnsi="Calibri" w:cs="Calibri"/>
        </w:rPr>
        <w:t xml:space="preserve"> = grootverbruikersaansluiting)</w:t>
      </w:r>
    </w:p>
    <w:p w:rsidRPr="00CC38DB" w:rsidR="0049273F" w:rsidP="0049273F" w:rsidRDefault="0049273F" w14:paraId="3A7B7A4A" w14:textId="77777777">
      <w:pPr>
        <w:spacing w:after="0"/>
        <w:rPr>
          <w:rFonts w:ascii="Calibri" w:hAnsi="Calibri" w:cs="Calibri"/>
        </w:rPr>
      </w:pPr>
    </w:p>
    <w:p w:rsidRPr="00CC38DB" w:rsidR="0049273F" w:rsidP="0049273F" w:rsidRDefault="0049273F" w14:paraId="2E0F49C4" w14:textId="77777777">
      <w:pPr>
        <w:spacing w:after="0"/>
        <w:rPr>
          <w:rFonts w:ascii="Calibri" w:hAnsi="Calibri" w:cs="Calibri"/>
        </w:rPr>
      </w:pPr>
      <w:r w:rsidRPr="00CC38DB">
        <w:rPr>
          <w:rFonts w:ascii="Calibri" w:hAnsi="Calibri" w:cs="Calibri"/>
        </w:rPr>
        <w:t>De basisbedragen voor de openstellingsronde van 2024 zijn vastgesteld op basis van een advies van het Planbureau voor de Leefomgeving (PBL), die bij de voorbereiding van dit advies de sector heeft geconsulteerd. Hoewel de sector bij aanvang van de openstellingsronde heeft aangegeven dat de basisbedragen vanwege kostenstijgingen voor veel projecten niet toereikend waren, zijn er uiteindelijk toch veel aanvragen voor projecten ingediend. De totale subsidieclaim was bijna 66,2 miljoen euro. Er zijn echter veel aanvragen afgewezen. De grootste budgetclaim was afkomstig van windenergieprojecten, waarvan de aanvragen voornamelijk zijn afgewezen omdat ze niet voldeden aan de vergunningseisen. Verder zijn er veel zon-pv-projecten afgewezen, omdat het aanvragen betrof voor zogenoemde opgeknipte installaties. Dit wordt later in deze brief toegelicht. Ten slotte zijn enkele aanvragen ingetrokken. Met de resulterende budgetclaim van 9,8 miljoen euro is het SCE-budget bij lange na niet uitgeput.</w:t>
      </w:r>
    </w:p>
    <w:p w:rsidRPr="00CC38DB" w:rsidR="0049273F" w:rsidP="0049273F" w:rsidRDefault="0049273F" w14:paraId="1B8DB8BA" w14:textId="77777777">
      <w:pPr>
        <w:spacing w:after="0"/>
        <w:rPr>
          <w:rFonts w:ascii="Calibri" w:hAnsi="Calibri" w:cs="Calibri"/>
        </w:rPr>
      </w:pPr>
    </w:p>
    <w:p w:rsidRPr="00CC38DB" w:rsidR="0049273F" w:rsidP="0049273F" w:rsidRDefault="0049273F" w14:paraId="26F466DA" w14:textId="77777777">
      <w:pPr>
        <w:spacing w:after="0"/>
        <w:rPr>
          <w:rFonts w:ascii="Calibri" w:hAnsi="Calibri" w:cs="Calibri"/>
          <w:b/>
          <w:bCs/>
        </w:rPr>
      </w:pPr>
      <w:r w:rsidRPr="00CC38DB">
        <w:rPr>
          <w:rFonts w:ascii="Calibri" w:hAnsi="Calibri" w:cs="Calibri"/>
          <w:b/>
          <w:bCs/>
        </w:rPr>
        <w:t>Openstellingsperiode en budget 2025</w:t>
      </w:r>
    </w:p>
    <w:p w:rsidRPr="00CC38DB" w:rsidR="0049273F" w:rsidP="0049273F" w:rsidRDefault="0049273F" w14:paraId="091A8447" w14:textId="77777777">
      <w:pPr>
        <w:spacing w:after="0"/>
        <w:rPr>
          <w:rFonts w:ascii="Calibri" w:hAnsi="Calibri" w:cs="Calibri"/>
        </w:rPr>
      </w:pPr>
      <w:r w:rsidRPr="00CC38DB">
        <w:rPr>
          <w:rFonts w:ascii="Calibri" w:hAnsi="Calibri" w:cs="Calibri"/>
        </w:rPr>
        <w:t xml:space="preserve">Beoogd wordt de SCE in februari 2025 open te stellen, met een openstellingsperiode die dan loopt tot 1 oktober 2025. Het openstellingsbudget wordt net als in 2024 vastgesteld op 100 miljoen euro. Ondanks de forse </w:t>
      </w:r>
      <w:proofErr w:type="spellStart"/>
      <w:r w:rsidRPr="00CC38DB">
        <w:rPr>
          <w:rFonts w:ascii="Calibri" w:hAnsi="Calibri" w:cs="Calibri"/>
        </w:rPr>
        <w:t>onderuitputting</w:t>
      </w:r>
      <w:proofErr w:type="spellEnd"/>
      <w:r w:rsidRPr="00CC38DB">
        <w:rPr>
          <w:rFonts w:ascii="Calibri" w:hAnsi="Calibri" w:cs="Calibri"/>
        </w:rPr>
        <w:t xml:space="preserve"> in 2024 is dit voor het jaar 2025 een passend budget. Zo sluiten de basisbedragen voor 2025 naar verwachting beter aan bij de omstandigheden waar projecten mee te maken hebben. In de basisbedragen wordt nu onder meer rekening gehouden met de impact van negatieve prijzen op projecten. Daarom wordt rekening gehouden met een inhaaleffect van projecten waarvoor het basisbedrag in 2024 ontoereikend was. Ook worden meer aanvragen verwacht naar aanleiding van een aantal wijzigingen in de SCE, waaronder het mogelijk maken van project-</w:t>
      </w:r>
      <w:proofErr w:type="spellStart"/>
      <w:r w:rsidRPr="00CC38DB">
        <w:rPr>
          <w:rFonts w:ascii="Calibri" w:hAnsi="Calibri" w:cs="Calibri"/>
        </w:rPr>
        <w:t>BV’s</w:t>
      </w:r>
      <w:proofErr w:type="spellEnd"/>
      <w:r w:rsidRPr="00CC38DB">
        <w:rPr>
          <w:rFonts w:ascii="Calibri" w:hAnsi="Calibri" w:cs="Calibri"/>
        </w:rPr>
        <w:t xml:space="preserve"> en het verlengen van banking na de looptijd van het project. Hier wordt later in deze brief nader op ingegaan.</w:t>
      </w:r>
    </w:p>
    <w:p w:rsidRPr="00CC38DB" w:rsidR="0049273F" w:rsidP="0049273F" w:rsidRDefault="0049273F" w14:paraId="59514B6B" w14:textId="77777777">
      <w:pPr>
        <w:spacing w:after="0"/>
        <w:rPr>
          <w:rFonts w:ascii="Calibri" w:hAnsi="Calibri" w:cs="Calibri"/>
        </w:rPr>
      </w:pPr>
    </w:p>
    <w:p w:rsidRPr="00CC38DB" w:rsidR="0049273F" w:rsidP="0049273F" w:rsidRDefault="0049273F" w14:paraId="1EC7277B" w14:textId="77777777">
      <w:pPr>
        <w:spacing w:after="0"/>
        <w:rPr>
          <w:rFonts w:ascii="Calibri" w:hAnsi="Calibri" w:cs="Calibri"/>
          <w:b/>
          <w:bCs/>
        </w:rPr>
      </w:pPr>
      <w:r w:rsidRPr="00CC38DB">
        <w:rPr>
          <w:rFonts w:ascii="Calibri" w:hAnsi="Calibri" w:cs="Calibri"/>
          <w:b/>
          <w:bCs/>
        </w:rPr>
        <w:t>Basisbedragen SCE 2025</w:t>
      </w:r>
    </w:p>
    <w:p w:rsidRPr="00CC38DB" w:rsidR="0049273F" w:rsidP="0049273F" w:rsidRDefault="0049273F" w14:paraId="59426AD4" w14:textId="77777777">
      <w:pPr>
        <w:spacing w:after="0"/>
        <w:rPr>
          <w:rFonts w:ascii="Calibri" w:hAnsi="Calibri" w:cs="Calibri"/>
        </w:rPr>
      </w:pPr>
      <w:r w:rsidRPr="00CC38DB">
        <w:rPr>
          <w:rFonts w:ascii="Calibri" w:hAnsi="Calibri" w:cs="Calibri"/>
        </w:rPr>
        <w:t xml:space="preserve">Het basisbedrag voor de verschillende categorieën productie-installaties wordt vastgesteld in het openstellingsbesluit voor 2025. Dit is het bedrag dat per geproduceerde kWh nodig is om de productie-installatie rendabel te maken. De basisbedragen zijn gebaseerd op het bij deze brief gevoegde eindadvies van het PBL voor de SCE 2025. Het PBL heeft bij de voorbereiding van het advies voor de SCE-openstelling van 2025 de sector zeer nauw betrokken om een zo volledig en actueel </w:t>
      </w:r>
      <w:r w:rsidRPr="00CC38DB">
        <w:rPr>
          <w:rFonts w:ascii="Calibri" w:hAnsi="Calibri" w:cs="Calibri"/>
        </w:rPr>
        <w:lastRenderedPageBreak/>
        <w:t xml:space="preserve">mogelijk beeld te verkrijgen van de omstandigheden en kosten waar energiecoöperaties mee te maken hebben. Naast de basisbedragen biedt dit onafhankelijke advies ook de basis voor de gekozen categorieën productie-installaties. </w:t>
      </w:r>
    </w:p>
    <w:p w:rsidRPr="00CC38DB" w:rsidR="0049273F" w:rsidP="0049273F" w:rsidRDefault="0049273F" w14:paraId="64093C5A" w14:textId="77777777">
      <w:pPr>
        <w:spacing w:after="0"/>
        <w:rPr>
          <w:rFonts w:ascii="Calibri" w:hAnsi="Calibri" w:cs="Calibri"/>
        </w:rPr>
      </w:pPr>
    </w:p>
    <w:p w:rsidRPr="00CC38DB" w:rsidR="0049273F" w:rsidP="0049273F" w:rsidRDefault="0049273F" w14:paraId="515D33C4" w14:textId="77777777">
      <w:pPr>
        <w:spacing w:after="0"/>
        <w:rPr>
          <w:rFonts w:ascii="Calibri" w:hAnsi="Calibri" w:cs="Calibri"/>
          <w:b/>
          <w:bCs/>
        </w:rPr>
      </w:pPr>
      <w:r w:rsidRPr="00CC38DB">
        <w:rPr>
          <w:rFonts w:ascii="Calibri" w:hAnsi="Calibri" w:cs="Calibri"/>
          <w:b/>
          <w:bCs/>
        </w:rPr>
        <w:t>Wijzigingen SCE 2025</w:t>
      </w:r>
    </w:p>
    <w:p w:rsidRPr="00CC38DB" w:rsidR="0049273F" w:rsidP="0049273F" w:rsidRDefault="0049273F" w14:paraId="7F97D5B1" w14:textId="77777777">
      <w:pPr>
        <w:spacing w:after="0"/>
        <w:rPr>
          <w:rFonts w:ascii="Calibri" w:hAnsi="Calibri" w:cs="Calibri"/>
          <w:i/>
          <w:iCs/>
        </w:rPr>
      </w:pPr>
    </w:p>
    <w:p w:rsidRPr="00CC38DB" w:rsidR="0049273F" w:rsidP="0049273F" w:rsidRDefault="0049273F" w14:paraId="7EEDF24A" w14:textId="77777777">
      <w:pPr>
        <w:spacing w:after="0"/>
        <w:rPr>
          <w:rFonts w:ascii="Calibri" w:hAnsi="Calibri" w:cs="Calibri"/>
          <w:i/>
          <w:iCs/>
        </w:rPr>
      </w:pPr>
      <w:r w:rsidRPr="00CC38DB">
        <w:rPr>
          <w:rFonts w:ascii="Calibri" w:hAnsi="Calibri" w:cs="Calibri"/>
          <w:i/>
          <w:iCs/>
        </w:rPr>
        <w:t xml:space="preserve">Zon op veld </w:t>
      </w:r>
      <w:proofErr w:type="spellStart"/>
      <w:r w:rsidRPr="00CC38DB">
        <w:rPr>
          <w:rFonts w:ascii="Calibri" w:hAnsi="Calibri" w:cs="Calibri"/>
          <w:i/>
          <w:iCs/>
        </w:rPr>
        <w:t>natuurinclusief</w:t>
      </w:r>
      <w:proofErr w:type="spellEnd"/>
      <w:r w:rsidRPr="00CC38DB">
        <w:rPr>
          <w:rFonts w:ascii="Calibri" w:hAnsi="Calibri" w:cs="Calibri"/>
          <w:i/>
          <w:iCs/>
        </w:rPr>
        <w:t xml:space="preserve"> </w:t>
      </w:r>
    </w:p>
    <w:p w:rsidRPr="00CC38DB" w:rsidR="0049273F" w:rsidP="0049273F" w:rsidRDefault="0049273F" w14:paraId="0974FEFE" w14:textId="77777777">
      <w:pPr>
        <w:spacing w:after="0"/>
        <w:rPr>
          <w:rFonts w:ascii="Calibri" w:hAnsi="Calibri" w:cs="Calibri"/>
        </w:rPr>
      </w:pPr>
      <w:r w:rsidRPr="00CC38DB">
        <w:rPr>
          <w:rFonts w:ascii="Calibri" w:hAnsi="Calibri" w:cs="Calibri"/>
        </w:rPr>
        <w:t xml:space="preserve">Voor de SCE wordt in de openstellingsronde van 2025 een categorie toegevoegd voor </w:t>
      </w:r>
      <w:proofErr w:type="spellStart"/>
      <w:r w:rsidRPr="00CC38DB">
        <w:rPr>
          <w:rFonts w:ascii="Calibri" w:hAnsi="Calibri" w:cs="Calibri"/>
        </w:rPr>
        <w:t>natuurinclusieve</w:t>
      </w:r>
      <w:proofErr w:type="spellEnd"/>
      <w:r w:rsidRPr="00CC38DB">
        <w:rPr>
          <w:rFonts w:ascii="Calibri" w:hAnsi="Calibri" w:cs="Calibri"/>
        </w:rPr>
        <w:t xml:space="preserve"> zon-pv op veld 500 </w:t>
      </w:r>
      <w:proofErr w:type="spellStart"/>
      <w:r w:rsidRPr="00CC38DB">
        <w:rPr>
          <w:rFonts w:ascii="Calibri" w:hAnsi="Calibri" w:cs="Calibri"/>
        </w:rPr>
        <w:t>kWp</w:t>
      </w:r>
      <w:proofErr w:type="spellEnd"/>
      <w:r w:rsidRPr="00CC38DB">
        <w:rPr>
          <w:rFonts w:ascii="Calibri" w:hAnsi="Calibri" w:cs="Calibri"/>
        </w:rPr>
        <w:t xml:space="preserve"> – 6 </w:t>
      </w:r>
      <w:proofErr w:type="spellStart"/>
      <w:r w:rsidRPr="00CC38DB">
        <w:rPr>
          <w:rFonts w:ascii="Calibri" w:hAnsi="Calibri" w:cs="Calibri"/>
        </w:rPr>
        <w:t>MWp</w:t>
      </w:r>
      <w:proofErr w:type="spellEnd"/>
      <w:r w:rsidRPr="00CC38DB">
        <w:rPr>
          <w:rFonts w:ascii="Calibri" w:hAnsi="Calibri" w:cs="Calibri"/>
        </w:rPr>
        <w:t xml:space="preserve">. Om voor deze categorie in aanmerking te komen moet een project aan verschillende eisen voldoen om meer rekening te houden met de natuur, door ruimte te laten tussen de tafels met zonnepanelen, de kwaliteit van de natuur te monitoren en verslechtering van de natuurkwaliteit te voorkomen. In de SCE-regeling wordt opgenomen welke eisen er precies aan </w:t>
      </w:r>
      <w:proofErr w:type="spellStart"/>
      <w:r w:rsidRPr="00CC38DB">
        <w:rPr>
          <w:rFonts w:ascii="Calibri" w:hAnsi="Calibri" w:cs="Calibri"/>
        </w:rPr>
        <w:t>natuurinclusieve</w:t>
      </w:r>
      <w:proofErr w:type="spellEnd"/>
      <w:r w:rsidRPr="00CC38DB">
        <w:rPr>
          <w:rFonts w:ascii="Calibri" w:hAnsi="Calibri" w:cs="Calibri"/>
        </w:rPr>
        <w:t xml:space="preserve"> projecten worden gesteld. De eisen zijn ook beschreven in de Kamerbrief van 17 juni 2024</w:t>
      </w:r>
      <w:r w:rsidRPr="00CC38DB">
        <w:rPr>
          <w:rStyle w:val="Voetnootmarkering"/>
          <w:rFonts w:ascii="Calibri" w:hAnsi="Calibri" w:cs="Calibri"/>
        </w:rPr>
        <w:footnoteReference w:id="1"/>
      </w:r>
      <w:r w:rsidRPr="00CC38DB">
        <w:rPr>
          <w:rFonts w:ascii="Calibri" w:hAnsi="Calibri" w:cs="Calibri"/>
        </w:rPr>
        <w:t xml:space="preserve">. Om voor deze categorie met hoger basisbedrag in aanmerking te komen, dienen deze eisen in de omgevingsvergunning van een project te zijn opgenomen. In de SDE++ zijn sinds 2024 al categorieën voor </w:t>
      </w:r>
      <w:proofErr w:type="spellStart"/>
      <w:r w:rsidRPr="00CC38DB">
        <w:rPr>
          <w:rFonts w:ascii="Calibri" w:hAnsi="Calibri" w:cs="Calibri"/>
        </w:rPr>
        <w:t>natuurinclusieve</w:t>
      </w:r>
      <w:proofErr w:type="spellEnd"/>
      <w:r w:rsidRPr="00CC38DB">
        <w:rPr>
          <w:rFonts w:ascii="Calibri" w:hAnsi="Calibri" w:cs="Calibri"/>
        </w:rPr>
        <w:t xml:space="preserve"> zon-op-veldprojecten opgenomen. </w:t>
      </w:r>
    </w:p>
    <w:p w:rsidRPr="00CC38DB" w:rsidR="0049273F" w:rsidP="0049273F" w:rsidRDefault="0049273F" w14:paraId="6866FE5C" w14:textId="77777777">
      <w:pPr>
        <w:spacing w:after="0"/>
        <w:rPr>
          <w:rFonts w:ascii="Calibri" w:hAnsi="Calibri" w:cs="Calibri"/>
        </w:rPr>
      </w:pPr>
    </w:p>
    <w:p w:rsidRPr="00CC38DB" w:rsidR="0049273F" w:rsidP="0049273F" w:rsidRDefault="0049273F" w14:paraId="5238F014" w14:textId="77777777">
      <w:pPr>
        <w:spacing w:after="0"/>
        <w:rPr>
          <w:rFonts w:ascii="Calibri" w:hAnsi="Calibri" w:cs="Calibri"/>
        </w:rPr>
      </w:pPr>
      <w:r w:rsidRPr="00CC38DB">
        <w:rPr>
          <w:rFonts w:ascii="Calibri" w:hAnsi="Calibri" w:cs="Calibri"/>
        </w:rPr>
        <w:t xml:space="preserve">Voor zon-pv drijvend op water, waarover het PBL ook heeft geadviseerd, wordt nu geen </w:t>
      </w:r>
      <w:proofErr w:type="spellStart"/>
      <w:r w:rsidRPr="00CC38DB">
        <w:rPr>
          <w:rFonts w:ascii="Calibri" w:hAnsi="Calibri" w:cs="Calibri"/>
        </w:rPr>
        <w:t>natuurinclusieve</w:t>
      </w:r>
      <w:proofErr w:type="spellEnd"/>
      <w:r w:rsidRPr="00CC38DB">
        <w:rPr>
          <w:rFonts w:ascii="Calibri" w:hAnsi="Calibri" w:cs="Calibri"/>
        </w:rPr>
        <w:t xml:space="preserve"> categorie opgenomen. Voor deze categorie is namelijk nog geen duidelijkheid over de eisen waar vergunningen aan moeten voldoen.</w:t>
      </w:r>
    </w:p>
    <w:p w:rsidRPr="00CC38DB" w:rsidR="0049273F" w:rsidP="0049273F" w:rsidRDefault="0049273F" w14:paraId="6D5F153E" w14:textId="77777777">
      <w:pPr>
        <w:spacing w:after="0"/>
        <w:rPr>
          <w:rFonts w:ascii="Calibri" w:hAnsi="Calibri" w:cs="Calibri"/>
          <w:i/>
          <w:iCs/>
        </w:rPr>
      </w:pPr>
    </w:p>
    <w:p w:rsidRPr="00CC38DB" w:rsidR="0049273F" w:rsidP="0049273F" w:rsidRDefault="0049273F" w14:paraId="73BECD87" w14:textId="77777777">
      <w:pPr>
        <w:spacing w:after="0"/>
        <w:rPr>
          <w:rFonts w:ascii="Calibri" w:hAnsi="Calibri" w:cs="Calibri"/>
        </w:rPr>
      </w:pPr>
      <w:r w:rsidRPr="00CC38DB">
        <w:rPr>
          <w:rFonts w:ascii="Calibri" w:hAnsi="Calibri" w:cs="Calibri"/>
          <w:i/>
          <w:iCs/>
        </w:rPr>
        <w:t>Verbeteren financierbaarheid projecten</w:t>
      </w:r>
    </w:p>
    <w:p w:rsidRPr="00CC38DB" w:rsidR="0049273F" w:rsidP="0049273F" w:rsidRDefault="0049273F" w14:paraId="79DFA45B" w14:textId="77777777">
      <w:pPr>
        <w:spacing w:after="0"/>
        <w:rPr>
          <w:rFonts w:ascii="Calibri" w:hAnsi="Calibri" w:cs="Calibri"/>
        </w:rPr>
      </w:pPr>
      <w:r w:rsidRPr="00CC38DB">
        <w:rPr>
          <w:rFonts w:ascii="Calibri" w:hAnsi="Calibri" w:cs="Calibri"/>
        </w:rPr>
        <w:t>Om de financierbaarheid van projecten te vergroten, zal vanaf 2025 worden toegestaan dat coöperaties hun subsidie gezamenlijk met een project-BV aanvragen. Een project-BV is een BV die wordt opgericht met als enige doel de uitvoering van een specifiek project, waarbij de risico’s en financiering beperkt blijven tot dat project. Project-</w:t>
      </w:r>
      <w:proofErr w:type="spellStart"/>
      <w:r w:rsidRPr="00CC38DB">
        <w:rPr>
          <w:rFonts w:ascii="Calibri" w:hAnsi="Calibri" w:cs="Calibri"/>
        </w:rPr>
        <w:t>BV’s</w:t>
      </w:r>
      <w:proofErr w:type="spellEnd"/>
      <w:r w:rsidRPr="00CC38DB">
        <w:rPr>
          <w:rFonts w:ascii="Calibri" w:hAnsi="Calibri" w:cs="Calibri"/>
        </w:rPr>
        <w:t xml:space="preserve"> bieden financiers meer zekerheid en vereenvoudigen de financiering van projecten voor coöperaties. </w:t>
      </w:r>
    </w:p>
    <w:p w:rsidRPr="00CC38DB" w:rsidR="0049273F" w:rsidP="0049273F" w:rsidRDefault="0049273F" w14:paraId="13B1420E" w14:textId="77777777">
      <w:pPr>
        <w:spacing w:after="0"/>
        <w:rPr>
          <w:rFonts w:ascii="Calibri" w:hAnsi="Calibri" w:cs="Calibri"/>
        </w:rPr>
      </w:pPr>
    </w:p>
    <w:p w:rsidRPr="00CC38DB" w:rsidR="0049273F" w:rsidP="0049273F" w:rsidRDefault="0049273F" w14:paraId="123FC478" w14:textId="77777777">
      <w:pPr>
        <w:spacing w:after="0"/>
        <w:rPr>
          <w:rFonts w:ascii="Calibri" w:hAnsi="Calibri" w:cs="Calibri"/>
        </w:rPr>
      </w:pPr>
      <w:bookmarkStart w:name="_Hlk182409374" w:id="0"/>
      <w:bookmarkStart w:name="_Hlk182409477" w:id="1"/>
      <w:r w:rsidRPr="00CC38DB">
        <w:rPr>
          <w:rFonts w:ascii="Calibri" w:hAnsi="Calibri" w:cs="Calibri"/>
        </w:rPr>
        <w:t>Door de eisen te stellen dat een project-BV alleen subsidie aan mag vragen samen met een coöperatie die 100% aandeelhouder en enig bestuurder is van de project-BV en als enig doel heeft het tot stand brengen van het project, wordt voorkomen dat de project-BV voor andere doelen wordt ingezet dan het verbeteren van de financierbaarheid van het project. RVO zal controleren of project-</w:t>
      </w:r>
      <w:proofErr w:type="spellStart"/>
      <w:r w:rsidRPr="00CC38DB">
        <w:rPr>
          <w:rFonts w:ascii="Calibri" w:hAnsi="Calibri" w:cs="Calibri"/>
        </w:rPr>
        <w:t>BV’s</w:t>
      </w:r>
      <w:proofErr w:type="spellEnd"/>
      <w:r w:rsidRPr="00CC38DB">
        <w:rPr>
          <w:rFonts w:ascii="Calibri" w:hAnsi="Calibri" w:cs="Calibri"/>
        </w:rPr>
        <w:t xml:space="preserve"> aan de voorwaarden van de SCE (blijven) voldoen</w:t>
      </w:r>
      <w:bookmarkEnd w:id="0"/>
      <w:r w:rsidRPr="00CC38DB">
        <w:rPr>
          <w:rFonts w:ascii="Calibri" w:hAnsi="Calibri" w:cs="Calibri"/>
        </w:rPr>
        <w:t>.</w:t>
      </w:r>
    </w:p>
    <w:bookmarkEnd w:id="1"/>
    <w:p w:rsidRPr="00CC38DB" w:rsidR="0049273F" w:rsidP="0049273F" w:rsidRDefault="0049273F" w14:paraId="3360D79B" w14:textId="77777777">
      <w:pPr>
        <w:spacing w:after="0"/>
        <w:rPr>
          <w:rFonts w:ascii="Calibri" w:hAnsi="Calibri" w:cs="Calibri"/>
          <w:i/>
          <w:iCs/>
        </w:rPr>
      </w:pPr>
    </w:p>
    <w:p w:rsidRPr="00CC38DB" w:rsidR="0049273F" w:rsidP="0049273F" w:rsidRDefault="0049273F" w14:paraId="253C2F00" w14:textId="77777777">
      <w:pPr>
        <w:spacing w:after="0"/>
        <w:rPr>
          <w:rFonts w:ascii="Calibri" w:hAnsi="Calibri" w:cs="Calibri"/>
        </w:rPr>
      </w:pPr>
      <w:r w:rsidRPr="00CC38DB">
        <w:rPr>
          <w:rFonts w:ascii="Calibri" w:hAnsi="Calibri" w:cs="Calibri"/>
          <w:i/>
          <w:iCs/>
        </w:rPr>
        <w:t>Gewijzigde afwijzingsgronden m.b.t. opknippen installaties</w:t>
      </w:r>
    </w:p>
    <w:p w:rsidRPr="00CC38DB" w:rsidR="0049273F" w:rsidP="0049273F" w:rsidRDefault="0049273F" w14:paraId="10E3D6BD" w14:textId="77777777">
      <w:pPr>
        <w:spacing w:after="0"/>
        <w:rPr>
          <w:rFonts w:ascii="Calibri" w:hAnsi="Calibri" w:cs="Calibri"/>
        </w:rPr>
      </w:pPr>
      <w:r w:rsidRPr="00CC38DB">
        <w:rPr>
          <w:rFonts w:ascii="Calibri" w:hAnsi="Calibri" w:cs="Calibri"/>
        </w:rPr>
        <w:t xml:space="preserve">In de SCE-regeling wordt verduidelijkt dat een aanvraag wordt afgewezen, wanneer door één of meer aanvragers binnen dezelfde openstellingsronde voor één locatie of voor aangrenzende of nabijgelegen locaties meer dan één aanvraag wordt </w:t>
      </w:r>
      <w:r w:rsidRPr="00CC38DB">
        <w:rPr>
          <w:rFonts w:ascii="Calibri" w:hAnsi="Calibri" w:cs="Calibri"/>
        </w:rPr>
        <w:lastRenderedPageBreak/>
        <w:t xml:space="preserve">ingediend. Het zogenoemde “opknippen” van zon-pv-installaties binnen de SCE is niet toegestaan. Dit beoogt </w:t>
      </w:r>
      <w:proofErr w:type="spellStart"/>
      <w:r w:rsidRPr="00CC38DB">
        <w:rPr>
          <w:rFonts w:ascii="Calibri" w:hAnsi="Calibri" w:cs="Calibri"/>
        </w:rPr>
        <w:t>overstimulering</w:t>
      </w:r>
      <w:proofErr w:type="spellEnd"/>
      <w:r w:rsidRPr="00CC38DB">
        <w:rPr>
          <w:rFonts w:ascii="Calibri" w:hAnsi="Calibri" w:cs="Calibri"/>
        </w:rPr>
        <w:t xml:space="preserve"> te voorkomen en sluit daarmee beter aan bij het staatssteunkader.</w:t>
      </w:r>
    </w:p>
    <w:p w:rsidRPr="00CC38DB" w:rsidR="0049273F" w:rsidP="0049273F" w:rsidRDefault="0049273F" w14:paraId="0FB1CBEF" w14:textId="77777777">
      <w:pPr>
        <w:spacing w:after="0"/>
        <w:rPr>
          <w:rFonts w:ascii="Calibri" w:hAnsi="Calibri" w:cs="Calibri"/>
        </w:rPr>
      </w:pPr>
    </w:p>
    <w:p w:rsidRPr="00CC38DB" w:rsidR="0049273F" w:rsidP="0049273F" w:rsidRDefault="0049273F" w14:paraId="32E936F0" w14:textId="77777777">
      <w:pPr>
        <w:spacing w:after="0"/>
        <w:rPr>
          <w:rFonts w:ascii="Calibri" w:hAnsi="Calibri" w:cs="Calibri"/>
        </w:rPr>
      </w:pPr>
      <w:r w:rsidRPr="00CC38DB">
        <w:rPr>
          <w:rFonts w:ascii="Calibri" w:hAnsi="Calibri" w:cs="Calibri"/>
        </w:rPr>
        <w:t xml:space="preserve">Voorheen hebben coöperaties aanvragen kunnen doen waarbij een grotere zon-pv-installatie administratief is opgeknipt in kleinere installaties, waarbij voor elk deel van de grotere installatie apart subsidie werd aangevraagd. Dit konden coöperaties doen door in het kadaster percelen te splitsen, zodat voor de SCE sprake was van verschillende locaties. Naar aanleiding van de uitbreiding van de vermogensgrenzen voor de SCE in 2024 is de wenselijkheid van dit opknippen van installaties kritisch bekeken en is geconcludeerd dat dit schuurt met het steunkader waarbinnen de SCE opereert (de Algemene Groepsvrijstellingsverordening, ofwel AGVV). Ten eerste leidt het opknippen tot mogelijke </w:t>
      </w:r>
      <w:proofErr w:type="spellStart"/>
      <w:r w:rsidRPr="00CC38DB">
        <w:rPr>
          <w:rFonts w:ascii="Calibri" w:hAnsi="Calibri" w:cs="Calibri"/>
        </w:rPr>
        <w:t>overstimulering</w:t>
      </w:r>
      <w:proofErr w:type="spellEnd"/>
      <w:r w:rsidRPr="00CC38DB">
        <w:rPr>
          <w:rFonts w:ascii="Calibri" w:hAnsi="Calibri" w:cs="Calibri"/>
        </w:rPr>
        <w:t xml:space="preserve">, nu een grotere installatie profiteert van schaalvoordelen die niet zijn meegenomen in de (hogere) basisbedragen voor kleinere installaties. Ten tweede kan het opknippen van installaties ertoe leiden dat er steun wordt gegeven aan installaties die, als geheel, niet meer vallen binnen de vermogensgrenzen van de AGVV, omdat ze te groot zijn. </w:t>
      </w:r>
    </w:p>
    <w:p w:rsidRPr="00CC38DB" w:rsidR="0049273F" w:rsidP="0049273F" w:rsidRDefault="0049273F" w14:paraId="37ED67FC" w14:textId="77777777">
      <w:pPr>
        <w:spacing w:after="0"/>
        <w:rPr>
          <w:rFonts w:ascii="Calibri" w:hAnsi="Calibri" w:cs="Calibri"/>
        </w:rPr>
      </w:pPr>
    </w:p>
    <w:p w:rsidRPr="00CC38DB" w:rsidR="0049273F" w:rsidP="0049273F" w:rsidRDefault="0049273F" w14:paraId="29BAFD60" w14:textId="77777777">
      <w:pPr>
        <w:spacing w:after="0"/>
        <w:rPr>
          <w:rFonts w:ascii="Calibri" w:hAnsi="Calibri" w:cs="Calibri"/>
        </w:rPr>
      </w:pPr>
      <w:r w:rsidRPr="00CC38DB">
        <w:rPr>
          <w:rFonts w:ascii="Calibri" w:hAnsi="Calibri" w:cs="Calibri"/>
        </w:rPr>
        <w:t xml:space="preserve">Aanvragen voor opgeknipte installaties zijn in 2024 om deze redenen al afgewezen. Vanaf 2025 wordt een afwijzingsgrond voor het opknippen van SCE-installaties opgenomen in de regeling. De afwijzingsgrond geldt ook als de aanvragen door meerdere aanvragers gedaan zijn. Hiermee wordt voorkomen dat de afwijzingsgrond omzeild wordt door coöperaties die gezamenlijk één installatie plaatsen en hiervoor meerdere beschikkingen aanvragen. </w:t>
      </w:r>
    </w:p>
    <w:p w:rsidRPr="00CC38DB" w:rsidR="0049273F" w:rsidP="0049273F" w:rsidRDefault="0049273F" w14:paraId="059702A7" w14:textId="77777777">
      <w:pPr>
        <w:spacing w:after="0"/>
        <w:rPr>
          <w:rFonts w:ascii="Calibri" w:hAnsi="Calibri" w:cs="Calibri"/>
        </w:rPr>
      </w:pPr>
    </w:p>
    <w:p w:rsidRPr="00CC38DB" w:rsidR="0049273F" w:rsidP="0049273F" w:rsidRDefault="0049273F" w14:paraId="0D4D6BAE" w14:textId="77777777">
      <w:pPr>
        <w:spacing w:after="0"/>
        <w:rPr>
          <w:rFonts w:ascii="Calibri" w:hAnsi="Calibri" w:cs="Calibri"/>
        </w:rPr>
      </w:pPr>
      <w:r w:rsidRPr="00CC38DB">
        <w:rPr>
          <w:rFonts w:ascii="Calibri" w:hAnsi="Calibri" w:cs="Calibri"/>
        </w:rPr>
        <w:t xml:space="preserve">Voor zon-pv op dak, windenergie en waterkracht speelt het opknippen van installaties niet, want hierbij is het altijd duidelijk of sprake is van één of meerdere installaties. </w:t>
      </w:r>
    </w:p>
    <w:p w:rsidRPr="00CC38DB" w:rsidR="0049273F" w:rsidP="0049273F" w:rsidRDefault="0049273F" w14:paraId="6E28AFB9" w14:textId="77777777">
      <w:pPr>
        <w:spacing w:after="0"/>
        <w:rPr>
          <w:rFonts w:ascii="Calibri" w:hAnsi="Calibri" w:cs="Calibri"/>
        </w:rPr>
      </w:pPr>
    </w:p>
    <w:p w:rsidRPr="00CC38DB" w:rsidR="0049273F" w:rsidP="0049273F" w:rsidRDefault="0049273F" w14:paraId="29EA5148" w14:textId="77777777">
      <w:pPr>
        <w:spacing w:after="0"/>
        <w:rPr>
          <w:rFonts w:ascii="Calibri" w:hAnsi="Calibri" w:cs="Calibri"/>
          <w:i/>
          <w:iCs/>
        </w:rPr>
      </w:pPr>
      <w:r w:rsidRPr="00CC38DB">
        <w:rPr>
          <w:rFonts w:ascii="Calibri" w:hAnsi="Calibri" w:cs="Calibri"/>
          <w:i/>
          <w:iCs/>
        </w:rPr>
        <w:t>Verlenging maximum-ontheffingstermijn</w:t>
      </w:r>
    </w:p>
    <w:p w:rsidRPr="00CC38DB" w:rsidR="0049273F" w:rsidP="0049273F" w:rsidRDefault="0049273F" w14:paraId="1D3D016A" w14:textId="77777777">
      <w:pPr>
        <w:spacing w:after="0"/>
        <w:rPr>
          <w:rFonts w:ascii="Calibri" w:hAnsi="Calibri" w:cs="Calibri"/>
        </w:rPr>
      </w:pPr>
      <w:r w:rsidRPr="00CC38DB">
        <w:rPr>
          <w:rFonts w:ascii="Calibri" w:hAnsi="Calibri" w:cs="Calibri"/>
        </w:rPr>
        <w:t>De maximale termijn waarvoor ontheffing kan worden verleend, wordt verlengd van één naar twee jaar. Hiermee biedt het kabinet meer ruimte aan coöperaties en VvE’s die de realisatietermijn voor projecten niet halen, bijvoorbeeld als gevolg van congestie op het elektriciteitsnet. De kans dat projecten worden gerealiseerd neemt als gevolg van deze verlenging toe. In de SCE-regeling zijn de voorwaarden vastgelegd waaronder ontheffing kan worden verleend. Met een maximum-ontheffingstermijn van twee jaar wordt aangesloten bij de praktijk van de SDE++. Dit geldt voor nieuwe en reeds afgegeven beschikkingen.</w:t>
      </w:r>
    </w:p>
    <w:p w:rsidRPr="00CC38DB" w:rsidR="0049273F" w:rsidP="0049273F" w:rsidRDefault="0049273F" w14:paraId="486BF335" w14:textId="77777777">
      <w:pPr>
        <w:spacing w:after="0"/>
        <w:rPr>
          <w:rFonts w:ascii="Calibri" w:hAnsi="Calibri" w:cs="Calibri"/>
        </w:rPr>
      </w:pPr>
    </w:p>
    <w:p w:rsidRPr="00CC38DB" w:rsidR="0049273F" w:rsidP="0049273F" w:rsidRDefault="0049273F" w14:paraId="705E1ED4" w14:textId="77777777">
      <w:pPr>
        <w:spacing w:after="0"/>
        <w:rPr>
          <w:rFonts w:ascii="Calibri" w:hAnsi="Calibri" w:cs="Calibri"/>
          <w:i/>
          <w:iCs/>
        </w:rPr>
      </w:pPr>
      <w:r w:rsidRPr="00CC38DB">
        <w:rPr>
          <w:rFonts w:ascii="Calibri" w:hAnsi="Calibri" w:cs="Calibri"/>
          <w:i/>
          <w:iCs/>
        </w:rPr>
        <w:t>Verlengen banking na looptijd beschikking</w:t>
      </w:r>
    </w:p>
    <w:p w:rsidRPr="00CC38DB" w:rsidR="0049273F" w:rsidP="0049273F" w:rsidRDefault="0049273F" w14:paraId="65D19E67" w14:textId="77777777">
      <w:pPr>
        <w:spacing w:after="0"/>
        <w:rPr>
          <w:rFonts w:ascii="Calibri" w:hAnsi="Calibri" w:cs="Calibri"/>
        </w:rPr>
      </w:pPr>
      <w:r w:rsidRPr="00CC38DB">
        <w:rPr>
          <w:rFonts w:ascii="Calibri" w:hAnsi="Calibri" w:cs="Calibri"/>
        </w:rPr>
        <w:t>Het aantal uren met negatieve elektriciteitsprijzen neemt sterk toe, als gevolg van een overschot aan stroom op uren met veel zon en/of wind in combinatie met een beperkte vraag naar stroom. Voor SCE-installaties op een grootverbruikersaansluiting (</w:t>
      </w:r>
      <w:proofErr w:type="spellStart"/>
      <w:r w:rsidRPr="00CC38DB">
        <w:rPr>
          <w:rFonts w:ascii="Calibri" w:hAnsi="Calibri" w:cs="Calibri"/>
        </w:rPr>
        <w:t>gva</w:t>
      </w:r>
      <w:proofErr w:type="spellEnd"/>
      <w:r w:rsidRPr="00CC38DB">
        <w:rPr>
          <w:rFonts w:ascii="Calibri" w:hAnsi="Calibri" w:cs="Calibri"/>
        </w:rPr>
        <w:t xml:space="preserve">), die zijn beschikt vanaf 2024 geldt dat geen subsidie wordt verstrekt tijdens uren met negatieve prijzen. Door de toename van </w:t>
      </w:r>
      <w:r w:rsidRPr="00CC38DB">
        <w:rPr>
          <w:rFonts w:ascii="Calibri" w:hAnsi="Calibri" w:cs="Calibri"/>
        </w:rPr>
        <w:lastRenderedPageBreak/>
        <w:t>het aantal uren met negatieve prijzen kunnen deze installaties een steeds kleiner deel van hun jaarlijkse vollasturen rendabel draaien, wat de business case van deze projecten aantast. In het kader van negatieve prijzen heeft het PBL een lager aantal vollasturen geadviseerd voor zon-pv- en windinstallaties, op basis van het huidige aantal uren met negatieve prijzen.</w:t>
      </w:r>
    </w:p>
    <w:p w:rsidRPr="00CC38DB" w:rsidR="0049273F" w:rsidP="0049273F" w:rsidRDefault="0049273F" w14:paraId="35B6CB22" w14:textId="77777777">
      <w:pPr>
        <w:spacing w:after="0"/>
        <w:rPr>
          <w:rFonts w:ascii="Calibri" w:hAnsi="Calibri" w:cs="Calibri"/>
        </w:rPr>
      </w:pPr>
    </w:p>
    <w:p w:rsidRPr="00CC38DB" w:rsidR="0049273F" w:rsidP="0049273F" w:rsidRDefault="0049273F" w14:paraId="409B988A" w14:textId="77777777">
      <w:pPr>
        <w:spacing w:after="0"/>
        <w:rPr>
          <w:rFonts w:ascii="Calibri" w:hAnsi="Calibri" w:cs="Calibri"/>
        </w:rPr>
      </w:pPr>
      <w:r w:rsidRPr="00CC38DB">
        <w:rPr>
          <w:rFonts w:ascii="Calibri" w:hAnsi="Calibri" w:cs="Calibri"/>
        </w:rPr>
        <w:t xml:space="preserve">Op dit moment is het mogelijk om niet-gedraaide productie-uren in te halen gedurende de beschikkingsperiode, of in het jaar na de beschikkingsperiode (het zestiende jaar). Bij een groter aantal uren met negatieve prijzen dan nu door het PBL aangenomen zijn deze mogelijkheden naar verwachting niet langer voldoende voor een sluitende business case. Daarom wordt de mogelijkheid voor banking na de subsidieperiode met een jaar uitgebreid, zodat het ook in het zeventiende jaar mogelijk is om gemiste productie-uren in te halen. De wijziging geldt alleen voor beschikkingen voor zon-pv-installaties op een </w:t>
      </w:r>
      <w:proofErr w:type="spellStart"/>
      <w:r w:rsidRPr="00CC38DB">
        <w:rPr>
          <w:rFonts w:ascii="Calibri" w:hAnsi="Calibri" w:cs="Calibri"/>
        </w:rPr>
        <w:t>gva</w:t>
      </w:r>
      <w:proofErr w:type="spellEnd"/>
      <w:r w:rsidRPr="00CC38DB">
        <w:rPr>
          <w:rFonts w:ascii="Calibri" w:hAnsi="Calibri" w:cs="Calibri"/>
        </w:rPr>
        <w:t xml:space="preserve">, afgegeven vanaf 2024. Voor windenergie is de impact van uren met negatieve prijzen kleiner, doordat het aantal jaarlijkse vollasturen veel groter is dan voor zon-pv. </w:t>
      </w:r>
    </w:p>
    <w:p w:rsidRPr="00CC38DB" w:rsidR="0049273F" w:rsidP="0049273F" w:rsidRDefault="0049273F" w14:paraId="2C37C106" w14:textId="77777777">
      <w:pPr>
        <w:spacing w:after="0"/>
        <w:rPr>
          <w:rFonts w:ascii="Calibri" w:hAnsi="Calibri" w:cs="Calibri"/>
          <w:b/>
          <w:bCs/>
        </w:rPr>
      </w:pPr>
    </w:p>
    <w:p w:rsidRPr="00CC38DB" w:rsidR="0049273F" w:rsidP="0049273F" w:rsidRDefault="0049273F" w14:paraId="71F4C351" w14:textId="77777777">
      <w:pPr>
        <w:spacing w:after="0"/>
        <w:rPr>
          <w:rFonts w:ascii="Calibri" w:hAnsi="Calibri" w:cs="Calibri"/>
          <w:b/>
          <w:bCs/>
        </w:rPr>
      </w:pPr>
      <w:r w:rsidRPr="00CC38DB">
        <w:rPr>
          <w:rFonts w:ascii="Calibri" w:hAnsi="Calibri" w:cs="Calibri"/>
          <w:b/>
          <w:bCs/>
        </w:rPr>
        <w:t>Planning evaluatie SCE</w:t>
      </w:r>
    </w:p>
    <w:p w:rsidRPr="00CC38DB" w:rsidR="0049273F" w:rsidP="0049273F" w:rsidRDefault="0049273F" w14:paraId="55F5E6D9" w14:textId="77777777">
      <w:pPr>
        <w:spacing w:after="0"/>
        <w:rPr>
          <w:rFonts w:ascii="Calibri" w:hAnsi="Calibri" w:cs="Calibri"/>
        </w:rPr>
      </w:pPr>
      <w:r w:rsidRPr="00CC38DB">
        <w:rPr>
          <w:rFonts w:ascii="Calibri" w:hAnsi="Calibri" w:cs="Calibri"/>
        </w:rPr>
        <w:t>In de Kamerbrief van 29 januari 2024</w:t>
      </w:r>
      <w:r w:rsidRPr="00CC38DB">
        <w:rPr>
          <w:rStyle w:val="Voetnootmarkering"/>
          <w:rFonts w:ascii="Calibri" w:hAnsi="Calibri" w:cs="Calibri"/>
        </w:rPr>
        <w:footnoteReference w:id="2"/>
      </w:r>
      <w:r w:rsidRPr="00CC38DB">
        <w:rPr>
          <w:rFonts w:ascii="Calibri" w:hAnsi="Calibri" w:cs="Calibri"/>
        </w:rPr>
        <w:t xml:space="preserve"> is aangekondigd na de openstellingsronde van 2024 een evaluatie van de SCE te zullen uitvoeren. Een van de aandachtspunten voor de evaluatie die in die brief is genoemd, is het effect van de uitbreiding van de vermogensgrenzen van de SCE. In de openstellingsronde van 2024 zijn zodanig weinig aanvragen ingediend voor installaties in deze nieuwe, grotere categorieën dat hierover naar verwachting nauwelijks conclusies getrokken kunnen worden. </w:t>
      </w:r>
    </w:p>
    <w:p w:rsidRPr="00CC38DB" w:rsidR="0049273F" w:rsidP="0049273F" w:rsidRDefault="0049273F" w14:paraId="55A5E660" w14:textId="77777777">
      <w:pPr>
        <w:spacing w:after="0"/>
        <w:rPr>
          <w:rFonts w:ascii="Calibri" w:hAnsi="Calibri" w:cs="Calibri"/>
        </w:rPr>
      </w:pPr>
    </w:p>
    <w:p w:rsidRPr="00CC38DB" w:rsidR="0049273F" w:rsidP="0049273F" w:rsidRDefault="0049273F" w14:paraId="5883DF05" w14:textId="77777777">
      <w:pPr>
        <w:spacing w:after="0"/>
        <w:rPr>
          <w:rFonts w:ascii="Calibri" w:hAnsi="Calibri" w:cs="Calibri"/>
        </w:rPr>
      </w:pPr>
      <w:r w:rsidRPr="00CC38DB">
        <w:rPr>
          <w:rFonts w:ascii="Calibri" w:hAnsi="Calibri" w:cs="Calibri"/>
        </w:rPr>
        <w:t xml:space="preserve">Met de openstellingsronde van 2025 zijn naar verwachting wel voldoende gegevens beschikbaar om de SCE goed te kunnen evalueren. Het streven is om deze in het eerste kwartaal van 2026 af te ronden. </w:t>
      </w:r>
    </w:p>
    <w:p w:rsidRPr="00CC38DB" w:rsidR="0049273F" w:rsidP="0049273F" w:rsidRDefault="0049273F" w14:paraId="560F9D1B" w14:textId="77777777">
      <w:pPr>
        <w:spacing w:after="0"/>
        <w:rPr>
          <w:rFonts w:ascii="Calibri" w:hAnsi="Calibri" w:cs="Calibri"/>
        </w:rPr>
      </w:pPr>
    </w:p>
    <w:p w:rsidRPr="00CC38DB" w:rsidR="0049273F" w:rsidP="0049273F" w:rsidRDefault="0049273F" w14:paraId="300AE9EE" w14:textId="77777777">
      <w:pPr>
        <w:spacing w:after="0"/>
        <w:rPr>
          <w:rFonts w:ascii="Calibri" w:hAnsi="Calibri" w:cs="Calibri"/>
          <w:b/>
          <w:bCs/>
        </w:rPr>
      </w:pPr>
      <w:r w:rsidRPr="00CC38DB">
        <w:rPr>
          <w:rFonts w:ascii="Calibri" w:hAnsi="Calibri" w:cs="Calibri"/>
          <w:b/>
          <w:bCs/>
        </w:rPr>
        <w:t xml:space="preserve">Tweezijdige </w:t>
      </w:r>
      <w:proofErr w:type="spellStart"/>
      <w:r w:rsidRPr="00CC38DB">
        <w:rPr>
          <w:rFonts w:ascii="Calibri" w:hAnsi="Calibri" w:cs="Calibri"/>
          <w:b/>
          <w:bCs/>
          <w:i/>
          <w:iCs/>
        </w:rPr>
        <w:t>contracts</w:t>
      </w:r>
      <w:proofErr w:type="spellEnd"/>
      <w:r w:rsidRPr="00CC38DB">
        <w:rPr>
          <w:rFonts w:ascii="Calibri" w:hAnsi="Calibri" w:cs="Calibri"/>
          <w:b/>
          <w:bCs/>
          <w:i/>
          <w:iCs/>
        </w:rPr>
        <w:t xml:space="preserve"> </w:t>
      </w:r>
      <w:proofErr w:type="spellStart"/>
      <w:r w:rsidRPr="00CC38DB">
        <w:rPr>
          <w:rFonts w:ascii="Calibri" w:hAnsi="Calibri" w:cs="Calibri"/>
          <w:b/>
          <w:bCs/>
          <w:i/>
          <w:iCs/>
        </w:rPr>
        <w:t>for</w:t>
      </w:r>
      <w:proofErr w:type="spellEnd"/>
      <w:r w:rsidRPr="00CC38DB">
        <w:rPr>
          <w:rFonts w:ascii="Calibri" w:hAnsi="Calibri" w:cs="Calibri"/>
          <w:b/>
          <w:bCs/>
          <w:i/>
          <w:iCs/>
        </w:rPr>
        <w:t xml:space="preserve"> </w:t>
      </w:r>
      <w:proofErr w:type="spellStart"/>
      <w:r w:rsidRPr="00CC38DB">
        <w:rPr>
          <w:rFonts w:ascii="Calibri" w:hAnsi="Calibri" w:cs="Calibri"/>
          <w:b/>
          <w:bCs/>
          <w:i/>
          <w:iCs/>
        </w:rPr>
        <w:t>difference</w:t>
      </w:r>
      <w:proofErr w:type="spellEnd"/>
    </w:p>
    <w:p w:rsidRPr="00CC38DB" w:rsidR="0049273F" w:rsidP="0049273F" w:rsidRDefault="0049273F" w14:paraId="2DBD1020" w14:textId="77777777">
      <w:pPr>
        <w:spacing w:after="0"/>
        <w:rPr>
          <w:rFonts w:ascii="Calibri" w:hAnsi="Calibri" w:cs="Calibri"/>
        </w:rPr>
      </w:pPr>
      <w:r w:rsidRPr="00CC38DB">
        <w:rPr>
          <w:rFonts w:ascii="Calibri" w:hAnsi="Calibri" w:cs="Calibri"/>
        </w:rPr>
        <w:t xml:space="preserve">Op 13 juni 2024 is het Electricity Market Design (EMD)-pakket gepubliceerd, waarmee de Elektriciteitsverordening is gewijzigd. Deze gewijzigde verordening schrijft voor dat directe prijssteun voor hernieuwbare elektriciteit vanaf 2027 moet worden gegeven middels tweezijdige </w:t>
      </w:r>
      <w:proofErr w:type="spellStart"/>
      <w:r w:rsidRPr="00CC38DB">
        <w:rPr>
          <w:rFonts w:ascii="Calibri" w:hAnsi="Calibri" w:cs="Calibri"/>
          <w:i/>
          <w:iCs/>
        </w:rPr>
        <w:t>contracts</w:t>
      </w:r>
      <w:proofErr w:type="spellEnd"/>
      <w:r w:rsidRPr="00CC38DB">
        <w:rPr>
          <w:rFonts w:ascii="Calibri" w:hAnsi="Calibri" w:cs="Calibri"/>
          <w:i/>
          <w:iCs/>
        </w:rPr>
        <w:t xml:space="preserve"> </w:t>
      </w:r>
      <w:proofErr w:type="spellStart"/>
      <w:r w:rsidRPr="00CC38DB">
        <w:rPr>
          <w:rFonts w:ascii="Calibri" w:hAnsi="Calibri" w:cs="Calibri"/>
          <w:i/>
          <w:iCs/>
        </w:rPr>
        <w:t>for</w:t>
      </w:r>
      <w:proofErr w:type="spellEnd"/>
      <w:r w:rsidRPr="00CC38DB">
        <w:rPr>
          <w:rFonts w:ascii="Calibri" w:hAnsi="Calibri" w:cs="Calibri"/>
          <w:i/>
          <w:iCs/>
        </w:rPr>
        <w:t xml:space="preserve"> </w:t>
      </w:r>
      <w:proofErr w:type="spellStart"/>
      <w:r w:rsidRPr="00CC38DB">
        <w:rPr>
          <w:rFonts w:ascii="Calibri" w:hAnsi="Calibri" w:cs="Calibri"/>
          <w:i/>
          <w:iCs/>
        </w:rPr>
        <w:t>difference</w:t>
      </w:r>
      <w:proofErr w:type="spellEnd"/>
      <w:r w:rsidRPr="00CC38DB">
        <w:rPr>
          <w:rFonts w:ascii="Calibri" w:hAnsi="Calibri" w:cs="Calibri"/>
          <w:i/>
          <w:iCs/>
        </w:rPr>
        <w:t xml:space="preserve"> </w:t>
      </w:r>
      <w:r w:rsidRPr="00CC38DB">
        <w:rPr>
          <w:rFonts w:ascii="Calibri" w:hAnsi="Calibri" w:cs="Calibri"/>
        </w:rPr>
        <w:t>(</w:t>
      </w:r>
      <w:proofErr w:type="spellStart"/>
      <w:r w:rsidRPr="00CC38DB">
        <w:rPr>
          <w:rFonts w:ascii="Calibri" w:hAnsi="Calibri" w:cs="Calibri"/>
        </w:rPr>
        <w:t>CfD’s</w:t>
      </w:r>
      <w:proofErr w:type="spellEnd"/>
      <w:r w:rsidRPr="00CC38DB">
        <w:rPr>
          <w:rFonts w:ascii="Calibri" w:hAnsi="Calibri" w:cs="Calibri"/>
        </w:rPr>
        <w:t xml:space="preserve">). Voor de SDE++ treft het kabinet al voorbereidingen voor een overgang naar tweezijdige </w:t>
      </w:r>
      <w:proofErr w:type="spellStart"/>
      <w:r w:rsidRPr="00CC38DB">
        <w:rPr>
          <w:rFonts w:ascii="Calibri" w:hAnsi="Calibri" w:cs="Calibri"/>
        </w:rPr>
        <w:t>CfD’s</w:t>
      </w:r>
      <w:proofErr w:type="spellEnd"/>
      <w:r w:rsidRPr="00CC38DB">
        <w:rPr>
          <w:rFonts w:ascii="Calibri" w:hAnsi="Calibri" w:cs="Calibri"/>
        </w:rPr>
        <w:t xml:space="preserve"> voor zon-pv en wind op land, zoals toegelicht in de Kamerbrief van 13 mei 2024</w:t>
      </w:r>
      <w:r w:rsidRPr="00CC38DB">
        <w:rPr>
          <w:rStyle w:val="Voetnootmarkering"/>
          <w:rFonts w:ascii="Calibri" w:hAnsi="Calibri" w:cs="Calibri"/>
        </w:rPr>
        <w:footnoteReference w:id="3"/>
      </w:r>
      <w:r w:rsidRPr="00CC38DB">
        <w:rPr>
          <w:rFonts w:ascii="Calibri" w:hAnsi="Calibri" w:cs="Calibri"/>
        </w:rPr>
        <w:t xml:space="preserve">. Omdat er geen uitzondering geldt voor coöperatieve projecten, wordt voor de SCE eenzelfde traject gevolgd. </w:t>
      </w:r>
    </w:p>
    <w:p w:rsidRPr="00CC38DB" w:rsidR="0049273F" w:rsidP="0049273F" w:rsidRDefault="0049273F" w14:paraId="49206C19" w14:textId="77777777">
      <w:pPr>
        <w:spacing w:after="0"/>
        <w:rPr>
          <w:rFonts w:ascii="Calibri" w:hAnsi="Calibri" w:cs="Calibri"/>
        </w:rPr>
      </w:pPr>
    </w:p>
    <w:p w:rsidR="00CC38DB" w:rsidP="0049273F" w:rsidRDefault="00CC38DB" w14:paraId="68DDC9C3" w14:textId="77777777">
      <w:pPr>
        <w:spacing w:after="0"/>
        <w:rPr>
          <w:rFonts w:ascii="Calibri" w:hAnsi="Calibri" w:cs="Calibri"/>
        </w:rPr>
      </w:pPr>
    </w:p>
    <w:p w:rsidR="0049273F" w:rsidP="0049273F" w:rsidRDefault="00CC38DB" w14:paraId="1A9F6CDF" w14:textId="05395D27">
      <w:pPr>
        <w:spacing w:after="0"/>
        <w:rPr>
          <w:rFonts w:ascii="Calibri" w:hAnsi="Calibri" w:cs="Calibri"/>
        </w:rPr>
      </w:pPr>
      <w:r>
        <w:rPr>
          <w:rFonts w:ascii="Calibri" w:hAnsi="Calibri" w:cs="Calibri"/>
        </w:rPr>
        <w:t>De m</w:t>
      </w:r>
      <w:r w:rsidRPr="00CC38DB" w:rsidR="0049273F">
        <w:rPr>
          <w:rFonts w:ascii="Calibri" w:hAnsi="Calibri" w:cs="Calibri"/>
        </w:rPr>
        <w:t>inister van Klimaat en Groene Groei</w:t>
      </w:r>
      <w:r>
        <w:rPr>
          <w:rFonts w:ascii="Calibri" w:hAnsi="Calibri" w:cs="Calibri"/>
        </w:rPr>
        <w:t>,</w:t>
      </w:r>
    </w:p>
    <w:p w:rsidRPr="00CC38DB" w:rsidR="00CC38DB" w:rsidP="00CC38DB" w:rsidRDefault="00CC38DB" w14:paraId="6ECAE738" w14:textId="14444645">
      <w:pPr>
        <w:spacing w:after="0"/>
        <w:rPr>
          <w:rFonts w:ascii="Calibri" w:hAnsi="Calibri" w:cs="Calibri"/>
        </w:rPr>
      </w:pPr>
      <w:r>
        <w:rPr>
          <w:rFonts w:ascii="Calibri" w:hAnsi="Calibri" w:cs="Calibri"/>
        </w:rPr>
        <w:t>S.T.M.</w:t>
      </w:r>
      <w:r w:rsidRPr="00CC38DB">
        <w:rPr>
          <w:rFonts w:ascii="Calibri" w:hAnsi="Calibri" w:cs="Calibri"/>
        </w:rPr>
        <w:t xml:space="preserve"> Hermans</w:t>
      </w:r>
    </w:p>
    <w:p w:rsidRPr="00CC38DB" w:rsidR="00CC38DB" w:rsidP="0049273F" w:rsidRDefault="00CC38DB" w14:paraId="079EB679" w14:textId="77777777">
      <w:pPr>
        <w:spacing w:after="0"/>
        <w:rPr>
          <w:rFonts w:ascii="Calibri" w:hAnsi="Calibri" w:cs="Calibri"/>
        </w:rPr>
      </w:pPr>
    </w:p>
    <w:p w:rsidRPr="00CC38DB" w:rsidR="00E751E0" w:rsidP="0049273F" w:rsidRDefault="00E751E0" w14:paraId="71205D8F" w14:textId="77777777">
      <w:pPr>
        <w:spacing w:after="0"/>
        <w:rPr>
          <w:rFonts w:ascii="Calibri" w:hAnsi="Calibri" w:cs="Calibri"/>
        </w:rPr>
      </w:pPr>
    </w:p>
    <w:sectPr w:rsidRPr="00CC38DB" w:rsidR="00E751E0" w:rsidSect="0049273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3B4BE" w14:textId="77777777" w:rsidR="0049273F" w:rsidRDefault="0049273F" w:rsidP="0049273F">
      <w:pPr>
        <w:spacing w:after="0" w:line="240" w:lineRule="auto"/>
      </w:pPr>
      <w:r>
        <w:separator/>
      </w:r>
    </w:p>
  </w:endnote>
  <w:endnote w:type="continuationSeparator" w:id="0">
    <w:p w14:paraId="3F1ABF28" w14:textId="77777777" w:rsidR="0049273F" w:rsidRDefault="0049273F" w:rsidP="0049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838F" w14:textId="77777777" w:rsidR="0049273F" w:rsidRPr="0049273F" w:rsidRDefault="0049273F" w:rsidP="004927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D85FE" w14:textId="77777777" w:rsidR="0049273F" w:rsidRPr="0049273F" w:rsidRDefault="0049273F" w:rsidP="004927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26DB" w14:textId="77777777" w:rsidR="0049273F" w:rsidRPr="0049273F" w:rsidRDefault="0049273F" w:rsidP="004927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D686A" w14:textId="77777777" w:rsidR="0049273F" w:rsidRDefault="0049273F" w:rsidP="0049273F">
      <w:pPr>
        <w:spacing w:after="0" w:line="240" w:lineRule="auto"/>
      </w:pPr>
      <w:r>
        <w:separator/>
      </w:r>
    </w:p>
  </w:footnote>
  <w:footnote w:type="continuationSeparator" w:id="0">
    <w:p w14:paraId="1F94A818" w14:textId="77777777" w:rsidR="0049273F" w:rsidRDefault="0049273F" w:rsidP="0049273F">
      <w:pPr>
        <w:spacing w:after="0" w:line="240" w:lineRule="auto"/>
      </w:pPr>
      <w:r>
        <w:continuationSeparator/>
      </w:r>
    </w:p>
  </w:footnote>
  <w:footnote w:id="1">
    <w:p w14:paraId="5FCC5BB1" w14:textId="2562F855" w:rsidR="0049273F" w:rsidRPr="0049273F" w:rsidRDefault="0049273F" w:rsidP="0049273F">
      <w:pPr>
        <w:pStyle w:val="Voetnoottekst"/>
        <w:rPr>
          <w:sz w:val="16"/>
          <w:szCs w:val="16"/>
        </w:rPr>
      </w:pPr>
      <w:r w:rsidRPr="0049273F">
        <w:rPr>
          <w:rStyle w:val="Voetnootmarkering"/>
          <w:sz w:val="16"/>
          <w:szCs w:val="16"/>
        </w:rPr>
        <w:footnoteRef/>
      </w:r>
      <w:r w:rsidRPr="0049273F">
        <w:rPr>
          <w:sz w:val="16"/>
          <w:szCs w:val="16"/>
        </w:rPr>
        <w:t xml:space="preserve"> Kamerstuk 31 239, nr. 398</w:t>
      </w:r>
    </w:p>
  </w:footnote>
  <w:footnote w:id="2">
    <w:p w14:paraId="3DE67F8D" w14:textId="54C625D9" w:rsidR="0049273F" w:rsidRPr="0049273F" w:rsidRDefault="0049273F" w:rsidP="0049273F">
      <w:pPr>
        <w:pStyle w:val="Voetnoottekst"/>
        <w:rPr>
          <w:sz w:val="16"/>
          <w:szCs w:val="16"/>
        </w:rPr>
      </w:pPr>
      <w:r w:rsidRPr="0049273F">
        <w:rPr>
          <w:rStyle w:val="Voetnootmarkering"/>
          <w:sz w:val="16"/>
          <w:szCs w:val="16"/>
        </w:rPr>
        <w:footnoteRef/>
      </w:r>
      <w:r w:rsidRPr="0049273F">
        <w:rPr>
          <w:sz w:val="16"/>
          <w:szCs w:val="16"/>
        </w:rPr>
        <w:t xml:space="preserve"> Kamerstuk 31</w:t>
      </w:r>
      <w:r>
        <w:rPr>
          <w:sz w:val="16"/>
          <w:szCs w:val="16"/>
        </w:rPr>
        <w:t xml:space="preserve"> </w:t>
      </w:r>
      <w:r w:rsidRPr="0049273F">
        <w:rPr>
          <w:sz w:val="16"/>
          <w:szCs w:val="16"/>
        </w:rPr>
        <w:t>239</w:t>
      </w:r>
      <w:r>
        <w:rPr>
          <w:sz w:val="16"/>
          <w:szCs w:val="16"/>
        </w:rPr>
        <w:t xml:space="preserve">, nr. </w:t>
      </w:r>
      <w:r w:rsidRPr="0049273F">
        <w:rPr>
          <w:sz w:val="16"/>
          <w:szCs w:val="16"/>
        </w:rPr>
        <w:t>385</w:t>
      </w:r>
    </w:p>
  </w:footnote>
  <w:footnote w:id="3">
    <w:p w14:paraId="4EB80D6D" w14:textId="70FBF613" w:rsidR="0049273F" w:rsidRPr="0049273F" w:rsidRDefault="0049273F" w:rsidP="0049273F">
      <w:pPr>
        <w:pStyle w:val="Voetnoottekst"/>
        <w:rPr>
          <w:sz w:val="16"/>
          <w:szCs w:val="16"/>
        </w:rPr>
      </w:pPr>
      <w:r w:rsidRPr="0049273F">
        <w:rPr>
          <w:rStyle w:val="Voetnootmarkering"/>
          <w:sz w:val="16"/>
          <w:szCs w:val="16"/>
        </w:rPr>
        <w:footnoteRef/>
      </w:r>
      <w:r w:rsidRPr="0049273F">
        <w:rPr>
          <w:sz w:val="16"/>
          <w:szCs w:val="16"/>
        </w:rPr>
        <w:t xml:space="preserve"> Kamerstuk 31</w:t>
      </w:r>
      <w:r>
        <w:rPr>
          <w:sz w:val="16"/>
          <w:szCs w:val="16"/>
        </w:rPr>
        <w:t xml:space="preserve"> </w:t>
      </w:r>
      <w:r w:rsidRPr="0049273F">
        <w:rPr>
          <w:sz w:val="16"/>
          <w:szCs w:val="16"/>
        </w:rPr>
        <w:t>239</w:t>
      </w:r>
      <w:r>
        <w:rPr>
          <w:sz w:val="16"/>
          <w:szCs w:val="16"/>
        </w:rPr>
        <w:t xml:space="preserve">, nr. </w:t>
      </w:r>
      <w:r w:rsidRPr="0049273F">
        <w:rPr>
          <w:sz w:val="16"/>
          <w:szCs w:val="16"/>
        </w:rPr>
        <w:t>393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BCAF4" w14:textId="77777777" w:rsidR="0049273F" w:rsidRPr="0049273F" w:rsidRDefault="0049273F" w:rsidP="004927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D76C" w14:textId="77777777" w:rsidR="0049273F" w:rsidRPr="0049273F" w:rsidRDefault="0049273F" w:rsidP="004927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B32F" w14:textId="77777777" w:rsidR="0049273F" w:rsidRPr="0049273F" w:rsidRDefault="0049273F" w:rsidP="004927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3F"/>
    <w:rsid w:val="0049273F"/>
    <w:rsid w:val="00CC38DB"/>
    <w:rsid w:val="00E751E0"/>
    <w:rsid w:val="00EB3540"/>
    <w:rsid w:val="00EC6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FB96"/>
  <w15:chartTrackingRefBased/>
  <w15:docId w15:val="{438C0CFC-8703-4ACE-B2BD-291D896C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2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2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27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27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27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27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27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27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27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27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27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27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27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27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27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27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27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273F"/>
    <w:rPr>
      <w:rFonts w:eastAsiaTheme="majorEastAsia" w:cstheme="majorBidi"/>
      <w:color w:val="272727" w:themeColor="text1" w:themeTint="D8"/>
    </w:rPr>
  </w:style>
  <w:style w:type="paragraph" w:styleId="Titel">
    <w:name w:val="Title"/>
    <w:basedOn w:val="Standaard"/>
    <w:next w:val="Standaard"/>
    <w:link w:val="TitelChar"/>
    <w:uiPriority w:val="10"/>
    <w:qFormat/>
    <w:rsid w:val="00492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27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27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27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27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273F"/>
    <w:rPr>
      <w:i/>
      <w:iCs/>
      <w:color w:val="404040" w:themeColor="text1" w:themeTint="BF"/>
    </w:rPr>
  </w:style>
  <w:style w:type="paragraph" w:styleId="Lijstalinea">
    <w:name w:val="List Paragraph"/>
    <w:basedOn w:val="Standaard"/>
    <w:uiPriority w:val="34"/>
    <w:qFormat/>
    <w:rsid w:val="0049273F"/>
    <w:pPr>
      <w:ind w:left="720"/>
      <w:contextualSpacing/>
    </w:pPr>
  </w:style>
  <w:style w:type="character" w:styleId="Intensievebenadrukking">
    <w:name w:val="Intense Emphasis"/>
    <w:basedOn w:val="Standaardalinea-lettertype"/>
    <w:uiPriority w:val="21"/>
    <w:qFormat/>
    <w:rsid w:val="0049273F"/>
    <w:rPr>
      <w:i/>
      <w:iCs/>
      <w:color w:val="0F4761" w:themeColor="accent1" w:themeShade="BF"/>
    </w:rPr>
  </w:style>
  <w:style w:type="paragraph" w:styleId="Duidelijkcitaat">
    <w:name w:val="Intense Quote"/>
    <w:basedOn w:val="Standaard"/>
    <w:next w:val="Standaard"/>
    <w:link w:val="DuidelijkcitaatChar"/>
    <w:uiPriority w:val="30"/>
    <w:qFormat/>
    <w:rsid w:val="00492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273F"/>
    <w:rPr>
      <w:i/>
      <w:iCs/>
      <w:color w:val="0F4761" w:themeColor="accent1" w:themeShade="BF"/>
    </w:rPr>
  </w:style>
  <w:style w:type="character" w:styleId="Intensieveverwijzing">
    <w:name w:val="Intense Reference"/>
    <w:basedOn w:val="Standaardalinea-lettertype"/>
    <w:uiPriority w:val="32"/>
    <w:qFormat/>
    <w:rsid w:val="0049273F"/>
    <w:rPr>
      <w:b/>
      <w:bCs/>
      <w:smallCaps/>
      <w:color w:val="0F4761" w:themeColor="accent1" w:themeShade="BF"/>
      <w:spacing w:val="5"/>
    </w:rPr>
  </w:style>
  <w:style w:type="paragraph" w:styleId="Koptekst">
    <w:name w:val="header"/>
    <w:basedOn w:val="Standaard"/>
    <w:link w:val="KoptekstChar"/>
    <w:rsid w:val="0049273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9273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9273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9273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9273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9273F"/>
    <w:rPr>
      <w:rFonts w:ascii="Verdana" w:hAnsi="Verdana"/>
      <w:noProof/>
      <w:sz w:val="13"/>
      <w:szCs w:val="24"/>
      <w:lang w:eastAsia="nl-NL"/>
    </w:rPr>
  </w:style>
  <w:style w:type="paragraph" w:customStyle="1" w:styleId="Huisstijl-Gegeven">
    <w:name w:val="Huisstijl-Gegeven"/>
    <w:basedOn w:val="Standaard"/>
    <w:link w:val="Huisstijl-GegevenCharChar"/>
    <w:rsid w:val="0049273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9273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9273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49273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9273F"/>
    <w:pPr>
      <w:spacing w:after="0"/>
    </w:pPr>
    <w:rPr>
      <w:b/>
    </w:rPr>
  </w:style>
  <w:style w:type="paragraph" w:customStyle="1" w:styleId="Huisstijl-Paginanummering">
    <w:name w:val="Huisstijl-Paginanummering"/>
    <w:basedOn w:val="Standaard"/>
    <w:uiPriority w:val="99"/>
    <w:rsid w:val="0049273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9273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9273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9273F"/>
    <w:rPr>
      <w:rFonts w:ascii="Verdana" w:eastAsia="Times New Roman" w:hAnsi="Verdana" w:cs="Times New Roman"/>
      <w:kern w:val="0"/>
      <w:sz w:val="13"/>
      <w:szCs w:val="20"/>
      <w:lang w:eastAsia="nl-NL"/>
      <w14:ligatures w14:val="none"/>
    </w:rPr>
  </w:style>
  <w:style w:type="table" w:styleId="Rastertabel4-Accent1">
    <w:name w:val="Grid Table 4 Accent 1"/>
    <w:basedOn w:val="Standaardtabel"/>
    <w:uiPriority w:val="49"/>
    <w:rsid w:val="0049273F"/>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Bijschrift">
    <w:name w:val="caption"/>
    <w:basedOn w:val="Standaard"/>
    <w:next w:val="Standaard"/>
    <w:unhideWhenUsed/>
    <w:qFormat/>
    <w:rsid w:val="0049273F"/>
    <w:pPr>
      <w:spacing w:after="200" w:line="240" w:lineRule="auto"/>
    </w:pPr>
    <w:rPr>
      <w:rFonts w:ascii="Verdana" w:eastAsia="Times New Roman" w:hAnsi="Verdana" w:cs="Times New Roman"/>
      <w:i/>
      <w:iCs/>
      <w:color w:val="0E2841" w:themeColor="text2"/>
      <w:kern w:val="0"/>
      <w:sz w:val="18"/>
      <w:szCs w:val="18"/>
      <w:lang w:eastAsia="nl-NL"/>
      <w14:ligatures w14:val="none"/>
    </w:rPr>
  </w:style>
  <w:style w:type="character" w:styleId="Voetnootmarkering">
    <w:name w:val="footnote reference"/>
    <w:basedOn w:val="Standaardalinea-lettertype"/>
    <w:semiHidden/>
    <w:unhideWhenUsed/>
    <w:rsid w:val="00492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1898</ap:Words>
  <ap:Characters>10441</ap:Characters>
  <ap:DocSecurity>0</ap:DocSecurity>
  <ap:Lines>87</ap:Lines>
  <ap:Paragraphs>24</ap:Paragraphs>
  <ap:ScaleCrop>false</ap:ScaleCrop>
  <ap:LinksUpToDate>false</ap:LinksUpToDate>
  <ap:CharactersWithSpaces>12315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2024-12-19T12:15:00.0000000Z</dcterms:created>
  <dcterms:modified xsi:type="dcterms:W3CDTF">2024-12-19T12:15:00.0000000Z</dcterms:modified>
  <version/>
  <category/>
</coreProperties>
</file>