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C2D" w:rsidP="00E27C2D" w:rsidRDefault="00E27C2D" w14:paraId="16BF29AD" w14:textId="3B23EAD6">
      <w:pPr>
        <w:pStyle w:val="Kop1"/>
      </w:pPr>
      <w:r>
        <w:t xml:space="preserve">Bijlage 1: Opzet en vereisten samenvatting </w:t>
      </w:r>
      <w:r w:rsidR="001F65CB">
        <w:t>P</w:t>
      </w:r>
      <w:r>
        <w:t>eriodieke rapportage</w:t>
      </w:r>
    </w:p>
    <w:p w:rsidR="004F6EC2" w:rsidP="00680E21" w:rsidRDefault="004F6EC2" w14:paraId="687F09EE" w14:textId="77777777">
      <w:pPr>
        <w:tabs>
          <w:tab w:val="left" w:pos="2760"/>
        </w:tabs>
      </w:pPr>
    </w:p>
    <w:p w:rsidR="00B01BB6" w:rsidP="00E900C2" w:rsidRDefault="00B71B86" w14:paraId="59A8436D" w14:textId="706E9C2F">
      <w:r>
        <w:t xml:space="preserve">De Periodieke rapportage maakt gebruik van het, onderstaand beschreven, vaste format voor de samenvatting.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756F" w:rsidTr="00C6756F" w14:paraId="4492DC12" w14:textId="77777777">
        <w:tc>
          <w:tcPr>
            <w:tcW w:w="9062" w:type="dxa"/>
          </w:tcPr>
          <w:p w:rsidR="00C6756F" w:rsidP="00C6756F" w:rsidRDefault="00B71B86" w14:paraId="67365DB9" w14:textId="71034B0F">
            <w:pPr>
              <w:pStyle w:val="Lijstalinea"/>
              <w:numPr>
                <w:ilvl w:val="0"/>
                <w:numId w:val="4"/>
              </w:numPr>
            </w:pPr>
            <w:r>
              <w:t>Voorschriften vormgeving</w:t>
            </w:r>
            <w:r w:rsidR="00AF223D">
              <w:t>:</w:t>
            </w:r>
          </w:p>
          <w:p w:rsidR="00B71B86" w:rsidP="00C6756F" w:rsidRDefault="00B71B86" w14:paraId="2A079888" w14:textId="0F07C97A">
            <w:pPr>
              <w:pStyle w:val="Lijstalinea"/>
              <w:numPr>
                <w:ilvl w:val="1"/>
                <w:numId w:val="4"/>
              </w:numPr>
            </w:pPr>
            <w:r>
              <w:t>De Periodieke rapportage (PR) maakt gebruik van het vaste format voor de titel/ondertitel en titelpagina.</w:t>
            </w:r>
          </w:p>
          <w:p w:rsidR="00B71B86" w:rsidP="00B71B86" w:rsidRDefault="00B71B86" w14:paraId="42B9ABCB" w14:textId="42EC8CBB">
            <w:pPr>
              <w:pStyle w:val="Lijstalinea"/>
              <w:numPr>
                <w:ilvl w:val="1"/>
                <w:numId w:val="4"/>
              </w:numPr>
            </w:pPr>
            <w:r>
              <w:t xml:space="preserve">De PR bevat een visuele samenvatting (infographic) met de belangrijkste bevindingen van het onderzoek. De infographic maakt </w:t>
            </w:r>
            <w:r>
              <w:rPr>
                <w:i/>
                <w:iCs/>
              </w:rPr>
              <w:t>geen</w:t>
            </w:r>
            <w:r>
              <w:t xml:space="preserve"> onderdeel uit van de 5 pagina’s voor de samenvatting.</w:t>
            </w:r>
          </w:p>
          <w:p w:rsidR="00ED5866" w:rsidP="00B71B86" w:rsidRDefault="00ED5866" w14:paraId="04F19193" w14:textId="3EB757E4">
            <w:pPr>
              <w:pStyle w:val="Lijstalinea"/>
              <w:numPr>
                <w:ilvl w:val="1"/>
                <w:numId w:val="4"/>
              </w:numPr>
            </w:pPr>
            <w:r>
              <w:t xml:space="preserve">De samenvatting van de PR maakt gebruik van het beschikbaar gestelde </w:t>
            </w:r>
            <w:proofErr w:type="spellStart"/>
            <w:r>
              <w:t>invulbare</w:t>
            </w:r>
            <w:proofErr w:type="spellEnd"/>
            <w:r>
              <w:t xml:space="preserve"> format en voldoet daarmee aan de daarin voorgeschreven opmaak.</w:t>
            </w:r>
          </w:p>
          <w:p w:rsidR="00C6756F" w:rsidP="00E900C2" w:rsidRDefault="00C6756F" w14:paraId="73DF2053" w14:textId="68491D8C">
            <w:pPr>
              <w:pStyle w:val="Lijstalinea"/>
              <w:numPr>
                <w:ilvl w:val="1"/>
                <w:numId w:val="4"/>
              </w:numPr>
            </w:pPr>
            <w:r>
              <w:t xml:space="preserve">Een samenvatting van een </w:t>
            </w:r>
            <w:r w:rsidR="00B71B86">
              <w:t>PR</w:t>
            </w:r>
            <w:r>
              <w:t xml:space="preserve"> beslaat maximaal 5 pagina’s.</w:t>
            </w:r>
          </w:p>
          <w:p w:rsidR="00C6756F" w:rsidP="00C6756F" w:rsidRDefault="00C6756F" w14:paraId="4E0D6D49" w14:textId="77777777">
            <w:pPr>
              <w:pStyle w:val="Lijstalinea"/>
              <w:ind w:left="1440"/>
            </w:pPr>
          </w:p>
          <w:p w:rsidR="00C6756F" w:rsidP="00C6756F" w:rsidRDefault="009B5989" w14:paraId="7426702B" w14:textId="5BA73A6F">
            <w:pPr>
              <w:pStyle w:val="Lijstalinea"/>
              <w:numPr>
                <w:ilvl w:val="0"/>
                <w:numId w:val="4"/>
              </w:numPr>
            </w:pPr>
            <w:r>
              <w:t xml:space="preserve">De </w:t>
            </w:r>
            <w:r w:rsidR="004F61F8">
              <w:t xml:space="preserve">samenvatting van de </w:t>
            </w:r>
            <w:r w:rsidR="00C6756F">
              <w:t xml:space="preserve">Periodieke </w:t>
            </w:r>
            <w:r>
              <w:t>r</w:t>
            </w:r>
            <w:r w:rsidR="00C6756F">
              <w:t>apportage</w:t>
            </w:r>
            <w:r>
              <w:t xml:space="preserve"> bestaat uit de volgende onderdelen</w:t>
            </w:r>
            <w:r w:rsidR="00C6756F">
              <w:t>:</w:t>
            </w:r>
          </w:p>
          <w:p w:rsidR="00C6756F" w:rsidP="00C6756F" w:rsidRDefault="009B5989" w14:paraId="01AA1BFC" w14:textId="3AE9FDC5">
            <w:pPr>
              <w:pStyle w:val="Lijstalinea"/>
              <w:numPr>
                <w:ilvl w:val="1"/>
                <w:numId w:val="4"/>
              </w:numPr>
            </w:pPr>
            <w:r>
              <w:t>E</w:t>
            </w:r>
            <w:r w:rsidR="00C6756F">
              <w:t xml:space="preserve">en tabel waarin de afbakening van de </w:t>
            </w:r>
            <w:r w:rsidR="00B71B86">
              <w:t xml:space="preserve">PR </w:t>
            </w:r>
            <w:r w:rsidR="00C6756F">
              <w:t>is uitgewerkt. Deze tabel bevat in ieder geval:</w:t>
            </w:r>
          </w:p>
          <w:p w:rsidR="00C6756F" w:rsidP="00C6756F" w:rsidRDefault="00C6756F" w14:paraId="7600377C" w14:textId="77777777">
            <w:pPr>
              <w:pStyle w:val="Lijstalinea"/>
              <w:numPr>
                <w:ilvl w:val="2"/>
                <w:numId w:val="4"/>
              </w:numPr>
            </w:pPr>
            <w:r>
              <w:t>De beschrijving van het SEA thema.</w:t>
            </w:r>
          </w:p>
          <w:p w:rsidR="00C6756F" w:rsidP="00C6756F" w:rsidRDefault="00C6756F" w14:paraId="015D7EF2" w14:textId="77777777">
            <w:pPr>
              <w:pStyle w:val="Lijstalinea"/>
              <w:numPr>
                <w:ilvl w:val="2"/>
                <w:numId w:val="4"/>
              </w:numPr>
            </w:pPr>
            <w:r>
              <w:t>De periode die geëvalueerd wordt.</w:t>
            </w:r>
          </w:p>
          <w:p w:rsidR="00C6756F" w:rsidP="00C6756F" w:rsidRDefault="00C6756F" w14:paraId="7ADBC255" w14:textId="4592E926">
            <w:pPr>
              <w:pStyle w:val="Lijstalinea"/>
              <w:numPr>
                <w:ilvl w:val="2"/>
                <w:numId w:val="4"/>
              </w:numPr>
            </w:pPr>
            <w:r w:rsidRPr="004B65AE">
              <w:t xml:space="preserve">De naam en jaar van uitvoering van de vorige </w:t>
            </w:r>
            <w:r w:rsidR="00B71B86">
              <w:t>PR</w:t>
            </w:r>
            <w:r w:rsidRPr="004B65AE">
              <w:t>.</w:t>
            </w:r>
          </w:p>
          <w:p w:rsidR="00C6756F" w:rsidP="00C6756F" w:rsidRDefault="00C6756F" w14:paraId="5BBB2E77" w14:textId="77777777">
            <w:pPr>
              <w:pStyle w:val="Lijstalinea"/>
              <w:numPr>
                <w:ilvl w:val="2"/>
                <w:numId w:val="4"/>
              </w:numPr>
            </w:pPr>
            <w:r>
              <w:t>Hoofdvragen van de PR.</w:t>
            </w:r>
          </w:p>
          <w:p w:rsidR="00C6756F" w:rsidP="00C6756F" w:rsidRDefault="00C6756F" w14:paraId="36F26CB7" w14:textId="77777777">
            <w:pPr>
              <w:pStyle w:val="Lijstalinea"/>
              <w:numPr>
                <w:ilvl w:val="2"/>
                <w:numId w:val="4"/>
              </w:numPr>
            </w:pPr>
            <w:r>
              <w:t>De begrotingsartikelen waarop de PR van toepassing is.</w:t>
            </w:r>
          </w:p>
          <w:p w:rsidR="00C6756F" w:rsidP="00C6756F" w:rsidRDefault="00C6756F" w14:paraId="0D416806" w14:textId="77777777">
            <w:pPr>
              <w:pStyle w:val="Lijstalinea"/>
              <w:numPr>
                <w:ilvl w:val="2"/>
                <w:numId w:val="4"/>
              </w:numPr>
            </w:pPr>
            <w:r>
              <w:t>Tabel met de budgettaire grondslag voor de evaluatie-periode.</w:t>
            </w:r>
          </w:p>
          <w:p w:rsidR="00C6756F" w:rsidP="00C6756F" w:rsidRDefault="009B5989" w14:paraId="214062DB" w14:textId="72A39DD2">
            <w:pPr>
              <w:pStyle w:val="Lijstalinea"/>
              <w:numPr>
                <w:ilvl w:val="1"/>
                <w:numId w:val="4"/>
              </w:numPr>
            </w:pPr>
            <w:r>
              <w:t>U</w:t>
            </w:r>
            <w:r w:rsidR="00C6756F">
              <w:t>itleg van de beleidstheorie</w:t>
            </w:r>
          </w:p>
          <w:p w:rsidR="00C6756F" w:rsidP="00C6756F" w:rsidRDefault="009B5989" w14:paraId="3E1D39A2" w14:textId="2AD13B7F">
            <w:pPr>
              <w:pStyle w:val="Lijstalinea"/>
              <w:numPr>
                <w:ilvl w:val="1"/>
                <w:numId w:val="4"/>
              </w:numPr>
            </w:pPr>
            <w:r>
              <w:t>C</w:t>
            </w:r>
            <w:r w:rsidR="00C6756F">
              <w:t>onclusies over de (voorwaarden voor) doeltreffendheid en doelmatigheid (inclusief neveneffecten). Deze conclusies worden genummerd weergeven</w:t>
            </w:r>
            <w:r w:rsidR="00B71B86">
              <w:t>.</w:t>
            </w:r>
            <w:r w:rsidR="00C6756F">
              <w:t xml:space="preserve"> </w:t>
            </w:r>
            <w:r w:rsidR="00B71B86">
              <w:t>Hierbij kan worden</w:t>
            </w:r>
            <w:r w:rsidR="00C6756F">
              <w:t xml:space="preserve"> ingegaan op de volgende elementen:</w:t>
            </w:r>
          </w:p>
          <w:p w:rsidR="00C6756F" w:rsidP="00C6756F" w:rsidRDefault="00C6756F" w14:paraId="0238E009" w14:textId="77777777">
            <w:pPr>
              <w:pStyle w:val="Lijstalinea"/>
              <w:numPr>
                <w:ilvl w:val="2"/>
                <w:numId w:val="4"/>
              </w:numPr>
            </w:pPr>
            <w:r>
              <w:t>Uitvoering/uitvoerbaarheid.</w:t>
            </w:r>
          </w:p>
          <w:p w:rsidR="00C6756F" w:rsidP="00C6756F" w:rsidRDefault="00C6756F" w14:paraId="5AF76720" w14:textId="77777777">
            <w:pPr>
              <w:pStyle w:val="Lijstalinea"/>
              <w:numPr>
                <w:ilvl w:val="2"/>
                <w:numId w:val="4"/>
              </w:numPr>
            </w:pPr>
            <w:r>
              <w:t>Publieke waarden, in den brede.</w:t>
            </w:r>
          </w:p>
          <w:p w:rsidR="00C6756F" w:rsidP="00C6756F" w:rsidRDefault="00C6756F" w14:paraId="603C16C2" w14:textId="77777777">
            <w:pPr>
              <w:pStyle w:val="Lijstalinea"/>
              <w:numPr>
                <w:ilvl w:val="2"/>
                <w:numId w:val="4"/>
              </w:numPr>
            </w:pPr>
            <w:r>
              <w:t>De mate van zekerheid over het oordeel aan de hand van de effectenladder.</w:t>
            </w:r>
            <w:r>
              <w:rPr>
                <w:rStyle w:val="Voetnootmarkering"/>
              </w:rPr>
              <w:footnoteReference w:id="1"/>
            </w:r>
            <w:r>
              <w:t xml:space="preserve"> </w:t>
            </w:r>
            <w:r w:rsidRPr="00405691">
              <w:t>Maak daarbij in ieder geval onderscheid tussen (1) effectomvang gemeten</w:t>
            </w:r>
            <w:r>
              <w:t xml:space="preserve">, </w:t>
            </w:r>
            <w:r w:rsidRPr="00405691">
              <w:t>(2) causaliteit bepaald</w:t>
            </w:r>
            <w:r>
              <w:t xml:space="preserve">, </w:t>
            </w:r>
            <w:r w:rsidRPr="00405691">
              <w:t>en (3) mechanismen verklaard</w:t>
            </w:r>
            <w:r>
              <w:t>.</w:t>
            </w:r>
          </w:p>
          <w:p w:rsidR="00C6756F" w:rsidP="00C6756F" w:rsidRDefault="00C6756F" w14:paraId="7C42030A" w14:textId="6206C165">
            <w:pPr>
              <w:pStyle w:val="Lijstalinea"/>
              <w:numPr>
                <w:ilvl w:val="2"/>
                <w:numId w:val="4"/>
              </w:numPr>
            </w:pPr>
            <w:r>
              <w:t>OE</w:t>
            </w:r>
            <w:r w:rsidR="00ED5866">
              <w:t>SO</w:t>
            </w:r>
            <w:r>
              <w:t>/DAC</w:t>
            </w:r>
            <w:r w:rsidR="00ED5866">
              <w:t>-</w:t>
            </w:r>
            <w:r>
              <w:t>criteria.</w:t>
            </w:r>
            <w:r w:rsidR="00ED5866">
              <w:rPr>
                <w:rStyle w:val="Voetnootmarkering"/>
              </w:rPr>
              <w:footnoteReference w:id="2"/>
            </w:r>
          </w:p>
          <w:p w:rsidR="00C6756F" w:rsidP="00C6756F" w:rsidRDefault="009B5989" w14:paraId="0B7B8C6C" w14:textId="7DA43BC8">
            <w:pPr>
              <w:pStyle w:val="Lijstalinea"/>
              <w:numPr>
                <w:ilvl w:val="1"/>
                <w:numId w:val="4"/>
              </w:numPr>
            </w:pPr>
            <w:r>
              <w:t>D</w:t>
            </w:r>
            <w:r w:rsidR="00C6756F">
              <w:t xml:space="preserve">e (belangrijkste) aanbevelingen van de PR. Deze worden genummerd opgenomen in een tabel. Onder beleidsaanbevelingen staan ook aanbevelingen voor vervolgonderzoek voor de </w:t>
            </w:r>
            <w:r w:rsidR="00ED5866">
              <w:t>SEA</w:t>
            </w:r>
            <w:r w:rsidR="00C6756F">
              <w:t xml:space="preserve"> (bijvoorbeeld resterende witte vlekken).</w:t>
            </w:r>
          </w:p>
          <w:p w:rsidR="00C6756F" w:rsidP="00C6756F" w:rsidRDefault="009B5989" w14:paraId="1DC6D365" w14:textId="278D0E79">
            <w:pPr>
              <w:pStyle w:val="Lijstalinea"/>
              <w:numPr>
                <w:ilvl w:val="1"/>
                <w:numId w:val="4"/>
              </w:numPr>
            </w:pPr>
            <w:r>
              <w:t>E</w:t>
            </w:r>
            <w:r w:rsidR="00C6756F">
              <w:t xml:space="preserve">en overzicht van de geformuleerde beleidsopties in de PR, genummerd </w:t>
            </w:r>
            <w:r w:rsidR="009C2B51">
              <w:t xml:space="preserve">opgenomen </w:t>
            </w:r>
            <w:r w:rsidR="00C6756F">
              <w:t>in een tabel. Dit betreft bijvoorbeeld besparingsvarianten, en aanpassingen/stopzetten van onderdelen van het beleid.</w:t>
            </w:r>
          </w:p>
          <w:p w:rsidR="00C6756F" w:rsidP="00C6756F" w:rsidRDefault="00C6756F" w14:paraId="6FA87A18" w14:textId="77777777">
            <w:pPr>
              <w:pStyle w:val="Lijstalinea"/>
              <w:numPr>
                <w:ilvl w:val="1"/>
                <w:numId w:val="4"/>
              </w:numPr>
            </w:pPr>
            <w:r>
              <w:t>De samenvatting biedt ruimte om specifieke aandachtspunten toe te voegen die relevant zijn voor het betreffende beleidsterrein.</w:t>
            </w:r>
          </w:p>
          <w:p w:rsidR="00C6756F" w:rsidP="00680E21" w:rsidRDefault="00C6756F" w14:paraId="3BFBC3C9" w14:textId="77777777">
            <w:pPr>
              <w:tabs>
                <w:tab w:val="left" w:pos="2760"/>
              </w:tabs>
            </w:pPr>
          </w:p>
        </w:tc>
      </w:tr>
    </w:tbl>
    <w:p w:rsidR="00101830" w:rsidP="00C6756F" w:rsidRDefault="00101830" w14:paraId="6D430265" w14:textId="3CA02EBE"/>
    <w:sectPr w:rsidR="0010183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A2DF" w14:textId="77777777" w:rsidR="00A4379C" w:rsidRDefault="00A4379C" w:rsidP="00C8151F">
      <w:pPr>
        <w:spacing w:after="0" w:line="240" w:lineRule="auto"/>
      </w:pPr>
      <w:r>
        <w:separator/>
      </w:r>
    </w:p>
  </w:endnote>
  <w:endnote w:type="continuationSeparator" w:id="0">
    <w:p w14:paraId="25257DC5" w14:textId="77777777" w:rsidR="00A4379C" w:rsidRDefault="00A4379C" w:rsidP="00C8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6246" w14:textId="77777777" w:rsidR="00A4379C" w:rsidRDefault="00A4379C" w:rsidP="00C8151F">
      <w:pPr>
        <w:spacing w:after="0" w:line="240" w:lineRule="auto"/>
      </w:pPr>
      <w:r>
        <w:separator/>
      </w:r>
    </w:p>
  </w:footnote>
  <w:footnote w:type="continuationSeparator" w:id="0">
    <w:p w14:paraId="3055300D" w14:textId="77777777" w:rsidR="00A4379C" w:rsidRDefault="00A4379C" w:rsidP="00C8151F">
      <w:pPr>
        <w:spacing w:after="0" w:line="240" w:lineRule="auto"/>
      </w:pPr>
      <w:r>
        <w:continuationSeparator/>
      </w:r>
    </w:p>
  </w:footnote>
  <w:footnote w:id="1">
    <w:p w14:paraId="2D60D199" w14:textId="77777777" w:rsidR="00C6756F" w:rsidRDefault="00C6756F" w:rsidP="00C6756F">
      <w:pPr>
        <w:pStyle w:val="Voetnoottekst"/>
      </w:pPr>
      <w:r>
        <w:rPr>
          <w:rStyle w:val="Voetnootmarkering"/>
        </w:rPr>
        <w:footnoteRef/>
      </w:r>
      <w:r>
        <w:t xml:space="preserve"> Zie hiervoor het rapport van de Commissie Ter Weel, </w:t>
      </w:r>
      <w:hyperlink r:id="rId1" w:history="1">
        <w:r w:rsidRPr="004E3391">
          <w:rPr>
            <w:rStyle w:val="Hyperlink"/>
          </w:rPr>
          <w:t>Durf te leren, ga door met meten (2022)</w:t>
        </w:r>
        <w:r>
          <w:rPr>
            <w:rStyle w:val="Hyperlink"/>
          </w:rPr>
          <w:t>, 7-8</w:t>
        </w:r>
        <w:r w:rsidRPr="004E3391">
          <w:rPr>
            <w:rStyle w:val="Hyperlink"/>
          </w:rPr>
          <w:t>.</w:t>
        </w:r>
      </w:hyperlink>
    </w:p>
  </w:footnote>
  <w:footnote w:id="2">
    <w:p w14:paraId="61C85B81" w14:textId="149AC87C" w:rsidR="00ED5866" w:rsidRDefault="00ED5866">
      <w:pPr>
        <w:pStyle w:val="Voetnoottekst"/>
      </w:pPr>
      <w:r>
        <w:rPr>
          <w:rStyle w:val="Voetnootmarkering"/>
        </w:rPr>
        <w:footnoteRef/>
      </w:r>
      <w:r>
        <w:t xml:space="preserve"> De OESO/DAC-criteria betreffen: relevantie, coherentie, effectiviteit, efficiëntie, impact en houdbaarheid.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2C"/>
    <w:multiLevelType w:val="hybridMultilevel"/>
    <w:tmpl w:val="F84AC97C"/>
    <w:lvl w:ilvl="0" w:tplc="4C5E3D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0540E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42ADF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FB8BC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2FC41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7A49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F0039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15607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1BE78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0693539"/>
    <w:multiLevelType w:val="hybridMultilevel"/>
    <w:tmpl w:val="06C4EA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1818"/>
    <w:multiLevelType w:val="hybridMultilevel"/>
    <w:tmpl w:val="1B8AC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1F6D"/>
    <w:multiLevelType w:val="hybridMultilevel"/>
    <w:tmpl w:val="9A3C9E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B2281"/>
    <w:multiLevelType w:val="hybridMultilevel"/>
    <w:tmpl w:val="C156930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2B35"/>
    <w:multiLevelType w:val="hybridMultilevel"/>
    <w:tmpl w:val="4B6CED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F4A92"/>
    <w:multiLevelType w:val="hybridMultilevel"/>
    <w:tmpl w:val="22D81082"/>
    <w:lvl w:ilvl="0" w:tplc="BE4E57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B4D9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3B65A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3F67B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2D6DB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BBE47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A38EE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BFCA7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A32AD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3E951CED"/>
    <w:multiLevelType w:val="hybridMultilevel"/>
    <w:tmpl w:val="AEA8F43A"/>
    <w:lvl w:ilvl="0" w:tplc="E42C0B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108AE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6AEA4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6A283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086AA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67C91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CC0F3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A8062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F8C7E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B837FA8"/>
    <w:multiLevelType w:val="hybridMultilevel"/>
    <w:tmpl w:val="96E65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2435B"/>
    <w:multiLevelType w:val="hybridMultilevel"/>
    <w:tmpl w:val="6254AC90"/>
    <w:lvl w:ilvl="0" w:tplc="8E9A1B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22D5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D5E1D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44AAE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A4426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31C62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BC4B2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5C472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57ED1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740E119D"/>
    <w:multiLevelType w:val="hybridMultilevel"/>
    <w:tmpl w:val="95AC715C"/>
    <w:lvl w:ilvl="0" w:tplc="97006E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54789">
    <w:abstractNumId w:val="2"/>
  </w:num>
  <w:num w:numId="2" w16cid:durableId="952176325">
    <w:abstractNumId w:val="10"/>
  </w:num>
  <w:num w:numId="3" w16cid:durableId="481428974">
    <w:abstractNumId w:val="4"/>
  </w:num>
  <w:num w:numId="4" w16cid:durableId="787699302">
    <w:abstractNumId w:val="8"/>
  </w:num>
  <w:num w:numId="5" w16cid:durableId="1226338198">
    <w:abstractNumId w:val="0"/>
  </w:num>
  <w:num w:numId="6" w16cid:durableId="1583417138">
    <w:abstractNumId w:val="6"/>
  </w:num>
  <w:num w:numId="7" w16cid:durableId="1193567823">
    <w:abstractNumId w:val="7"/>
  </w:num>
  <w:num w:numId="8" w16cid:durableId="1702316688">
    <w:abstractNumId w:val="9"/>
  </w:num>
  <w:num w:numId="9" w16cid:durableId="261426367">
    <w:abstractNumId w:val="5"/>
  </w:num>
  <w:num w:numId="10" w16cid:durableId="629870542">
    <w:abstractNumId w:val="1"/>
  </w:num>
  <w:num w:numId="11" w16cid:durableId="1602831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68"/>
    <w:rsid w:val="00014EF2"/>
    <w:rsid w:val="00080C51"/>
    <w:rsid w:val="00101830"/>
    <w:rsid w:val="00112E95"/>
    <w:rsid w:val="00134044"/>
    <w:rsid w:val="001578B9"/>
    <w:rsid w:val="00161C5B"/>
    <w:rsid w:val="00175312"/>
    <w:rsid w:val="001B1CE9"/>
    <w:rsid w:val="001E1268"/>
    <w:rsid w:val="001F4E97"/>
    <w:rsid w:val="001F65CB"/>
    <w:rsid w:val="00222BF3"/>
    <w:rsid w:val="00255A4E"/>
    <w:rsid w:val="002B3249"/>
    <w:rsid w:val="002C52C5"/>
    <w:rsid w:val="00380AF7"/>
    <w:rsid w:val="00395799"/>
    <w:rsid w:val="00405691"/>
    <w:rsid w:val="004B65AE"/>
    <w:rsid w:val="004D7E60"/>
    <w:rsid w:val="004F61F8"/>
    <w:rsid w:val="004F6EC2"/>
    <w:rsid w:val="005B2212"/>
    <w:rsid w:val="005C2F6F"/>
    <w:rsid w:val="006157F9"/>
    <w:rsid w:val="00680E21"/>
    <w:rsid w:val="007B07E2"/>
    <w:rsid w:val="007F2AAC"/>
    <w:rsid w:val="00882132"/>
    <w:rsid w:val="0088421A"/>
    <w:rsid w:val="008B4707"/>
    <w:rsid w:val="008D2BB1"/>
    <w:rsid w:val="009563D5"/>
    <w:rsid w:val="009B5989"/>
    <w:rsid w:val="009C2B51"/>
    <w:rsid w:val="009D18CE"/>
    <w:rsid w:val="009E7DEF"/>
    <w:rsid w:val="00A3238D"/>
    <w:rsid w:val="00A32849"/>
    <w:rsid w:val="00A4379C"/>
    <w:rsid w:val="00A83C84"/>
    <w:rsid w:val="00AE65EB"/>
    <w:rsid w:val="00AF223D"/>
    <w:rsid w:val="00B01BB6"/>
    <w:rsid w:val="00B20B07"/>
    <w:rsid w:val="00B649D1"/>
    <w:rsid w:val="00B71B86"/>
    <w:rsid w:val="00C6756F"/>
    <w:rsid w:val="00C8151F"/>
    <w:rsid w:val="00D67C3A"/>
    <w:rsid w:val="00E27C2D"/>
    <w:rsid w:val="00E5242B"/>
    <w:rsid w:val="00E900C2"/>
    <w:rsid w:val="00ED5866"/>
    <w:rsid w:val="00F36363"/>
    <w:rsid w:val="00F6430D"/>
    <w:rsid w:val="00FA5C2F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38028"/>
  <w15:chartTrackingRefBased/>
  <w15:docId w15:val="{CBD38652-1ED0-405A-99D6-DF5ADDED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7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E1268"/>
    <w:pPr>
      <w:ind w:left="720"/>
      <w:contextualSpacing/>
    </w:pPr>
  </w:style>
  <w:style w:type="paragraph" w:styleId="Revisie">
    <w:name w:val="Revision"/>
    <w:hidden/>
    <w:uiPriority w:val="99"/>
    <w:semiHidden/>
    <w:rsid w:val="002B324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B32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B324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B324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32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3249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753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5312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0569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0569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05691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E27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o.nl/wp-content/uploads/2022/10/2022-115-Durf-te-leren-ga-door-met-meten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333</ap:Words>
  <ap:Characters>1837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2024-12-17T15:06:00.0000000Z</dcterms:created>
  <dcterms:modified xsi:type="dcterms:W3CDTF">2024-12-17T15:06:00.0000000Z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39f15-c483-4670-87f9-f365ba551dce_Enabled">
    <vt:lpwstr>true</vt:lpwstr>
  </property>
  <property fmtid="{D5CDD505-2E9C-101B-9397-08002B2CF9AE}" pid="3" name="MSIP_Label_f5339f15-c483-4670-87f9-f365ba551dce_SetDate">
    <vt:lpwstr>2024-09-13T09:44:47Z</vt:lpwstr>
  </property>
  <property fmtid="{D5CDD505-2E9C-101B-9397-08002B2CF9AE}" pid="4" name="MSIP_Label_f5339f15-c483-4670-87f9-f365ba551dce_Method">
    <vt:lpwstr>Standard</vt:lpwstr>
  </property>
  <property fmtid="{D5CDD505-2E9C-101B-9397-08002B2CF9AE}" pid="5" name="MSIP_Label_f5339f15-c483-4670-87f9-f365ba551dce_Name">
    <vt:lpwstr>FIN-IRF-Dep. V.</vt:lpwstr>
  </property>
  <property fmtid="{D5CDD505-2E9C-101B-9397-08002B2CF9AE}" pid="6" name="MSIP_Label_f5339f15-c483-4670-87f9-f365ba551dce_SiteId">
    <vt:lpwstr>84712536-f524-40a0-913b-5d25ba502732</vt:lpwstr>
  </property>
  <property fmtid="{D5CDD505-2E9C-101B-9397-08002B2CF9AE}" pid="7" name="MSIP_Label_f5339f15-c483-4670-87f9-f365ba551dce_ActionId">
    <vt:lpwstr>7c868fee-6fc1-4fdd-8426-254508c9cdd1</vt:lpwstr>
  </property>
  <property fmtid="{D5CDD505-2E9C-101B-9397-08002B2CF9AE}" pid="8" name="MSIP_Label_f5339f15-c483-4670-87f9-f365ba551dce_ContentBits">
    <vt:lpwstr>0</vt:lpwstr>
  </property>
</Properties>
</file>