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3E78" w:rsidRDefault="00572244" w14:paraId="7C31A860" w14:textId="77777777">
      <w:pPr>
        <w:pStyle w:val="StandaardAanhef"/>
      </w:pPr>
      <w:r>
        <w:t>Geachte voorzitter,</w:t>
      </w:r>
    </w:p>
    <w:p w:rsidR="00F9572A" w:rsidRDefault="00F9572A" w14:paraId="18156CBB" w14:textId="77777777">
      <w:r>
        <w:t>Met deze brief informe</w:t>
      </w:r>
      <w:r w:rsidR="000A68F5">
        <w:t>e</w:t>
      </w:r>
      <w:r>
        <w:t>r ik</w:t>
      </w:r>
      <w:r w:rsidR="000A68F5">
        <w:t xml:space="preserve"> </w:t>
      </w:r>
      <w:r w:rsidR="00637D1E">
        <w:t>u</w:t>
      </w:r>
      <w:r w:rsidR="000A68F5">
        <w:t>w Kamer dat ik</w:t>
      </w:r>
      <w:r>
        <w:t xml:space="preserve"> voornemens ben om </w:t>
      </w:r>
      <w:r w:rsidR="000A68F5">
        <w:t xml:space="preserve">een regeling te treffen door middel van een goedkeurend </w:t>
      </w:r>
      <w:r>
        <w:t>beleidsbesluit vooruitlopend op wetgeving</w:t>
      </w:r>
      <w:r w:rsidRPr="008559CD" w:rsidR="008559CD">
        <w:t xml:space="preserve"> </w:t>
      </w:r>
      <w:r w:rsidR="008559CD">
        <w:t>betreffende technische fiscale knelpunten volgend uit de Wet toekomst pensioenen</w:t>
      </w:r>
      <w:r w:rsidR="00743D5D">
        <w:t>. C</w:t>
      </w:r>
      <w:r>
        <w:t>onform het hierover met uw Kamer afgestemde afwegingskader</w:t>
      </w:r>
      <w:r w:rsidR="00743D5D">
        <w:t xml:space="preserve"> stuur ik u deze brief</w:t>
      </w:r>
      <w:r>
        <w:t>.</w:t>
      </w:r>
      <w:r>
        <w:rPr>
          <w:rStyle w:val="Voetnootmarkering"/>
        </w:rPr>
        <w:footnoteReference w:id="1"/>
      </w:r>
    </w:p>
    <w:p w:rsidR="00F9572A" w:rsidRDefault="00F9572A" w14:paraId="08F90419" w14:textId="77777777"/>
    <w:p w:rsidR="00683E78" w:rsidP="00F9572A" w:rsidRDefault="0014238D" w14:paraId="541EF578" w14:textId="77777777">
      <w:r>
        <w:t>De Wet toekomst pensioenen is per 1 juli 2023 in werking getreden.</w:t>
      </w:r>
      <w:r w:rsidR="008559CD">
        <w:t xml:space="preserve"> </w:t>
      </w:r>
      <w:r w:rsidR="005239C8">
        <w:t>Als gevolg van de stelselwijziging moeten b</w:t>
      </w:r>
      <w:r>
        <w:t xml:space="preserve">estaande </w:t>
      </w:r>
      <w:r w:rsidR="005239C8">
        <w:t>pensioenovereenkomsten (</w:t>
      </w:r>
      <w:r>
        <w:t>pensioenregelingen</w:t>
      </w:r>
      <w:r w:rsidR="005239C8">
        <w:t>)</w:t>
      </w:r>
      <w:r>
        <w:t xml:space="preserve"> </w:t>
      </w:r>
      <w:r w:rsidR="00F9572A">
        <w:t>aangepast worden</w:t>
      </w:r>
      <w:r w:rsidR="00972580">
        <w:t xml:space="preserve"> aan deze wet</w:t>
      </w:r>
      <w:r w:rsidR="00F9572A">
        <w:t xml:space="preserve">. </w:t>
      </w:r>
      <w:r w:rsidR="005239C8">
        <w:t>Ook worden opgebouwde pensioenaanspraken en -rechten via een interne collectieve waardeoverdracht</w:t>
      </w:r>
      <w:r w:rsidR="005239C8">
        <w:rPr>
          <w:rStyle w:val="Voetnootmarkering"/>
        </w:rPr>
        <w:footnoteReference w:id="2"/>
      </w:r>
      <w:r w:rsidR="005239C8">
        <w:t xml:space="preserve"> ingebracht in</w:t>
      </w:r>
      <w:r>
        <w:t xml:space="preserve"> </w:t>
      </w:r>
      <w:r w:rsidR="00F9572A">
        <w:t xml:space="preserve">een </w:t>
      </w:r>
      <w:r w:rsidR="005239C8">
        <w:t xml:space="preserve">gewijzigde </w:t>
      </w:r>
      <w:r>
        <w:t>regeling conform de Wet toekomst pensioenen</w:t>
      </w:r>
      <w:r w:rsidR="005239C8">
        <w:t>,</w:t>
      </w:r>
      <w:r>
        <w:t xml:space="preserve"> ook wel invaren genoemd. De eerste </w:t>
      </w:r>
      <w:r w:rsidR="00F9572A">
        <w:t xml:space="preserve">pensioenfondsen </w:t>
      </w:r>
      <w:r>
        <w:t xml:space="preserve">willen per 1 januari 2025 gaan invaren. Recentelijk </w:t>
      </w:r>
      <w:r w:rsidR="00972580">
        <w:t>zijn</w:t>
      </w:r>
      <w:r>
        <w:t xml:space="preserve"> drie </w:t>
      </w:r>
      <w:r w:rsidR="00F9572A">
        <w:t xml:space="preserve">technische </w:t>
      </w:r>
      <w:r>
        <w:t xml:space="preserve">fiscale knelpunten bij invaren geconstateerd. </w:t>
      </w:r>
      <w:r w:rsidR="000E7E71">
        <w:t xml:space="preserve">Deze technische fiscale knelpunten wil ik oplossen. </w:t>
      </w:r>
    </w:p>
    <w:p w:rsidR="0014238D" w:rsidP="00F9572A" w:rsidRDefault="0014238D" w14:paraId="42BBD3E3" w14:textId="77777777"/>
    <w:p w:rsidRPr="00333B7B" w:rsidR="0014238D" w:rsidP="00F9572A" w:rsidRDefault="00A11D25" w14:paraId="3ABC7665" w14:textId="77777777">
      <w:pPr>
        <w:rPr>
          <w:i/>
          <w:iCs/>
        </w:rPr>
      </w:pPr>
      <w:r w:rsidRPr="00333B7B">
        <w:rPr>
          <w:i/>
          <w:iCs/>
        </w:rPr>
        <w:t>Technische fiscale k</w:t>
      </w:r>
      <w:r w:rsidRPr="00333B7B" w:rsidR="0014238D">
        <w:rPr>
          <w:i/>
          <w:iCs/>
        </w:rPr>
        <w:t>nelpunten bij invaren</w:t>
      </w:r>
    </w:p>
    <w:p w:rsidR="00A11D25" w:rsidRDefault="00743D5D" w14:paraId="6B16CCBE" w14:textId="77777777">
      <w:r>
        <w:t>De</w:t>
      </w:r>
      <w:r w:rsidR="00A11D25">
        <w:t xml:space="preserve"> </w:t>
      </w:r>
      <w:r w:rsidR="001C5FEA">
        <w:t>knelpunten</w:t>
      </w:r>
      <w:r>
        <w:t xml:space="preserve"> zien</w:t>
      </w:r>
      <w:r w:rsidR="00F9572A">
        <w:t xml:space="preserve"> </w:t>
      </w:r>
      <w:r>
        <w:t>op</w:t>
      </w:r>
      <w:r w:rsidR="001C5FEA">
        <w:t xml:space="preserve"> </w:t>
      </w:r>
      <w:r w:rsidR="00F9572A">
        <w:t xml:space="preserve">het </w:t>
      </w:r>
      <w:r w:rsidR="001C5FEA">
        <w:t xml:space="preserve">invaren van ingegane prepensioenen, ingegane tijdelijke overbruggingspensioenen en ingegane wezenpensioenen. </w:t>
      </w:r>
    </w:p>
    <w:p w:rsidR="00A11D25" w:rsidRDefault="00A11D25" w14:paraId="64B97CDF" w14:textId="77777777"/>
    <w:p w:rsidRPr="00772551" w:rsidR="005239C8" w:rsidP="005239C8" w:rsidRDefault="005239C8" w14:paraId="3AF86DEC" w14:textId="77777777">
      <w:pPr>
        <w:rPr>
          <w:u w:val="single"/>
        </w:rPr>
      </w:pPr>
      <w:r>
        <w:rPr>
          <w:u w:val="single"/>
        </w:rPr>
        <w:t>I</w:t>
      </w:r>
      <w:r w:rsidRPr="0054108A">
        <w:rPr>
          <w:u w:val="single"/>
        </w:rPr>
        <w:t>ngegane prepensioenen</w:t>
      </w:r>
      <w:r>
        <w:rPr>
          <w:u w:val="single"/>
        </w:rPr>
        <w:t xml:space="preserve"> en </w:t>
      </w:r>
      <w:r w:rsidRPr="0054108A">
        <w:rPr>
          <w:u w:val="single"/>
        </w:rPr>
        <w:t>ingegane tijdelijke overbruggingspensioenen</w:t>
      </w:r>
    </w:p>
    <w:p w:rsidR="00A11D25" w:rsidRDefault="005239C8" w14:paraId="679DDAB0" w14:textId="77777777">
      <w:r>
        <w:t xml:space="preserve">Als gevolg van toepassing </w:t>
      </w:r>
      <w:r w:rsidR="00A11D25">
        <w:t>van</w:t>
      </w:r>
      <w:r w:rsidR="008559CD">
        <w:t xml:space="preserve"> het nieuwe fiscale kader en overgangsrecht voor pensioenregelingen uit d</w:t>
      </w:r>
      <w:r w:rsidR="00A11D25">
        <w:t>e Wet op de loonbelasting 1964</w:t>
      </w:r>
      <w:r w:rsidR="008559CD">
        <w:rPr>
          <w:rStyle w:val="Voetnootmarkering"/>
        </w:rPr>
        <w:footnoteReference w:id="3"/>
      </w:r>
      <w:r w:rsidR="008559CD">
        <w:t xml:space="preserve"> (hierna: nieuwe fiscale </w:t>
      </w:r>
      <w:proofErr w:type="gramStart"/>
      <w:r w:rsidR="008559CD">
        <w:t>kader</w:t>
      </w:r>
      <w:proofErr w:type="gramEnd"/>
      <w:r w:rsidR="008559CD">
        <w:t>)</w:t>
      </w:r>
      <w:r w:rsidR="00A11D25">
        <w:t xml:space="preserve"> moeten </w:t>
      </w:r>
      <w:r w:rsidR="001C5FEA">
        <w:t xml:space="preserve">prepensioenen en </w:t>
      </w:r>
      <w:r w:rsidR="00A11D25">
        <w:t xml:space="preserve">tijdelijke </w:t>
      </w:r>
      <w:r w:rsidR="001C5FEA">
        <w:t xml:space="preserve">overbruggingspensioenen </w:t>
      </w:r>
      <w:r w:rsidR="00A11D25">
        <w:t xml:space="preserve">bij invaren </w:t>
      </w:r>
      <w:r w:rsidR="001C5FEA">
        <w:t>worden omgevormd naar een levenslang ouderdomspensioen.</w:t>
      </w:r>
      <w:r w:rsidR="00A11D25">
        <w:t xml:space="preserve"> De waarde van het prepensioen of tijdelijk overbruggingspensioen wordt </w:t>
      </w:r>
      <w:r w:rsidR="00972580">
        <w:t xml:space="preserve">hierbij </w:t>
      </w:r>
      <w:r w:rsidR="00A11D25">
        <w:t xml:space="preserve">omgezet </w:t>
      </w:r>
      <w:proofErr w:type="gramStart"/>
      <w:r w:rsidR="004E49B4">
        <w:t xml:space="preserve">in </w:t>
      </w:r>
      <w:r w:rsidR="00A11D25">
        <w:t xml:space="preserve"> levenslang</w:t>
      </w:r>
      <w:proofErr w:type="gramEnd"/>
      <w:r w:rsidR="00A11D25">
        <w:t xml:space="preserve"> ouderdomspensioen. </w:t>
      </w:r>
      <w:r>
        <w:t>(Gewezen) deelnemers kunnen h</w:t>
      </w:r>
      <w:r w:rsidR="00A11D25">
        <w:t>et levenslange ouderdomspensioen eventueel vervroeg</w:t>
      </w:r>
      <w:r>
        <w:t>en</w:t>
      </w:r>
      <w:r w:rsidR="00333B7B">
        <w:t xml:space="preserve"> en </w:t>
      </w:r>
      <w:r>
        <w:t>kiezen</w:t>
      </w:r>
      <w:r w:rsidR="00333B7B">
        <w:t xml:space="preserve"> voor hoog-laag pensioen </w:t>
      </w:r>
      <w:r w:rsidR="00A11D25">
        <w:t xml:space="preserve">(als het levenslange ouderdomspensioen nog niet is ingegaan. </w:t>
      </w:r>
      <w:r>
        <w:t xml:space="preserve">Hierdoor hebben (gewezen) deelnemers de mogelijkheid te kiezen voor tijdelijk eerder ingaand hoger pensioen vergelijkbaar met het prepensioen of tijdelijk </w:t>
      </w:r>
      <w:r>
        <w:lastRenderedPageBreak/>
        <w:t>overbruggingspensioen. H</w:t>
      </w:r>
      <w:r w:rsidR="00972580">
        <w:t>et</w:t>
      </w:r>
      <w:r w:rsidRPr="00A11D25" w:rsidR="00A11D25">
        <w:t xml:space="preserve"> omzetten van </w:t>
      </w:r>
      <w:r>
        <w:t xml:space="preserve">een ingegaan </w:t>
      </w:r>
      <w:r w:rsidR="00A11D25">
        <w:t>prepensioen of</w:t>
      </w:r>
      <w:r>
        <w:t xml:space="preserve"> een ingegaan</w:t>
      </w:r>
      <w:r w:rsidR="00A11D25">
        <w:t xml:space="preserve"> tijdelijk overbruggingspensioen</w:t>
      </w:r>
      <w:r w:rsidRPr="00A11D25" w:rsidR="00A11D25">
        <w:t xml:space="preserve"> in levenslang ouderdomspensioen</w:t>
      </w:r>
      <w:r>
        <w:t xml:space="preserve"> kan echter</w:t>
      </w:r>
      <w:r w:rsidRPr="00A11D25" w:rsidR="00A11D25">
        <w:t xml:space="preserve"> leiden tot andere uitkomsten in de hoogte van de </w:t>
      </w:r>
      <w:r w:rsidR="00A11D25">
        <w:t>pensioen</w:t>
      </w:r>
      <w:r w:rsidRPr="00A11D25" w:rsidR="00A11D25">
        <w:t xml:space="preserve">uitkeringen dan waarmee is gerekend bij het laten ingaan van het </w:t>
      </w:r>
      <w:r w:rsidR="00A11D25">
        <w:t>prepensioen of tijdelijk overbruggings</w:t>
      </w:r>
      <w:r w:rsidRPr="00A11D25" w:rsidR="00A11D25">
        <w:t>pensioen.</w:t>
      </w:r>
      <w:r w:rsidR="00A11D25">
        <w:t xml:space="preserve"> </w:t>
      </w:r>
      <w:bookmarkStart w:name="_Hlk184481171" w:id="0"/>
      <w:r w:rsidR="00A11D25">
        <w:t>Bijvoorbeeld omdat het niet meer mogelijk is om te vervroegen</w:t>
      </w:r>
      <w:r w:rsidR="000E7E71">
        <w:t xml:space="preserve"> en te kiezen voor hoog-laag pensioen</w:t>
      </w:r>
      <w:r w:rsidR="00A11D25">
        <w:t xml:space="preserve"> omdat het levenslange ouderdomspensioen al is ingegaan of omdat het prepensioen of tijdelijk overbruggingspensioen een andere looptijd hebben (bijvoorbeeld van 62 tot 65 jaar) dan kan worden bereikt met het vervroegen van het levenslang ouderdomspensioen.</w:t>
      </w:r>
      <w:r w:rsidR="000E7E71">
        <w:t xml:space="preserve"> </w:t>
      </w:r>
      <w:bookmarkEnd w:id="0"/>
      <w:r w:rsidR="00A11D25">
        <w:t>De Pensioenwet</w:t>
      </w:r>
      <w:r>
        <w:t>,</w:t>
      </w:r>
      <w:r w:rsidR="00A11D25">
        <w:t xml:space="preserve"> </w:t>
      </w:r>
      <w:r>
        <w:t xml:space="preserve">de </w:t>
      </w:r>
      <w:r w:rsidRPr="00480383">
        <w:t>Wet verplichte beroepspensioenregeling</w:t>
      </w:r>
      <w:r>
        <w:t xml:space="preserve"> en </w:t>
      </w:r>
      <w:r w:rsidRPr="00480383">
        <w:t>Invoerings- en aanpassingswet Pensioenwet</w:t>
      </w:r>
      <w:r>
        <w:t xml:space="preserve"> voorzien </w:t>
      </w:r>
      <w:r w:rsidR="00A11D25">
        <w:t xml:space="preserve">wel in het </w:t>
      </w:r>
      <w:r>
        <w:t>behouden</w:t>
      </w:r>
      <w:r w:rsidR="00A11D25">
        <w:t xml:space="preserve"> van prepensioen en tijdelijk overbruggingspensioen bij invaren.</w:t>
      </w:r>
      <w:r>
        <w:rPr>
          <w:rStyle w:val="Voetnootmarkering"/>
        </w:rPr>
        <w:footnoteReference w:id="4"/>
      </w:r>
      <w:r w:rsidR="000E7E71">
        <w:t xml:space="preserve"> </w:t>
      </w:r>
    </w:p>
    <w:p w:rsidR="004B0915" w:rsidRDefault="004B0915" w14:paraId="2DDB779E" w14:textId="77777777"/>
    <w:p w:rsidRPr="00552FAF" w:rsidR="005239C8" w:rsidRDefault="005239C8" w14:paraId="5788AE88" w14:textId="77777777">
      <w:pPr>
        <w:rPr>
          <w:u w:val="single"/>
        </w:rPr>
      </w:pPr>
      <w:r w:rsidRPr="00552FAF">
        <w:rPr>
          <w:u w:val="single"/>
        </w:rPr>
        <w:t>Ingegaan wezenpensioen</w:t>
      </w:r>
    </w:p>
    <w:p w:rsidR="000C3763" w:rsidRDefault="001C5FEA" w14:paraId="319C71D9" w14:textId="77777777">
      <w:r>
        <w:t xml:space="preserve">Voor het wezenpensioen geldt dat dit voor invoering van de Wet toekomst pensioenen tot uiterlijk de 30-jarige leeftijd van het kind kon worden uitgekeerd. Met de </w:t>
      </w:r>
      <w:r w:rsidR="005239C8">
        <w:t xml:space="preserve">Wet </w:t>
      </w:r>
      <w:r>
        <w:t xml:space="preserve">toekomst pensioenen is dit teruggebracht naar 25 jaar. Voor reeds ingegane wezenpensioenen </w:t>
      </w:r>
      <w:r w:rsidR="00A11D25">
        <w:t xml:space="preserve">die worden ingevaren </w:t>
      </w:r>
      <w:r>
        <w:t xml:space="preserve">betekent dit dat </w:t>
      </w:r>
      <w:r w:rsidR="00A11D25">
        <w:t>de</w:t>
      </w:r>
      <w:r>
        <w:t>ze</w:t>
      </w:r>
      <w:r w:rsidR="00A11D25">
        <w:t xml:space="preserve"> op grond van </w:t>
      </w:r>
      <w:r w:rsidR="00B628BF">
        <w:t>het nieuwe fiscale kader</w:t>
      </w:r>
      <w:r w:rsidR="00A11D25">
        <w:t xml:space="preserve"> </w:t>
      </w:r>
      <w:r>
        <w:t xml:space="preserve">moeten eindigen op </w:t>
      </w:r>
      <w:r w:rsidR="000E7E71">
        <w:t xml:space="preserve">de </w:t>
      </w:r>
      <w:r>
        <w:t>25-jarige leeftijd</w:t>
      </w:r>
      <w:r w:rsidR="000E7E71">
        <w:t xml:space="preserve"> van het kind</w:t>
      </w:r>
      <w:r>
        <w:t>. Dit kan onwenselijke financiële gevolgen hebben</w:t>
      </w:r>
      <w:r w:rsidR="00BB217D">
        <w:t xml:space="preserve">. </w:t>
      </w:r>
      <w:r w:rsidR="00A11D25">
        <w:t>Het wezenpensioen wordt dan namelijk korter uitgekeerd dan waarvan bij de ingang van het wezenpensioen kon worden uitgegaan. In de Pensioenwet</w:t>
      </w:r>
      <w:bookmarkStart w:name="_Hlk184480617" w:id="1"/>
      <w:r w:rsidRPr="005239C8" w:rsidR="005239C8">
        <w:t xml:space="preserve"> </w:t>
      </w:r>
      <w:r w:rsidR="005239C8">
        <w:t xml:space="preserve">en de </w:t>
      </w:r>
      <w:r w:rsidRPr="00480383" w:rsidR="005239C8">
        <w:t>Wet verplichte beroepspensioenregeling</w:t>
      </w:r>
      <w:bookmarkEnd w:id="1"/>
      <w:r w:rsidR="00A11D25">
        <w:t xml:space="preserve"> is hiervoor wel overgangsrecht opgenomen. </w:t>
      </w:r>
    </w:p>
    <w:p w:rsidR="0014238D" w:rsidRDefault="0014238D" w14:paraId="59C84E86" w14:textId="77777777"/>
    <w:p w:rsidRPr="00333B7B" w:rsidR="000C3763" w:rsidRDefault="00A11D25" w14:paraId="74794976" w14:textId="77777777">
      <w:pPr>
        <w:rPr>
          <w:i/>
          <w:iCs/>
        </w:rPr>
      </w:pPr>
      <w:r w:rsidRPr="00333B7B">
        <w:rPr>
          <w:i/>
          <w:iCs/>
        </w:rPr>
        <w:t>Reparatiewetgeving en b</w:t>
      </w:r>
      <w:r w:rsidRPr="00333B7B" w:rsidR="000C3763">
        <w:rPr>
          <w:i/>
          <w:iCs/>
        </w:rPr>
        <w:t>eleidsbesluit</w:t>
      </w:r>
      <w:r w:rsidRPr="00333B7B">
        <w:rPr>
          <w:i/>
          <w:iCs/>
        </w:rPr>
        <w:t xml:space="preserve"> vooruitlopend op wetgeving</w:t>
      </w:r>
    </w:p>
    <w:p w:rsidR="000E7E71" w:rsidP="00743D5D" w:rsidRDefault="00743D5D" w14:paraId="6C042B73" w14:textId="77777777">
      <w:r>
        <w:t xml:space="preserve">Het op korte termijn oplossen van deze knelpunten heeft een zwaarwegend maatschappelijk belang. Op 1 januari a.s. zijn er drie pensioenfondsen die invaren en met verschillende van deze knelpunten te maken hebben (afhankelijk per pensioenfonds). Het is niet redelijk om vanwege deze technische fiscale punten te verlangen dat het invaren wordt uitgesteld in afwachting van een wetswijziging. </w:t>
      </w:r>
      <w:r w:rsidR="004B0915">
        <w:t xml:space="preserve">Het invaren vraagt veel uitvoeringscapaciteit van pensioenuitvoerders en betrokken partijen. </w:t>
      </w:r>
      <w:r>
        <w:t xml:space="preserve">Vandaar dat ik voornemens ben </w:t>
      </w:r>
      <w:r w:rsidR="0085680A">
        <w:t xml:space="preserve">in </w:t>
      </w:r>
      <w:r>
        <w:t xml:space="preserve">het eerste kwartaal 2025 een beleidsbesluit </w:t>
      </w:r>
      <w:r w:rsidR="0085680A">
        <w:t xml:space="preserve">te publiceren waarin een goedkeuring </w:t>
      </w:r>
      <w:r>
        <w:t>vooruitlopend op wetgeving</w:t>
      </w:r>
      <w:r w:rsidR="0085680A">
        <w:t xml:space="preserve"> is opgenomen. Het beleidsbesluit zal de dag na publicatie in de Staatscourant in werking treden met terugwerkende kracht </w:t>
      </w:r>
      <w:r>
        <w:t>tot</w:t>
      </w:r>
      <w:r w:rsidR="0085680A">
        <w:t xml:space="preserve"> en met</w:t>
      </w:r>
      <w:r>
        <w:t xml:space="preserve"> 1 januari 2025</w:t>
      </w:r>
      <w:r w:rsidR="0085680A">
        <w:t xml:space="preserve">. Uiterlijk op 1 januari 2026 zal de goedkeuring zoals opgenomen in het hiervoor genoemde beleidsbesluit worden omgezet in wetgeving. </w:t>
      </w:r>
      <w:r>
        <w:t xml:space="preserve">Er zijn geen budgettaire consequenties verbonden aan deze maatregelen. </w:t>
      </w:r>
    </w:p>
    <w:p w:rsidR="00683E78" w:rsidRDefault="00572244" w14:paraId="7703D715" w14:textId="77777777">
      <w:pPr>
        <w:pStyle w:val="StandaardSlotzin"/>
      </w:pPr>
      <w:r>
        <w:t>Hoogachtend,</w:t>
      </w:r>
    </w:p>
    <w:p w:rsidR="00683E78" w:rsidRDefault="00683E78" w14:paraId="695F27A7"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683E78" w14:paraId="555C0D86" w14:textId="77777777">
        <w:tc>
          <w:tcPr>
            <w:tcW w:w="3592" w:type="dxa"/>
          </w:tcPr>
          <w:p w:rsidR="00683E78" w:rsidRDefault="00333B7B" w14:paraId="02812895" w14:textId="77777777">
            <w:r>
              <w:t>D</w:t>
            </w:r>
            <w:r w:rsidR="00572244">
              <w:t xml:space="preserve">e staatssecretaris van Financiën </w:t>
            </w:r>
            <w:r w:rsidR="00572244">
              <w:br/>
            </w:r>
            <w:r w:rsidR="00572244">
              <w:br/>
            </w:r>
            <w:r w:rsidR="00572244">
              <w:br/>
            </w:r>
            <w:r w:rsidR="00572244">
              <w:br/>
            </w:r>
            <w:r w:rsidR="00572244">
              <w:br/>
            </w:r>
            <w:r w:rsidR="00572244">
              <w:br/>
            </w:r>
            <w:r>
              <w:t xml:space="preserve">T. </w:t>
            </w:r>
            <w:r w:rsidR="00572244">
              <w:t>van Oostenbruggen</w:t>
            </w:r>
          </w:p>
        </w:tc>
        <w:tc>
          <w:tcPr>
            <w:tcW w:w="3892" w:type="dxa"/>
          </w:tcPr>
          <w:p w:rsidR="00683E78" w:rsidRDefault="00683E78" w14:paraId="2FFE99B9" w14:textId="77777777"/>
        </w:tc>
      </w:tr>
      <w:tr w:rsidR="00683E78" w14:paraId="4111787D" w14:textId="77777777">
        <w:tc>
          <w:tcPr>
            <w:tcW w:w="3592" w:type="dxa"/>
          </w:tcPr>
          <w:p w:rsidR="00683E78" w:rsidRDefault="00683E78" w14:paraId="477FAAD1" w14:textId="77777777"/>
        </w:tc>
        <w:tc>
          <w:tcPr>
            <w:tcW w:w="3892" w:type="dxa"/>
          </w:tcPr>
          <w:p w:rsidR="00683E78" w:rsidRDefault="00683E78" w14:paraId="07C8E54D" w14:textId="77777777"/>
        </w:tc>
      </w:tr>
    </w:tbl>
    <w:p w:rsidR="00683E78" w:rsidRDefault="00683E78" w14:paraId="5648321E" w14:textId="77777777">
      <w:pPr>
        <w:pStyle w:val="WitregelW1bodytekst"/>
      </w:pPr>
    </w:p>
    <w:p w:rsidR="00683E78" w:rsidRDefault="00683E78" w14:paraId="2AB79984" w14:textId="77777777">
      <w:pPr>
        <w:pStyle w:val="Verdana7"/>
      </w:pPr>
    </w:p>
    <w:sectPr w:rsidR="00683E78">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31AA7" w14:textId="77777777" w:rsidR="005F3E1A" w:rsidRDefault="005F3E1A">
      <w:pPr>
        <w:spacing w:line="240" w:lineRule="auto"/>
      </w:pPr>
      <w:r>
        <w:separator/>
      </w:r>
    </w:p>
  </w:endnote>
  <w:endnote w:type="continuationSeparator" w:id="0">
    <w:p w14:paraId="484BA70C" w14:textId="77777777" w:rsidR="005F3E1A" w:rsidRDefault="005F3E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83D8A" w14:textId="77777777" w:rsidR="005F3E1A" w:rsidRDefault="005F3E1A">
      <w:pPr>
        <w:spacing w:line="240" w:lineRule="auto"/>
      </w:pPr>
      <w:r>
        <w:separator/>
      </w:r>
    </w:p>
  </w:footnote>
  <w:footnote w:type="continuationSeparator" w:id="0">
    <w:p w14:paraId="42739289" w14:textId="77777777" w:rsidR="005F3E1A" w:rsidRDefault="005F3E1A">
      <w:pPr>
        <w:spacing w:line="240" w:lineRule="auto"/>
      </w:pPr>
      <w:r>
        <w:continuationSeparator/>
      </w:r>
    </w:p>
  </w:footnote>
  <w:footnote w:id="1">
    <w:p w14:paraId="30D8795F" w14:textId="77777777" w:rsidR="00F9572A" w:rsidRPr="00333B7B" w:rsidRDefault="00F9572A">
      <w:pPr>
        <w:pStyle w:val="Voetnoottekst"/>
        <w:rPr>
          <w:sz w:val="13"/>
          <w:szCs w:val="13"/>
        </w:rPr>
      </w:pPr>
      <w:r w:rsidRPr="00333B7B">
        <w:rPr>
          <w:rStyle w:val="Voetnootmarkering"/>
          <w:sz w:val="13"/>
          <w:szCs w:val="13"/>
        </w:rPr>
        <w:footnoteRef/>
      </w:r>
      <w:r w:rsidRPr="00333B7B">
        <w:rPr>
          <w:sz w:val="13"/>
          <w:szCs w:val="13"/>
        </w:rPr>
        <w:t xml:space="preserve"> Kamerstukken II 2023/24, 31066, nr. 1329.</w:t>
      </w:r>
    </w:p>
  </w:footnote>
  <w:footnote w:id="2">
    <w:p w14:paraId="7BB51038" w14:textId="77777777" w:rsidR="005239C8" w:rsidRPr="00552FAF" w:rsidRDefault="005239C8">
      <w:pPr>
        <w:pStyle w:val="Voetnoottekst"/>
        <w:rPr>
          <w:sz w:val="13"/>
          <w:szCs w:val="13"/>
        </w:rPr>
      </w:pPr>
      <w:r w:rsidRPr="00552FAF">
        <w:rPr>
          <w:rStyle w:val="Voetnootmarkering"/>
          <w:sz w:val="13"/>
          <w:szCs w:val="13"/>
        </w:rPr>
        <w:footnoteRef/>
      </w:r>
      <w:r w:rsidRPr="00552FAF">
        <w:rPr>
          <w:sz w:val="13"/>
          <w:szCs w:val="13"/>
        </w:rPr>
        <w:t xml:space="preserve"> Artikel 150m Pensioenwet en artikel 145l Wet verplichte beroepspensioenregeling</w:t>
      </w:r>
      <w:r w:rsidR="008559CD">
        <w:rPr>
          <w:sz w:val="13"/>
          <w:szCs w:val="13"/>
        </w:rPr>
        <w:t>.</w:t>
      </w:r>
    </w:p>
  </w:footnote>
  <w:footnote w:id="3">
    <w:p w14:paraId="6C3C24F5" w14:textId="77777777" w:rsidR="008559CD" w:rsidRDefault="008559CD">
      <w:pPr>
        <w:pStyle w:val="Voetnoottekst"/>
      </w:pPr>
      <w:r w:rsidRPr="008559CD">
        <w:rPr>
          <w:rStyle w:val="Voetnootmarkering"/>
          <w:sz w:val="13"/>
          <w:szCs w:val="13"/>
        </w:rPr>
        <w:footnoteRef/>
      </w:r>
      <w:r w:rsidRPr="008559CD">
        <w:rPr>
          <w:sz w:val="13"/>
          <w:szCs w:val="13"/>
        </w:rPr>
        <w:t xml:space="preserve"> Met de Wet toekomst pensioenen is het fiscale kader en overgangsrecht voor pensioenregelingen </w:t>
      </w:r>
      <w:r>
        <w:rPr>
          <w:sz w:val="13"/>
          <w:szCs w:val="13"/>
        </w:rPr>
        <w:t>in</w:t>
      </w:r>
      <w:r w:rsidRPr="008559CD">
        <w:rPr>
          <w:sz w:val="13"/>
          <w:szCs w:val="13"/>
        </w:rPr>
        <w:t xml:space="preserve"> de Wet op de loonbelasting 1964 aangepast.</w:t>
      </w:r>
    </w:p>
  </w:footnote>
  <w:footnote w:id="4">
    <w:p w14:paraId="5A62CB81" w14:textId="77777777" w:rsidR="005239C8" w:rsidRPr="00552FAF" w:rsidRDefault="005239C8">
      <w:pPr>
        <w:pStyle w:val="Voetnoottekst"/>
        <w:rPr>
          <w:sz w:val="13"/>
          <w:szCs w:val="13"/>
        </w:rPr>
      </w:pPr>
      <w:r w:rsidRPr="00552FAF">
        <w:rPr>
          <w:rStyle w:val="Voetnootmarkering"/>
          <w:sz w:val="13"/>
          <w:szCs w:val="13"/>
        </w:rPr>
        <w:footnoteRef/>
      </w:r>
      <w:r w:rsidRPr="00552FAF">
        <w:rPr>
          <w:sz w:val="13"/>
          <w:szCs w:val="13"/>
        </w:rPr>
        <w:t xml:space="preserve"> Artikel 15 Pensioenwet, artikel 31 Wet verplichte beroepspensioenregeling en artikel 15 Invoerings- en aanpassingswet Pensioenwet.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82BE" w14:textId="77777777" w:rsidR="00683E78" w:rsidRDefault="00572244">
    <w:r>
      <w:rPr>
        <w:noProof/>
      </w:rPr>
      <mc:AlternateContent>
        <mc:Choice Requires="wps">
          <w:drawing>
            <wp:anchor distT="0" distB="0" distL="0" distR="0" simplePos="0" relativeHeight="251652096" behindDoc="0" locked="1" layoutInCell="1" allowOverlap="1" wp14:anchorId="25D226E3" wp14:editId="0A2A9169">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C13C1EC" w14:textId="77777777" w:rsidR="00683E78" w:rsidRDefault="00572244">
                          <w:pPr>
                            <w:pStyle w:val="StandaardReferentiegegevensKop"/>
                          </w:pPr>
                          <w:r>
                            <w:t>Directie Directe Belastingen &amp; Toeslagen</w:t>
                          </w:r>
                        </w:p>
                        <w:p w14:paraId="3D034656" w14:textId="77777777" w:rsidR="00683E78" w:rsidRDefault="00683E78">
                          <w:pPr>
                            <w:pStyle w:val="WitregelW1"/>
                          </w:pPr>
                        </w:p>
                        <w:p w14:paraId="41AE35A5" w14:textId="77777777" w:rsidR="00683E78" w:rsidRDefault="00572244">
                          <w:pPr>
                            <w:pStyle w:val="StandaardReferentiegegevensKop"/>
                          </w:pPr>
                          <w:r>
                            <w:t>Ons kenmerk</w:t>
                          </w:r>
                        </w:p>
                        <w:p w14:paraId="534CE411" w14:textId="3E01F2AB" w:rsidR="004E4D88" w:rsidRDefault="007336E0">
                          <w:pPr>
                            <w:pStyle w:val="StandaardReferentiegegevens"/>
                          </w:pPr>
                          <w:fldSimple w:instr=" DOCPROPERTY  &quot;Kenmerk&quot;  \* MERGEFORMAT ">
                            <w:r w:rsidR="00086773">
                              <w:t>2024-0000565857</w:t>
                            </w:r>
                          </w:fldSimple>
                        </w:p>
                      </w:txbxContent>
                    </wps:txbx>
                    <wps:bodyPr vert="horz" wrap="square" lIns="0" tIns="0" rIns="0" bIns="0" anchor="t" anchorCtr="0"/>
                  </wps:wsp>
                </a:graphicData>
              </a:graphic>
            </wp:anchor>
          </w:drawing>
        </mc:Choice>
        <mc:Fallback>
          <w:pict>
            <v:shapetype w14:anchorId="25D226E3"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C13C1EC" w14:textId="77777777" w:rsidR="00683E78" w:rsidRDefault="00572244">
                    <w:pPr>
                      <w:pStyle w:val="StandaardReferentiegegevensKop"/>
                    </w:pPr>
                    <w:r>
                      <w:t>Directie Directe Belastingen &amp; Toeslagen</w:t>
                    </w:r>
                  </w:p>
                  <w:p w14:paraId="3D034656" w14:textId="77777777" w:rsidR="00683E78" w:rsidRDefault="00683E78">
                    <w:pPr>
                      <w:pStyle w:val="WitregelW1"/>
                    </w:pPr>
                  </w:p>
                  <w:p w14:paraId="41AE35A5" w14:textId="77777777" w:rsidR="00683E78" w:rsidRDefault="00572244">
                    <w:pPr>
                      <w:pStyle w:val="StandaardReferentiegegevensKop"/>
                    </w:pPr>
                    <w:r>
                      <w:t>Ons kenmerk</w:t>
                    </w:r>
                  </w:p>
                  <w:p w14:paraId="534CE411" w14:textId="3E01F2AB" w:rsidR="004E4D88" w:rsidRDefault="007336E0">
                    <w:pPr>
                      <w:pStyle w:val="StandaardReferentiegegevens"/>
                    </w:pPr>
                    <w:fldSimple w:instr=" DOCPROPERTY  &quot;Kenmerk&quot;  \* MERGEFORMAT ">
                      <w:r w:rsidR="00086773">
                        <w:t>2024-0000565857</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E190C70" wp14:editId="41FEED5E">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F93A799" w14:textId="77777777" w:rsidR="004E4D88" w:rsidRDefault="007336E0">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E190C70"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F93A799" w14:textId="77777777" w:rsidR="004E4D88" w:rsidRDefault="007336E0">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BE51054" wp14:editId="4DB056E8">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0D61D42" w14:textId="5B97A2EF" w:rsidR="004E4D88" w:rsidRDefault="007336E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BE51054"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0D61D42" w14:textId="5B97A2EF" w:rsidR="004E4D88" w:rsidRDefault="007336E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7D4" w14:textId="77777777" w:rsidR="00683E78" w:rsidRDefault="00572244">
    <w:pPr>
      <w:spacing w:after="7029" w:line="14" w:lineRule="exact"/>
    </w:pPr>
    <w:r>
      <w:rPr>
        <w:noProof/>
      </w:rPr>
      <mc:AlternateContent>
        <mc:Choice Requires="wps">
          <w:drawing>
            <wp:anchor distT="0" distB="0" distL="0" distR="0" simplePos="0" relativeHeight="251655168" behindDoc="0" locked="1" layoutInCell="1" allowOverlap="1" wp14:anchorId="0102EDCF" wp14:editId="6869C469">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BA76F49" w14:textId="77777777" w:rsidR="00683E78" w:rsidRDefault="00572244">
                          <w:pPr>
                            <w:spacing w:line="240" w:lineRule="auto"/>
                          </w:pPr>
                          <w:r>
                            <w:rPr>
                              <w:noProof/>
                            </w:rPr>
                            <w:drawing>
                              <wp:inline distT="0" distB="0" distL="0" distR="0" wp14:anchorId="68096740" wp14:editId="4BCAE4D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102EDCF"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BA76F49" w14:textId="77777777" w:rsidR="00683E78" w:rsidRDefault="00572244">
                    <w:pPr>
                      <w:spacing w:line="240" w:lineRule="auto"/>
                    </w:pPr>
                    <w:r>
                      <w:rPr>
                        <w:noProof/>
                      </w:rPr>
                      <w:drawing>
                        <wp:inline distT="0" distB="0" distL="0" distR="0" wp14:anchorId="68096740" wp14:editId="4BCAE4D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CA0E269" wp14:editId="031ABB87">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074806D" w14:textId="77777777" w:rsidR="00572244" w:rsidRDefault="00572244"/>
                      </w:txbxContent>
                    </wps:txbx>
                    <wps:bodyPr vert="horz" wrap="square" lIns="0" tIns="0" rIns="0" bIns="0" anchor="t" anchorCtr="0"/>
                  </wps:wsp>
                </a:graphicData>
              </a:graphic>
            </wp:anchor>
          </w:drawing>
        </mc:Choice>
        <mc:Fallback>
          <w:pict>
            <v:shape w14:anchorId="3CA0E269"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074806D" w14:textId="77777777" w:rsidR="00572244" w:rsidRDefault="00572244"/>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398D44E" wp14:editId="091578E7">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8E09F64" w14:textId="77777777" w:rsidR="00683E78" w:rsidRDefault="00572244">
                          <w:pPr>
                            <w:pStyle w:val="StandaardReferentiegegevensKop"/>
                          </w:pPr>
                          <w:r>
                            <w:t>Directie Directe Belastingen &amp; Toeslagen</w:t>
                          </w:r>
                        </w:p>
                        <w:p w14:paraId="0C4FA802" w14:textId="77777777" w:rsidR="00683E78" w:rsidRDefault="00683E78">
                          <w:pPr>
                            <w:pStyle w:val="WitregelW1"/>
                          </w:pPr>
                        </w:p>
                        <w:p w14:paraId="66ECFEAF" w14:textId="77777777" w:rsidR="00683E78" w:rsidRDefault="00572244">
                          <w:pPr>
                            <w:pStyle w:val="StandaardReferentiegegevens"/>
                          </w:pPr>
                          <w:r>
                            <w:t>Korte Voorhout 7</w:t>
                          </w:r>
                        </w:p>
                        <w:p w14:paraId="2CF374FD" w14:textId="77777777" w:rsidR="00683E78" w:rsidRDefault="00572244">
                          <w:pPr>
                            <w:pStyle w:val="StandaardReferentiegegevens"/>
                          </w:pPr>
                          <w:r>
                            <w:t>2511 CW  'S-GRAVENHAGE</w:t>
                          </w:r>
                        </w:p>
                        <w:p w14:paraId="12DBD997" w14:textId="77777777" w:rsidR="00683E78" w:rsidRDefault="00572244">
                          <w:pPr>
                            <w:pStyle w:val="StandaardReferentiegegevens"/>
                          </w:pPr>
                          <w:r>
                            <w:t>POSTBUS 20201</w:t>
                          </w:r>
                        </w:p>
                        <w:p w14:paraId="17373ADE" w14:textId="77777777" w:rsidR="00683E78" w:rsidRDefault="00572244">
                          <w:pPr>
                            <w:pStyle w:val="StandaardReferentiegegevens"/>
                          </w:pPr>
                          <w:r>
                            <w:t>2500 EE  'S-GRAVENHAGE</w:t>
                          </w:r>
                        </w:p>
                        <w:p w14:paraId="3CDA154A" w14:textId="77777777" w:rsidR="00683E78" w:rsidRDefault="00572244">
                          <w:pPr>
                            <w:pStyle w:val="StandaardReferentiegegevens"/>
                          </w:pPr>
                          <w:proofErr w:type="gramStart"/>
                          <w:r>
                            <w:t>www.rijksoverheid.nl/fin</w:t>
                          </w:r>
                          <w:proofErr w:type="gramEnd"/>
                        </w:p>
                        <w:p w14:paraId="156F8C08" w14:textId="77777777" w:rsidR="00683E78" w:rsidRDefault="00683E78">
                          <w:pPr>
                            <w:pStyle w:val="WitregelW2"/>
                          </w:pPr>
                        </w:p>
                        <w:p w14:paraId="735BC1B4" w14:textId="77777777" w:rsidR="00683E78" w:rsidRDefault="00572244">
                          <w:pPr>
                            <w:pStyle w:val="StandaardReferentiegegevensKop"/>
                          </w:pPr>
                          <w:r>
                            <w:t>Ons kenmerk</w:t>
                          </w:r>
                        </w:p>
                        <w:p w14:paraId="22231C71" w14:textId="7219A403" w:rsidR="004E4D88" w:rsidRDefault="007336E0">
                          <w:pPr>
                            <w:pStyle w:val="StandaardReferentiegegevens"/>
                          </w:pPr>
                          <w:fldSimple w:instr=" DOCPROPERTY  &quot;Kenmerk&quot;  \* MERGEFORMAT ">
                            <w:r w:rsidR="00086773">
                              <w:t>2024-0000565857</w:t>
                            </w:r>
                          </w:fldSimple>
                        </w:p>
                        <w:p w14:paraId="3806CCE1" w14:textId="77777777" w:rsidR="00683E78" w:rsidRDefault="00683E78">
                          <w:pPr>
                            <w:pStyle w:val="WitregelW1"/>
                          </w:pPr>
                        </w:p>
                        <w:p w14:paraId="77EEA58F" w14:textId="77777777" w:rsidR="00683E78" w:rsidRDefault="00572244">
                          <w:pPr>
                            <w:pStyle w:val="StandaardReferentiegegevensKop"/>
                          </w:pPr>
                          <w:r>
                            <w:t>Uw brief (kenmerk)</w:t>
                          </w:r>
                        </w:p>
                        <w:p w14:paraId="19524647" w14:textId="49BF0DFB" w:rsidR="004E4D88" w:rsidRDefault="007336E0">
                          <w:pPr>
                            <w:pStyle w:val="StandaardReferentiegegevens"/>
                          </w:pPr>
                          <w:r>
                            <w:fldChar w:fldCharType="begin"/>
                          </w:r>
                          <w:r>
                            <w:instrText xml:space="preserve"> DOCPROPERTY  "UwKenmerk"  \* MERGEFORMAT </w:instrText>
                          </w:r>
                          <w:r>
                            <w:fldChar w:fldCharType="end"/>
                          </w:r>
                        </w:p>
                        <w:p w14:paraId="045ED7DB" w14:textId="77777777" w:rsidR="00683E78" w:rsidRDefault="00683E78">
                          <w:pPr>
                            <w:pStyle w:val="WitregelW1"/>
                          </w:pPr>
                        </w:p>
                        <w:p w14:paraId="458B99AA" w14:textId="77777777" w:rsidR="00683E78" w:rsidRDefault="00572244">
                          <w:pPr>
                            <w:pStyle w:val="StandaardReferentiegegevensKop"/>
                          </w:pPr>
                          <w:r>
                            <w:t>Bijlage</w:t>
                          </w:r>
                        </w:p>
                        <w:p w14:paraId="1792F5F0" w14:textId="77777777" w:rsidR="00683E78" w:rsidRDefault="00572244">
                          <w:pPr>
                            <w:pStyle w:val="StandaardReferentiegegevens"/>
                          </w:pPr>
                          <w:r>
                            <w:t>Beslisnota fiscale knelpunten Wet toekomst pensioenen</w:t>
                          </w:r>
                        </w:p>
                      </w:txbxContent>
                    </wps:txbx>
                    <wps:bodyPr vert="horz" wrap="square" lIns="0" tIns="0" rIns="0" bIns="0" anchor="t" anchorCtr="0"/>
                  </wps:wsp>
                </a:graphicData>
              </a:graphic>
            </wp:anchor>
          </w:drawing>
        </mc:Choice>
        <mc:Fallback>
          <w:pict>
            <v:shapetype w14:anchorId="3398D44E" id="_x0000_t202" coordsize="21600,21600" o:spt="202" path="m,l,21600r21600,l21600,xe">
              <v:stroke joinstyle="miter"/>
              <v:path gradientshapeok="t" o:connecttype="rect"/>
            </v:shapetype>
            <v:shape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8E09F64" w14:textId="77777777" w:rsidR="00683E78" w:rsidRDefault="00572244">
                    <w:pPr>
                      <w:pStyle w:val="StandaardReferentiegegevensKop"/>
                    </w:pPr>
                    <w:r>
                      <w:t>Directie Directe Belastingen &amp; Toeslagen</w:t>
                    </w:r>
                  </w:p>
                  <w:p w14:paraId="0C4FA802" w14:textId="77777777" w:rsidR="00683E78" w:rsidRDefault="00683E78">
                    <w:pPr>
                      <w:pStyle w:val="WitregelW1"/>
                    </w:pPr>
                  </w:p>
                  <w:p w14:paraId="66ECFEAF" w14:textId="77777777" w:rsidR="00683E78" w:rsidRDefault="00572244">
                    <w:pPr>
                      <w:pStyle w:val="StandaardReferentiegegevens"/>
                    </w:pPr>
                    <w:r>
                      <w:t>Korte Voorhout 7</w:t>
                    </w:r>
                  </w:p>
                  <w:p w14:paraId="2CF374FD" w14:textId="77777777" w:rsidR="00683E78" w:rsidRDefault="00572244">
                    <w:pPr>
                      <w:pStyle w:val="StandaardReferentiegegevens"/>
                    </w:pPr>
                    <w:r>
                      <w:t>2511 CW  'S-GRAVENHAGE</w:t>
                    </w:r>
                  </w:p>
                  <w:p w14:paraId="12DBD997" w14:textId="77777777" w:rsidR="00683E78" w:rsidRDefault="00572244">
                    <w:pPr>
                      <w:pStyle w:val="StandaardReferentiegegevens"/>
                    </w:pPr>
                    <w:r>
                      <w:t>POSTBUS 20201</w:t>
                    </w:r>
                  </w:p>
                  <w:p w14:paraId="17373ADE" w14:textId="77777777" w:rsidR="00683E78" w:rsidRDefault="00572244">
                    <w:pPr>
                      <w:pStyle w:val="StandaardReferentiegegevens"/>
                    </w:pPr>
                    <w:r>
                      <w:t>2500 EE  'S-GRAVENHAGE</w:t>
                    </w:r>
                  </w:p>
                  <w:p w14:paraId="3CDA154A" w14:textId="77777777" w:rsidR="00683E78" w:rsidRDefault="00572244">
                    <w:pPr>
                      <w:pStyle w:val="StandaardReferentiegegevens"/>
                    </w:pPr>
                    <w:proofErr w:type="gramStart"/>
                    <w:r>
                      <w:t>www.rijksoverheid.nl/fin</w:t>
                    </w:r>
                    <w:proofErr w:type="gramEnd"/>
                  </w:p>
                  <w:p w14:paraId="156F8C08" w14:textId="77777777" w:rsidR="00683E78" w:rsidRDefault="00683E78">
                    <w:pPr>
                      <w:pStyle w:val="WitregelW2"/>
                    </w:pPr>
                  </w:p>
                  <w:p w14:paraId="735BC1B4" w14:textId="77777777" w:rsidR="00683E78" w:rsidRDefault="00572244">
                    <w:pPr>
                      <w:pStyle w:val="StandaardReferentiegegevensKop"/>
                    </w:pPr>
                    <w:r>
                      <w:t>Ons kenmerk</w:t>
                    </w:r>
                  </w:p>
                  <w:p w14:paraId="22231C71" w14:textId="7219A403" w:rsidR="004E4D88" w:rsidRDefault="007336E0">
                    <w:pPr>
                      <w:pStyle w:val="StandaardReferentiegegevens"/>
                    </w:pPr>
                    <w:fldSimple w:instr=" DOCPROPERTY  &quot;Kenmerk&quot;  \* MERGEFORMAT ">
                      <w:r w:rsidR="00086773">
                        <w:t>2024-0000565857</w:t>
                      </w:r>
                    </w:fldSimple>
                  </w:p>
                  <w:p w14:paraId="3806CCE1" w14:textId="77777777" w:rsidR="00683E78" w:rsidRDefault="00683E78">
                    <w:pPr>
                      <w:pStyle w:val="WitregelW1"/>
                    </w:pPr>
                  </w:p>
                  <w:p w14:paraId="77EEA58F" w14:textId="77777777" w:rsidR="00683E78" w:rsidRDefault="00572244">
                    <w:pPr>
                      <w:pStyle w:val="StandaardReferentiegegevensKop"/>
                    </w:pPr>
                    <w:r>
                      <w:t>Uw brief (kenmerk)</w:t>
                    </w:r>
                  </w:p>
                  <w:p w14:paraId="19524647" w14:textId="49BF0DFB" w:rsidR="004E4D88" w:rsidRDefault="007336E0">
                    <w:pPr>
                      <w:pStyle w:val="StandaardReferentiegegevens"/>
                    </w:pPr>
                    <w:r>
                      <w:fldChar w:fldCharType="begin"/>
                    </w:r>
                    <w:r>
                      <w:instrText xml:space="preserve"> DOCPROPERTY  "UwKenmerk"  \* MERGEFORMAT </w:instrText>
                    </w:r>
                    <w:r>
                      <w:fldChar w:fldCharType="end"/>
                    </w:r>
                  </w:p>
                  <w:p w14:paraId="045ED7DB" w14:textId="77777777" w:rsidR="00683E78" w:rsidRDefault="00683E78">
                    <w:pPr>
                      <w:pStyle w:val="WitregelW1"/>
                    </w:pPr>
                  </w:p>
                  <w:p w14:paraId="458B99AA" w14:textId="77777777" w:rsidR="00683E78" w:rsidRDefault="00572244">
                    <w:pPr>
                      <w:pStyle w:val="StandaardReferentiegegevensKop"/>
                    </w:pPr>
                    <w:r>
                      <w:t>Bijlage</w:t>
                    </w:r>
                  </w:p>
                  <w:p w14:paraId="1792F5F0" w14:textId="77777777" w:rsidR="00683E78" w:rsidRDefault="00572244">
                    <w:pPr>
                      <w:pStyle w:val="StandaardReferentiegegevens"/>
                    </w:pPr>
                    <w:r>
                      <w:t>Beslisnota fiscale knelpunten Wet toekomst pensioenen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7CBE1C1" wp14:editId="03A0668F">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202C28B" w14:textId="77777777" w:rsidR="00683E78" w:rsidRDefault="00572244">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17CBE1C1"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202C28B" w14:textId="77777777" w:rsidR="00683E78" w:rsidRDefault="00572244">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B8B2D54" wp14:editId="6556BDE3">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4E526229" w14:textId="22AF7072" w:rsidR="004E4D88" w:rsidRDefault="007336E0">
                          <w:pPr>
                            <w:pStyle w:val="Rubricering"/>
                          </w:pPr>
                          <w:r>
                            <w:fldChar w:fldCharType="begin"/>
                          </w:r>
                          <w:r>
                            <w:instrText xml:space="preserve"> DOCPROPERTY  "Rubricering"  \* MERGEFORMAT </w:instrText>
                          </w:r>
                          <w:r>
                            <w:fldChar w:fldCharType="end"/>
                          </w:r>
                        </w:p>
                        <w:p w14:paraId="498CACE4" w14:textId="77777777" w:rsidR="00683E78" w:rsidRDefault="00572244">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3B8B2D54"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4E526229" w14:textId="22AF7072" w:rsidR="004E4D88" w:rsidRDefault="007336E0">
                    <w:pPr>
                      <w:pStyle w:val="Rubricering"/>
                    </w:pPr>
                    <w:r>
                      <w:fldChar w:fldCharType="begin"/>
                    </w:r>
                    <w:r>
                      <w:instrText xml:space="preserve"> DOCPROPERTY  "Rubricering"  \* MERGEFORMAT </w:instrText>
                    </w:r>
                    <w:r>
                      <w:fldChar w:fldCharType="end"/>
                    </w:r>
                  </w:p>
                  <w:p w14:paraId="498CACE4" w14:textId="77777777" w:rsidR="00683E78" w:rsidRDefault="00572244">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BBFAD84" wp14:editId="13708B0E">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23C8912" w14:textId="77777777" w:rsidR="004E4D88" w:rsidRDefault="007336E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BBFAD84"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23C8912" w14:textId="77777777" w:rsidR="004E4D88" w:rsidRDefault="007336E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F93535A" wp14:editId="31F19789">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83E78" w14:paraId="15209C28" w14:textId="77777777">
                            <w:trPr>
                              <w:trHeight w:val="200"/>
                            </w:trPr>
                            <w:tc>
                              <w:tcPr>
                                <w:tcW w:w="1140" w:type="dxa"/>
                              </w:tcPr>
                              <w:p w14:paraId="4A12F271" w14:textId="77777777" w:rsidR="00683E78" w:rsidRDefault="00683E78"/>
                            </w:tc>
                            <w:tc>
                              <w:tcPr>
                                <w:tcW w:w="5400" w:type="dxa"/>
                              </w:tcPr>
                              <w:p w14:paraId="53EBB8E2" w14:textId="77777777" w:rsidR="00683E78" w:rsidRDefault="00683E78"/>
                            </w:tc>
                          </w:tr>
                          <w:tr w:rsidR="00683E78" w14:paraId="397E645C" w14:textId="77777777">
                            <w:trPr>
                              <w:trHeight w:val="240"/>
                            </w:trPr>
                            <w:tc>
                              <w:tcPr>
                                <w:tcW w:w="1140" w:type="dxa"/>
                              </w:tcPr>
                              <w:p w14:paraId="1F136D25" w14:textId="77777777" w:rsidR="00683E78" w:rsidRDefault="00572244">
                                <w:r>
                                  <w:t>Datum</w:t>
                                </w:r>
                              </w:p>
                            </w:tc>
                            <w:tc>
                              <w:tcPr>
                                <w:tcW w:w="5400" w:type="dxa"/>
                              </w:tcPr>
                              <w:p w14:paraId="474EEA46" w14:textId="4C033AFB" w:rsidR="00683E78" w:rsidRDefault="007336E0">
                                <w:r>
                                  <w:t>1</w:t>
                                </w:r>
                                <w:r w:rsidR="00086773">
                                  <w:t>8</w:t>
                                </w:r>
                                <w:r>
                                  <w:t xml:space="preserve"> december 2024</w:t>
                                </w:r>
                              </w:p>
                            </w:tc>
                          </w:tr>
                          <w:tr w:rsidR="00683E78" w14:paraId="63603FF5" w14:textId="77777777">
                            <w:trPr>
                              <w:trHeight w:val="240"/>
                            </w:trPr>
                            <w:tc>
                              <w:tcPr>
                                <w:tcW w:w="1140" w:type="dxa"/>
                              </w:tcPr>
                              <w:p w14:paraId="40DCEA99" w14:textId="77777777" w:rsidR="00683E78" w:rsidRDefault="00572244">
                                <w:r>
                                  <w:t>Betreft</w:t>
                                </w:r>
                              </w:p>
                            </w:tc>
                            <w:tc>
                              <w:tcPr>
                                <w:tcW w:w="5400" w:type="dxa"/>
                              </w:tcPr>
                              <w:p w14:paraId="7620CCDD" w14:textId="3541906B" w:rsidR="004E4D88" w:rsidRDefault="007336E0">
                                <w:fldSimple w:instr=" DOCPROPERTY  &quot;Onderwerp&quot;  \* MERGEFORMAT ">
                                  <w:r w:rsidR="00086773">
                                    <w:t>Fiscale knelpunten Wet toekomst pensioenen</w:t>
                                  </w:r>
                                </w:fldSimple>
                              </w:p>
                            </w:tc>
                          </w:tr>
                          <w:tr w:rsidR="00683E78" w14:paraId="7689E6FE" w14:textId="77777777">
                            <w:trPr>
                              <w:trHeight w:val="200"/>
                            </w:trPr>
                            <w:tc>
                              <w:tcPr>
                                <w:tcW w:w="1140" w:type="dxa"/>
                              </w:tcPr>
                              <w:p w14:paraId="7E8275A3" w14:textId="77777777" w:rsidR="00683E78" w:rsidRDefault="00683E78"/>
                            </w:tc>
                            <w:tc>
                              <w:tcPr>
                                <w:tcW w:w="4738" w:type="dxa"/>
                              </w:tcPr>
                              <w:p w14:paraId="6DE7F409" w14:textId="77777777" w:rsidR="00683E78" w:rsidRDefault="00683E78"/>
                            </w:tc>
                          </w:tr>
                        </w:tbl>
                        <w:p w14:paraId="236F8381" w14:textId="77777777" w:rsidR="00572244" w:rsidRDefault="00572244"/>
                      </w:txbxContent>
                    </wps:txbx>
                    <wps:bodyPr vert="horz" wrap="square" lIns="0" tIns="0" rIns="0" bIns="0" anchor="t" anchorCtr="0"/>
                  </wps:wsp>
                </a:graphicData>
              </a:graphic>
            </wp:anchor>
          </w:drawing>
        </mc:Choice>
        <mc:Fallback>
          <w:pict>
            <v:shape w14:anchorId="5F93535A"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683E78" w14:paraId="15209C28" w14:textId="77777777">
                      <w:trPr>
                        <w:trHeight w:val="200"/>
                      </w:trPr>
                      <w:tc>
                        <w:tcPr>
                          <w:tcW w:w="1140" w:type="dxa"/>
                        </w:tcPr>
                        <w:p w14:paraId="4A12F271" w14:textId="77777777" w:rsidR="00683E78" w:rsidRDefault="00683E78"/>
                      </w:tc>
                      <w:tc>
                        <w:tcPr>
                          <w:tcW w:w="5400" w:type="dxa"/>
                        </w:tcPr>
                        <w:p w14:paraId="53EBB8E2" w14:textId="77777777" w:rsidR="00683E78" w:rsidRDefault="00683E78"/>
                      </w:tc>
                    </w:tr>
                    <w:tr w:rsidR="00683E78" w14:paraId="397E645C" w14:textId="77777777">
                      <w:trPr>
                        <w:trHeight w:val="240"/>
                      </w:trPr>
                      <w:tc>
                        <w:tcPr>
                          <w:tcW w:w="1140" w:type="dxa"/>
                        </w:tcPr>
                        <w:p w14:paraId="1F136D25" w14:textId="77777777" w:rsidR="00683E78" w:rsidRDefault="00572244">
                          <w:r>
                            <w:t>Datum</w:t>
                          </w:r>
                        </w:p>
                      </w:tc>
                      <w:tc>
                        <w:tcPr>
                          <w:tcW w:w="5400" w:type="dxa"/>
                        </w:tcPr>
                        <w:p w14:paraId="474EEA46" w14:textId="4C033AFB" w:rsidR="00683E78" w:rsidRDefault="007336E0">
                          <w:r>
                            <w:t>1</w:t>
                          </w:r>
                          <w:r w:rsidR="00086773">
                            <w:t>8</w:t>
                          </w:r>
                          <w:r>
                            <w:t xml:space="preserve"> december 2024</w:t>
                          </w:r>
                        </w:p>
                      </w:tc>
                    </w:tr>
                    <w:tr w:rsidR="00683E78" w14:paraId="63603FF5" w14:textId="77777777">
                      <w:trPr>
                        <w:trHeight w:val="240"/>
                      </w:trPr>
                      <w:tc>
                        <w:tcPr>
                          <w:tcW w:w="1140" w:type="dxa"/>
                        </w:tcPr>
                        <w:p w14:paraId="40DCEA99" w14:textId="77777777" w:rsidR="00683E78" w:rsidRDefault="00572244">
                          <w:r>
                            <w:t>Betreft</w:t>
                          </w:r>
                        </w:p>
                      </w:tc>
                      <w:tc>
                        <w:tcPr>
                          <w:tcW w:w="5400" w:type="dxa"/>
                        </w:tcPr>
                        <w:p w14:paraId="7620CCDD" w14:textId="3541906B" w:rsidR="004E4D88" w:rsidRDefault="007336E0">
                          <w:fldSimple w:instr=" DOCPROPERTY  &quot;Onderwerp&quot;  \* MERGEFORMAT ">
                            <w:r w:rsidR="00086773">
                              <w:t>Fiscale knelpunten Wet toekomst pensioenen</w:t>
                            </w:r>
                          </w:fldSimple>
                        </w:p>
                      </w:tc>
                    </w:tr>
                    <w:tr w:rsidR="00683E78" w14:paraId="7689E6FE" w14:textId="77777777">
                      <w:trPr>
                        <w:trHeight w:val="200"/>
                      </w:trPr>
                      <w:tc>
                        <w:tcPr>
                          <w:tcW w:w="1140" w:type="dxa"/>
                        </w:tcPr>
                        <w:p w14:paraId="7E8275A3" w14:textId="77777777" w:rsidR="00683E78" w:rsidRDefault="00683E78"/>
                      </w:tc>
                      <w:tc>
                        <w:tcPr>
                          <w:tcW w:w="4738" w:type="dxa"/>
                        </w:tcPr>
                        <w:p w14:paraId="6DE7F409" w14:textId="77777777" w:rsidR="00683E78" w:rsidRDefault="00683E78"/>
                      </w:tc>
                    </w:tr>
                  </w:tbl>
                  <w:p w14:paraId="236F8381" w14:textId="77777777" w:rsidR="00572244" w:rsidRDefault="00572244"/>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C4F3591" wp14:editId="25C6CA81">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C7C03E6" w14:textId="661620A0" w:rsidR="004E4D88" w:rsidRDefault="007336E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C4F3591"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C7C03E6" w14:textId="661620A0" w:rsidR="004E4D88" w:rsidRDefault="007336E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6536DA3" wp14:editId="59A1D796">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49539AA" w14:textId="77777777" w:rsidR="00572244" w:rsidRDefault="00572244"/>
                      </w:txbxContent>
                    </wps:txbx>
                    <wps:bodyPr vert="horz" wrap="square" lIns="0" tIns="0" rIns="0" bIns="0" anchor="t" anchorCtr="0"/>
                  </wps:wsp>
                </a:graphicData>
              </a:graphic>
            </wp:anchor>
          </w:drawing>
        </mc:Choice>
        <mc:Fallback>
          <w:pict>
            <v:shape w14:anchorId="56536DA3"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49539AA" w14:textId="77777777" w:rsidR="00572244" w:rsidRDefault="0057224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D9718A"/>
    <w:multiLevelType w:val="multilevel"/>
    <w:tmpl w:val="7C5C1F5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FCA805A"/>
    <w:multiLevelType w:val="multilevel"/>
    <w:tmpl w:val="DDCB889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A25BEC60"/>
    <w:multiLevelType w:val="multilevel"/>
    <w:tmpl w:val="BC2FE550"/>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5F9B4B1"/>
    <w:multiLevelType w:val="multilevel"/>
    <w:tmpl w:val="9AD7486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6BA875D"/>
    <w:multiLevelType w:val="multilevel"/>
    <w:tmpl w:val="C72B554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15BF6915"/>
    <w:multiLevelType w:val="multilevel"/>
    <w:tmpl w:val="BADE10B2"/>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9350658">
    <w:abstractNumId w:val="0"/>
  </w:num>
  <w:num w:numId="2" w16cid:durableId="735670728">
    <w:abstractNumId w:val="2"/>
  </w:num>
  <w:num w:numId="3" w16cid:durableId="951858127">
    <w:abstractNumId w:val="1"/>
  </w:num>
  <w:num w:numId="4" w16cid:durableId="2028292377">
    <w:abstractNumId w:val="4"/>
  </w:num>
  <w:num w:numId="5" w16cid:durableId="678704008">
    <w:abstractNumId w:val="5"/>
  </w:num>
  <w:num w:numId="6" w16cid:durableId="127746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E78"/>
    <w:rsid w:val="00086773"/>
    <w:rsid w:val="00092FCE"/>
    <w:rsid w:val="000A68F5"/>
    <w:rsid w:val="000C3763"/>
    <w:rsid w:val="000E7E71"/>
    <w:rsid w:val="0014238D"/>
    <w:rsid w:val="001C5FEA"/>
    <w:rsid w:val="00212FC6"/>
    <w:rsid w:val="00220A43"/>
    <w:rsid w:val="00297B64"/>
    <w:rsid w:val="002B7581"/>
    <w:rsid w:val="002C7181"/>
    <w:rsid w:val="002E6638"/>
    <w:rsid w:val="003046FB"/>
    <w:rsid w:val="00333B7B"/>
    <w:rsid w:val="003C4ED0"/>
    <w:rsid w:val="003D3D8D"/>
    <w:rsid w:val="003D6093"/>
    <w:rsid w:val="0048701C"/>
    <w:rsid w:val="004937D5"/>
    <w:rsid w:val="004B0915"/>
    <w:rsid w:val="004C0E55"/>
    <w:rsid w:val="004E49B4"/>
    <w:rsid w:val="004E4D88"/>
    <w:rsid w:val="005239C8"/>
    <w:rsid w:val="00552FAF"/>
    <w:rsid w:val="00572244"/>
    <w:rsid w:val="00576F5F"/>
    <w:rsid w:val="005F3E1A"/>
    <w:rsid w:val="0062341F"/>
    <w:rsid w:val="00637D1E"/>
    <w:rsid w:val="00683E78"/>
    <w:rsid w:val="006E4F9E"/>
    <w:rsid w:val="007336E0"/>
    <w:rsid w:val="00743D5D"/>
    <w:rsid w:val="00765686"/>
    <w:rsid w:val="008559CD"/>
    <w:rsid w:val="0085680A"/>
    <w:rsid w:val="0089292B"/>
    <w:rsid w:val="008A754C"/>
    <w:rsid w:val="008D16F0"/>
    <w:rsid w:val="009150A1"/>
    <w:rsid w:val="00972580"/>
    <w:rsid w:val="00A11D25"/>
    <w:rsid w:val="00A30C75"/>
    <w:rsid w:val="00A94CEB"/>
    <w:rsid w:val="00B628BF"/>
    <w:rsid w:val="00B656A3"/>
    <w:rsid w:val="00B65B35"/>
    <w:rsid w:val="00BB217D"/>
    <w:rsid w:val="00C65A7D"/>
    <w:rsid w:val="00C74B2A"/>
    <w:rsid w:val="00CC0D8E"/>
    <w:rsid w:val="00CC311D"/>
    <w:rsid w:val="00DB5415"/>
    <w:rsid w:val="00DE572C"/>
    <w:rsid w:val="00F32C6B"/>
    <w:rsid w:val="00F9572A"/>
    <w:rsid w:val="00FA2D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FBB24"/>
  <w15:docId w15:val="{03E1A778-4FDE-471C-B989-63D12848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74B2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74B2A"/>
    <w:rPr>
      <w:rFonts w:ascii="Verdana" w:hAnsi="Verdana"/>
      <w:color w:val="000000"/>
      <w:sz w:val="18"/>
      <w:szCs w:val="18"/>
    </w:rPr>
  </w:style>
  <w:style w:type="paragraph" w:styleId="Voettekst">
    <w:name w:val="footer"/>
    <w:basedOn w:val="Standaard"/>
    <w:link w:val="VoettekstChar"/>
    <w:uiPriority w:val="99"/>
    <w:unhideWhenUsed/>
    <w:rsid w:val="00C74B2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74B2A"/>
    <w:rPr>
      <w:rFonts w:ascii="Verdana" w:hAnsi="Verdana"/>
      <w:color w:val="000000"/>
      <w:sz w:val="18"/>
      <w:szCs w:val="18"/>
    </w:rPr>
  </w:style>
  <w:style w:type="character" w:styleId="Verwijzingopmerking">
    <w:name w:val="annotation reference"/>
    <w:basedOn w:val="Standaardalinea-lettertype"/>
    <w:uiPriority w:val="99"/>
    <w:semiHidden/>
    <w:unhideWhenUsed/>
    <w:rsid w:val="00BB217D"/>
    <w:rPr>
      <w:sz w:val="16"/>
      <w:szCs w:val="16"/>
    </w:rPr>
  </w:style>
  <w:style w:type="paragraph" w:styleId="Tekstopmerking">
    <w:name w:val="annotation text"/>
    <w:basedOn w:val="Standaard"/>
    <w:link w:val="TekstopmerkingChar"/>
    <w:uiPriority w:val="99"/>
    <w:unhideWhenUsed/>
    <w:rsid w:val="00BB217D"/>
    <w:pPr>
      <w:spacing w:line="240" w:lineRule="auto"/>
    </w:pPr>
    <w:rPr>
      <w:sz w:val="20"/>
      <w:szCs w:val="20"/>
    </w:rPr>
  </w:style>
  <w:style w:type="character" w:customStyle="1" w:styleId="TekstopmerkingChar">
    <w:name w:val="Tekst opmerking Char"/>
    <w:basedOn w:val="Standaardalinea-lettertype"/>
    <w:link w:val="Tekstopmerking"/>
    <w:uiPriority w:val="99"/>
    <w:rsid w:val="00BB217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B217D"/>
    <w:rPr>
      <w:b/>
      <w:bCs/>
    </w:rPr>
  </w:style>
  <w:style w:type="character" w:customStyle="1" w:styleId="OnderwerpvanopmerkingChar">
    <w:name w:val="Onderwerp van opmerking Char"/>
    <w:basedOn w:val="TekstopmerkingChar"/>
    <w:link w:val="Onderwerpvanopmerking"/>
    <w:uiPriority w:val="99"/>
    <w:semiHidden/>
    <w:rsid w:val="00BB217D"/>
    <w:rPr>
      <w:rFonts w:ascii="Verdana" w:hAnsi="Verdana"/>
      <w:b/>
      <w:bCs/>
      <w:color w:val="000000"/>
    </w:rPr>
  </w:style>
  <w:style w:type="paragraph" w:styleId="Revisie">
    <w:name w:val="Revision"/>
    <w:hidden/>
    <w:uiPriority w:val="99"/>
    <w:semiHidden/>
    <w:rsid w:val="00F9572A"/>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F9572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9572A"/>
    <w:rPr>
      <w:rFonts w:ascii="Verdana" w:hAnsi="Verdana"/>
      <w:color w:val="000000"/>
    </w:rPr>
  </w:style>
  <w:style w:type="character" w:styleId="Voetnootmarkering">
    <w:name w:val="footnote reference"/>
    <w:basedOn w:val="Standaardalinea-lettertype"/>
    <w:uiPriority w:val="99"/>
    <w:semiHidden/>
    <w:unhideWhenUsed/>
    <w:rsid w:val="00F957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712</ap:Words>
  <ap:Characters>3921</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Brief aan Eerste of Tweede Kamer - Fiscale knelpunten Wet toekomst pensioenen</vt:lpstr>
    </vt:vector>
  </ap:TitlesOfParts>
  <ap:LinksUpToDate>false</ap:LinksUpToDate>
  <ap:CharactersWithSpaces>4624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2024-12-18T09:29:00.0000000Z</dcterms:created>
  <dcterms:modified xsi:type="dcterms:W3CDTF">2024-12-18T09:29:00.0000000Z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Fiscale knelpunten Wet toekomst pensioenen</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3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2024-0000565857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Fiscale knelpunten Wet toekomst pensioenen</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2024-12-03T10:01:01Z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549f23a3-8873-4f66-be8c-9727f56e6958</vt:lpwstr>
  </property>
  <property fmtid="{D5CDD505-2E9C-101B-9397-08002B2CF9AE}" pid="37" name="MSIP_Label_b2aa6e22-2c82-48c6-bf24-1790f4b9c128_ContentBits">
    <vt:lpwstr>0</vt:lpwstr>
  </property>
</Properties>
</file>