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Pr="00810B3D" w:rsidR="00810B3D" w:rsidTr="009460E2" w14:paraId="00209E05" w14:textId="77777777">
        <w:tc>
          <w:tcPr>
            <w:tcW w:w="2622" w:type="dxa"/>
          </w:tcPr>
          <w:p w:rsidRPr="00323B03" w:rsidR="00323B03" w:rsidP="00323B03" w:rsidRDefault="00810B3D" w14:paraId="29CAE8E0" w14:textId="7FBFE5F4">
            <w:pPr>
              <w:tabs>
                <w:tab w:val="left" w:pos="284"/>
              </w:tabs>
              <w:rPr>
                <w:b/>
                <w:color w:val="000000" w:themeColor="text1"/>
                <w:szCs w:val="24"/>
              </w:rPr>
            </w:pPr>
            <w:r w:rsidRPr="00810B3D">
              <w:rPr>
                <w:b/>
                <w:color w:val="000000" w:themeColor="text1"/>
                <w:szCs w:val="24"/>
              </w:rPr>
              <w:fldChar w:fldCharType="begin"/>
            </w:r>
            <w:r w:rsidRPr="00810B3D">
              <w:rPr>
                <w:b/>
                <w:color w:val="000000" w:themeColor="text1"/>
                <w:szCs w:val="24"/>
              </w:rPr>
              <w:instrText xml:space="preserve"> =  \* MERGEFORMAT </w:instrText>
            </w:r>
            <w:r w:rsidRPr="00810B3D">
              <w:rPr>
                <w:b/>
                <w:color w:val="000000" w:themeColor="text1"/>
                <w:szCs w:val="24"/>
              </w:rPr>
              <w:fldChar w:fldCharType="separate"/>
            </w:r>
            <w:r w:rsidRPr="00323B03" w:rsidR="00323B03">
              <w:rPr>
                <w:b/>
                <w:color w:val="000000" w:themeColor="text1"/>
                <w:szCs w:val="24"/>
              </w:rPr>
              <w:t>36</w:t>
            </w:r>
            <w:r w:rsidR="00323B03">
              <w:rPr>
                <w:b/>
                <w:color w:val="000000" w:themeColor="text1"/>
                <w:szCs w:val="24"/>
              </w:rPr>
              <w:t xml:space="preserve"> </w:t>
            </w:r>
            <w:r w:rsidRPr="00323B03" w:rsidR="00323B03">
              <w:rPr>
                <w:b/>
                <w:color w:val="000000" w:themeColor="text1"/>
                <w:szCs w:val="24"/>
              </w:rPr>
              <w:t>672</w:t>
            </w:r>
          </w:p>
          <w:p w:rsidRPr="00810B3D" w:rsidR="00810B3D" w:rsidP="0070413A" w:rsidRDefault="00810B3D" w14:paraId="7EE971C1" w14:textId="6854B037">
            <w:pPr>
              <w:tabs>
                <w:tab w:val="left" w:pos="284"/>
              </w:tabs>
              <w:rPr>
                <w:b/>
                <w:color w:val="000000" w:themeColor="text1"/>
                <w:szCs w:val="24"/>
              </w:rPr>
            </w:pPr>
            <w:r w:rsidRPr="00810B3D">
              <w:rPr>
                <w:b/>
                <w:color w:val="000000" w:themeColor="text1"/>
                <w:szCs w:val="24"/>
              </w:rPr>
              <w:fldChar w:fldCharType="end"/>
            </w:r>
          </w:p>
        </w:tc>
        <w:tc>
          <w:tcPr>
            <w:tcW w:w="6590" w:type="dxa"/>
          </w:tcPr>
          <w:p w:rsidRPr="00810B3D" w:rsidR="00810B3D" w:rsidP="0070413A" w:rsidRDefault="00810B3D" w14:paraId="5CBE005C" w14:textId="4505ED1B">
            <w:pPr>
              <w:rPr>
                <w:b/>
                <w:color w:val="000000" w:themeColor="text1"/>
                <w:szCs w:val="24"/>
              </w:rPr>
            </w:pPr>
            <w:bookmarkStart w:name="_Hlk185419146" w:id="0"/>
            <w:r w:rsidRPr="00810B3D">
              <w:rPr>
                <w:b/>
                <w:color w:val="000000" w:themeColor="text1"/>
                <w:szCs w:val="24"/>
              </w:rPr>
              <w:t xml:space="preserve">Initiatiefnota van de leden Omtzigt en Idsinga over </w:t>
            </w:r>
            <w:r w:rsidR="00D240BB">
              <w:rPr>
                <w:b/>
                <w:color w:val="000000" w:themeColor="text1"/>
                <w:szCs w:val="24"/>
              </w:rPr>
              <w:t>“</w:t>
            </w:r>
            <w:r w:rsidRPr="00810B3D">
              <w:rPr>
                <w:b/>
                <w:color w:val="000000" w:themeColor="text1"/>
                <w:szCs w:val="24"/>
              </w:rPr>
              <w:t>Realistisch ramen</w:t>
            </w:r>
            <w:r w:rsidR="00D240BB">
              <w:rPr>
                <w:b/>
                <w:color w:val="000000" w:themeColor="text1"/>
                <w:szCs w:val="24"/>
              </w:rPr>
              <w:t>”</w:t>
            </w:r>
            <w:bookmarkEnd w:id="0"/>
          </w:p>
        </w:tc>
      </w:tr>
      <w:tr w:rsidRPr="00810B3D" w:rsidR="00810B3D" w:rsidTr="009460E2" w14:paraId="23B7E407" w14:textId="77777777">
        <w:tc>
          <w:tcPr>
            <w:tcW w:w="2622" w:type="dxa"/>
          </w:tcPr>
          <w:p w:rsidRPr="00810B3D" w:rsidR="00810B3D" w:rsidP="0070413A" w:rsidRDefault="00810B3D" w14:paraId="7E5ADC10" w14:textId="77777777">
            <w:pPr>
              <w:tabs>
                <w:tab w:val="left" w:pos="284"/>
              </w:tabs>
              <w:rPr>
                <w:b/>
                <w:color w:val="000000" w:themeColor="text1"/>
                <w:szCs w:val="24"/>
              </w:rPr>
            </w:pPr>
          </w:p>
        </w:tc>
        <w:tc>
          <w:tcPr>
            <w:tcW w:w="6590" w:type="dxa"/>
          </w:tcPr>
          <w:p w:rsidRPr="00810B3D" w:rsidR="00810B3D" w:rsidP="0070413A" w:rsidRDefault="00810B3D" w14:paraId="7EB93F21" w14:textId="77777777">
            <w:pPr>
              <w:tabs>
                <w:tab w:val="left" w:pos="284"/>
              </w:tabs>
              <w:rPr>
                <w:b/>
                <w:color w:val="000000" w:themeColor="text1"/>
                <w:szCs w:val="24"/>
              </w:rPr>
            </w:pPr>
          </w:p>
        </w:tc>
      </w:tr>
      <w:tr w:rsidRPr="00810B3D" w:rsidR="00810B3D" w:rsidTr="009460E2" w14:paraId="26021F99" w14:textId="77777777">
        <w:tc>
          <w:tcPr>
            <w:tcW w:w="2622" w:type="dxa"/>
          </w:tcPr>
          <w:p w:rsidRPr="00810B3D" w:rsidR="00810B3D" w:rsidP="0070413A" w:rsidRDefault="00810B3D" w14:paraId="60B3B0F0" w14:textId="77777777">
            <w:pPr>
              <w:tabs>
                <w:tab w:val="left" w:pos="284"/>
              </w:tabs>
              <w:rPr>
                <w:b/>
                <w:color w:val="000000" w:themeColor="text1"/>
                <w:szCs w:val="24"/>
              </w:rPr>
            </w:pPr>
            <w:r w:rsidRPr="00810B3D">
              <w:rPr>
                <w:b/>
                <w:color w:val="000000" w:themeColor="text1"/>
                <w:szCs w:val="24"/>
              </w:rPr>
              <w:t>Nr. 2</w:t>
            </w:r>
          </w:p>
        </w:tc>
        <w:tc>
          <w:tcPr>
            <w:tcW w:w="6590" w:type="dxa"/>
          </w:tcPr>
          <w:p w:rsidRPr="00810B3D" w:rsidR="00810B3D" w:rsidP="0070413A" w:rsidRDefault="00810B3D" w14:paraId="6897E391" w14:textId="77777777">
            <w:pPr>
              <w:tabs>
                <w:tab w:val="left" w:pos="284"/>
              </w:tabs>
              <w:rPr>
                <w:b/>
                <w:color w:val="000000" w:themeColor="text1"/>
                <w:szCs w:val="24"/>
              </w:rPr>
            </w:pPr>
            <w:r w:rsidRPr="00810B3D">
              <w:rPr>
                <w:b/>
                <w:color w:val="000000" w:themeColor="text1"/>
                <w:szCs w:val="24"/>
              </w:rPr>
              <w:t>INITIATIEFNOTA</w:t>
            </w:r>
          </w:p>
        </w:tc>
      </w:tr>
    </w:tbl>
    <w:p w:rsidRPr="00810B3D" w:rsidR="00810B3D" w:rsidP="0070413A" w:rsidRDefault="00810B3D" w14:paraId="4D22E636" w14:textId="6C849536">
      <w:pPr>
        <w:rPr>
          <w:color w:val="000000" w:themeColor="text1"/>
          <w:szCs w:val="24"/>
        </w:rPr>
      </w:pPr>
    </w:p>
    <w:p w:rsidRPr="006F7A6B" w:rsidR="00C17DA9" w:rsidP="0070413A" w:rsidRDefault="00C17DA9" w14:paraId="68BBF227" w14:textId="3535BE69">
      <w:pPr>
        <w:pStyle w:val="Geenafstand"/>
        <w:spacing w:line="240" w:lineRule="auto"/>
        <w:rPr>
          <w:rFonts w:ascii="Times New Roman" w:hAnsi="Times New Roman" w:cs="Times New Roman"/>
          <w:b/>
          <w:bCs/>
          <w:color w:val="000000" w:themeColor="text1"/>
        </w:rPr>
      </w:pPr>
      <w:r w:rsidRPr="006F7A6B">
        <w:rPr>
          <w:rFonts w:ascii="Times New Roman" w:hAnsi="Times New Roman" w:cs="Times New Roman"/>
          <w:b/>
          <w:bCs/>
          <w:color w:val="000000" w:themeColor="text1"/>
        </w:rPr>
        <w:t xml:space="preserve">1. </w:t>
      </w:r>
      <w:r>
        <w:rPr>
          <w:rFonts w:ascii="Times New Roman" w:hAnsi="Times New Roman" w:cs="Times New Roman"/>
          <w:b/>
          <w:bCs/>
          <w:color w:val="000000" w:themeColor="text1"/>
        </w:rPr>
        <w:t>Inleiding</w:t>
      </w:r>
    </w:p>
    <w:p w:rsidR="0044160C" w:rsidP="0070413A" w:rsidRDefault="0044160C" w14:paraId="7188EAAC" w14:textId="77777777">
      <w:pPr>
        <w:pStyle w:val="Geenafstand"/>
        <w:spacing w:line="240" w:lineRule="auto"/>
        <w:rPr>
          <w:rStyle w:val="Kop1Char"/>
          <w:rFonts w:ascii="Times New Roman" w:hAnsi="Times New Roman" w:cs="Times New Roman"/>
          <w:b/>
          <w:bCs/>
          <w:color w:val="000000" w:themeColor="text1"/>
          <w:sz w:val="24"/>
          <w:szCs w:val="24"/>
        </w:rPr>
      </w:pPr>
    </w:p>
    <w:p w:rsidRPr="00810B3D" w:rsidR="00810B3D" w:rsidP="0070413A" w:rsidRDefault="00810B3D" w14:paraId="742E7073" w14:textId="01AF8282">
      <w:pPr>
        <w:pStyle w:val="Geenafstand"/>
        <w:spacing w:line="240" w:lineRule="auto"/>
        <w:rPr>
          <w:rFonts w:ascii="Times New Roman" w:hAnsi="Times New Roman" w:cs="Times New Roman"/>
          <w:color w:val="000000" w:themeColor="text1"/>
        </w:rPr>
      </w:pPr>
      <w:r w:rsidRPr="00810B3D">
        <w:rPr>
          <w:rFonts w:ascii="Times New Roman" w:hAnsi="Times New Roman" w:cs="Times New Roman"/>
          <w:color w:val="000000" w:themeColor="text1"/>
        </w:rPr>
        <w:t xml:space="preserve">Al jarenlang zien we bij de overheidsfinanciën hetzelfde patroon. Aan het begin van het jaar laten de verwachte overheidsfinanciën voor het komende jaar sombere cijfers zien. Maar als na afloop van het jaar de jaarstukken worden opgemaakt, zien we dat deze sombere cijfers opeens zijn omgeslagen in zonnige uitkomsten. Tekorten van tientallen miljarden blijken als sneeuw voor de zon te zijn verdwenen. </w:t>
      </w:r>
    </w:p>
    <w:p w:rsidRPr="00810B3D" w:rsidR="00810B3D" w:rsidP="0070413A" w:rsidRDefault="00810B3D" w14:paraId="349CD919" w14:textId="77777777">
      <w:pPr>
        <w:pStyle w:val="Geenafstand"/>
        <w:spacing w:line="240" w:lineRule="auto"/>
        <w:rPr>
          <w:rFonts w:ascii="Times New Roman" w:hAnsi="Times New Roman" w:cs="Times New Roman"/>
          <w:color w:val="000000" w:themeColor="text1"/>
        </w:rPr>
      </w:pPr>
    </w:p>
    <w:p w:rsidRPr="00810B3D" w:rsidR="00810B3D" w:rsidP="0070413A" w:rsidRDefault="00810B3D" w14:paraId="00416E86" w14:textId="77777777">
      <w:pPr>
        <w:pStyle w:val="Geenafstand"/>
        <w:spacing w:line="240" w:lineRule="auto"/>
        <w:rPr>
          <w:rFonts w:ascii="Times New Roman" w:hAnsi="Times New Roman" w:cs="Times New Roman"/>
          <w:color w:val="000000" w:themeColor="text1"/>
        </w:rPr>
      </w:pPr>
      <w:r w:rsidRPr="00810B3D">
        <w:rPr>
          <w:rFonts w:ascii="Times New Roman" w:hAnsi="Times New Roman" w:cs="Times New Roman"/>
          <w:color w:val="000000" w:themeColor="text1"/>
        </w:rPr>
        <w:t xml:space="preserve">Op het eerste gezicht lijkt dit misschien niet erg en lijken ramingen een saai, technisch thema te zijn: de conservatieve schatting op Prinsjesdag legt de basis voor de meevaller een jaar later. Maar deze verkeerde inschatting heeft wel degelijk grote gevolgen. Bijvoorbeeld voor de formatie van een nieuwe regering: de formerende partijen gaan het gesprek aan in de veronderstelling dat er geen extra geld is en dat er bezuinigd moet worden. Een nieuwe regering gaat vervolgens ook aan de slag met te somber geraamde cijfers. </w:t>
      </w:r>
      <w:r w:rsidRPr="00810B3D">
        <w:rPr>
          <w:rFonts w:ascii="Times New Roman" w:hAnsi="Times New Roman" w:cs="Times New Roman"/>
          <w:color w:val="000000" w:themeColor="text1"/>
        </w:rPr>
        <w:br/>
      </w:r>
      <w:r w:rsidRPr="00810B3D">
        <w:rPr>
          <w:rFonts w:ascii="Times New Roman" w:hAnsi="Times New Roman" w:cs="Times New Roman"/>
          <w:color w:val="000000" w:themeColor="text1"/>
        </w:rPr>
        <w:br/>
        <w:t>Om een beeld te geven: de totale ombuigingen over vier jaar van het kabinet-Schoof, dus inclusief btw-verhogingen, bezuinigingen en intensiveringen zoals de forse verlaging van het eigen risico, is kleiner dan de gemiddelde meevaller de afgelopen vier jaar van de ramingen. De gemiddelde meevaller op de begroting is ongeveer 1500,- per persoon per jaar, ofwel 6000,- per gezin per jaar. Dat zijn zeer forse bedragen.</w:t>
      </w:r>
    </w:p>
    <w:p w:rsidRPr="00810B3D" w:rsidR="00810B3D" w:rsidP="0070413A" w:rsidRDefault="00810B3D" w14:paraId="6939C75F" w14:textId="77777777">
      <w:pPr>
        <w:pStyle w:val="Geenafstand"/>
        <w:spacing w:line="240" w:lineRule="auto"/>
        <w:rPr>
          <w:rFonts w:ascii="Times New Roman" w:hAnsi="Times New Roman" w:cs="Times New Roman"/>
          <w:color w:val="000000" w:themeColor="text1"/>
        </w:rPr>
      </w:pPr>
    </w:p>
    <w:p w:rsidRPr="00810B3D" w:rsidR="00810B3D" w:rsidP="0070413A" w:rsidRDefault="00810B3D" w14:paraId="68A2664C" w14:textId="77777777">
      <w:pPr>
        <w:pStyle w:val="Geenafstand"/>
        <w:spacing w:line="240" w:lineRule="auto"/>
        <w:rPr>
          <w:rFonts w:ascii="Times New Roman" w:hAnsi="Times New Roman" w:cs="Times New Roman"/>
          <w:color w:val="000000" w:themeColor="text1"/>
        </w:rPr>
      </w:pPr>
      <w:r w:rsidRPr="00810B3D">
        <w:rPr>
          <w:rFonts w:ascii="Times New Roman" w:hAnsi="Times New Roman" w:cs="Times New Roman"/>
          <w:color w:val="000000" w:themeColor="text1"/>
        </w:rPr>
        <w:t xml:space="preserve">Dat beperkt niet alleen de slagkracht, het heeft ook tot gevolg dat er veel pijnlijke maatregelen worden genomen, dat er op veel belangrijke onderwerpen wordt bezuinigd en dat er te weinig geld beschikbaar is voor nieuw beleid, met vergaande gevolgen voor de Nederlandse samenleving. Als er bij het begroten gewerkt was met ramingen die realistischer geweest waren en dezelfde doelstellingen op tekort en schuld waren nagestreefd, dan zou er totaal ander beleid gemaakt zijn en zouden bij het hoofdlijnenakkoord andere keuzes gemaakt zijn.  </w:t>
      </w:r>
    </w:p>
    <w:p w:rsidRPr="00810B3D" w:rsidR="00810B3D" w:rsidP="0070413A" w:rsidRDefault="00810B3D" w14:paraId="393B5138" w14:textId="77777777">
      <w:pPr>
        <w:pStyle w:val="Geenafstand"/>
        <w:spacing w:line="240" w:lineRule="auto"/>
        <w:rPr>
          <w:rFonts w:ascii="Times New Roman" w:hAnsi="Times New Roman" w:cs="Times New Roman"/>
          <w:color w:val="000000" w:themeColor="text1"/>
        </w:rPr>
      </w:pPr>
    </w:p>
    <w:p w:rsidRPr="00810B3D" w:rsidR="00810B3D" w:rsidP="0070413A" w:rsidRDefault="00810B3D" w14:paraId="33A7A27E" w14:textId="77777777">
      <w:pPr>
        <w:pStyle w:val="Geenafstand"/>
        <w:spacing w:line="240" w:lineRule="auto"/>
        <w:rPr>
          <w:rFonts w:ascii="Times New Roman" w:hAnsi="Times New Roman" w:cs="Times New Roman"/>
          <w:color w:val="000000" w:themeColor="text1"/>
        </w:rPr>
      </w:pPr>
      <w:r w:rsidRPr="00810B3D">
        <w:rPr>
          <w:rFonts w:ascii="Times New Roman" w:hAnsi="Times New Roman" w:cs="Times New Roman"/>
          <w:color w:val="000000" w:themeColor="text1"/>
        </w:rPr>
        <w:t>Er is altijd veel aandacht voor het risico van het doen van te veel uitgaven en de onhoudbaarheid van de schuld. Er is veel minder aandacht voor de risico’s van het niet doen van bepaalde uitgaven. Ter illustratie: het niet tijdig en goed onderhouden van infrastructuur levert reële schade op aan de samenleving en de economie en leidt tot hoge kosten op een later moment. Of hadden we deze miljarden bijvoorbeeld kunnen investeren in het bouwen van kerncentrales, betaalbare huizen kunnen bouwen in de Haarlemmermeer nadat we Schiphol naar de Noordzee hadden verplaatst? En hoe ver waren we nu geweest met de Lelylijn?</w:t>
      </w:r>
    </w:p>
    <w:p w:rsidRPr="00810B3D" w:rsidR="00810B3D" w:rsidP="0070413A" w:rsidRDefault="00810B3D" w14:paraId="41118AC0" w14:textId="77777777">
      <w:pPr>
        <w:pStyle w:val="Geenafstand"/>
        <w:spacing w:line="240" w:lineRule="auto"/>
        <w:rPr>
          <w:rFonts w:ascii="Times New Roman" w:hAnsi="Times New Roman" w:cs="Times New Roman"/>
          <w:color w:val="000000" w:themeColor="text1"/>
        </w:rPr>
      </w:pPr>
    </w:p>
    <w:p w:rsidRPr="00810B3D" w:rsidR="00810B3D" w:rsidP="0070413A" w:rsidRDefault="00810B3D" w14:paraId="5904AC75" w14:textId="77777777">
      <w:pPr>
        <w:pStyle w:val="Geenafstand"/>
        <w:spacing w:line="240" w:lineRule="auto"/>
        <w:rPr>
          <w:rFonts w:ascii="Times New Roman" w:hAnsi="Times New Roman" w:cs="Times New Roman"/>
          <w:color w:val="000000" w:themeColor="text1"/>
        </w:rPr>
      </w:pPr>
      <w:r w:rsidRPr="00810B3D">
        <w:rPr>
          <w:rFonts w:ascii="Times New Roman" w:hAnsi="Times New Roman" w:cs="Times New Roman"/>
          <w:color w:val="000000" w:themeColor="text1"/>
        </w:rPr>
        <w:t>Om critici alvast van repliek te dienen: dit is uitdrukkelijk geen pleidooi om roekeloos en willekeurig met geld te strooien, integendeel. Deze nota roept op om tijdig, verantwoord en efficiënt, op basis van betere veronderstellingen, geld van de belastingbetaler zo optimaal en consistent mogelijk voor de samenleving in te zetten. Met andere woorden: een kwestie van goed bestuur.</w:t>
      </w:r>
    </w:p>
    <w:p w:rsidRPr="00810B3D" w:rsidR="00810B3D" w:rsidP="0070413A" w:rsidRDefault="00810B3D" w14:paraId="2358F400" w14:textId="77777777">
      <w:pPr>
        <w:pStyle w:val="Geenafstand"/>
        <w:spacing w:line="240" w:lineRule="auto"/>
        <w:rPr>
          <w:rFonts w:ascii="Times New Roman" w:hAnsi="Times New Roman" w:cs="Times New Roman"/>
          <w:color w:val="000000" w:themeColor="text1"/>
        </w:rPr>
      </w:pPr>
    </w:p>
    <w:p w:rsidRPr="00810B3D" w:rsidR="00810B3D" w:rsidP="0070413A" w:rsidRDefault="00810B3D" w14:paraId="26956244" w14:textId="057A07C1">
      <w:pPr>
        <w:pStyle w:val="Geenafstand"/>
        <w:spacing w:line="240" w:lineRule="auto"/>
        <w:rPr>
          <w:rFonts w:ascii="Times New Roman" w:hAnsi="Times New Roman" w:cs="Times New Roman"/>
          <w:color w:val="000000" w:themeColor="text1"/>
        </w:rPr>
      </w:pPr>
      <w:r w:rsidRPr="00810B3D">
        <w:rPr>
          <w:rFonts w:ascii="Times New Roman" w:hAnsi="Times New Roman" w:cs="Times New Roman"/>
          <w:color w:val="000000" w:themeColor="text1"/>
        </w:rPr>
        <w:t xml:space="preserve">In een tijd waarin de bestaanszekerheid van veel Nederlanders ernstig onder druk staat en er ook vele andere maatschappelijke opgaven voor de overheid liggen, kunnen we ons de </w:t>
      </w:r>
      <w:r w:rsidRPr="00810B3D">
        <w:rPr>
          <w:rFonts w:ascii="Times New Roman" w:hAnsi="Times New Roman" w:cs="Times New Roman"/>
          <w:color w:val="000000" w:themeColor="text1"/>
        </w:rPr>
        <w:lastRenderedPageBreak/>
        <w:t xml:space="preserve">huidige situatie niet veroorloven. </w:t>
      </w:r>
      <w:r w:rsidR="00C738B2">
        <w:rPr>
          <w:rFonts w:ascii="Times New Roman" w:hAnsi="Times New Roman" w:cs="Times New Roman"/>
          <w:color w:val="000000" w:themeColor="text1"/>
        </w:rPr>
        <w:t>De initiatiefnemers</w:t>
      </w:r>
      <w:r w:rsidRPr="00810B3D">
        <w:rPr>
          <w:rFonts w:ascii="Times New Roman" w:hAnsi="Times New Roman" w:cs="Times New Roman"/>
          <w:color w:val="000000" w:themeColor="text1"/>
        </w:rPr>
        <w:t xml:space="preserve"> vra</w:t>
      </w:r>
      <w:r w:rsidR="00C738B2">
        <w:rPr>
          <w:rFonts w:ascii="Times New Roman" w:hAnsi="Times New Roman" w:cs="Times New Roman"/>
          <w:color w:val="000000" w:themeColor="text1"/>
        </w:rPr>
        <w:t>gen</w:t>
      </w:r>
      <w:r w:rsidRPr="00810B3D">
        <w:rPr>
          <w:rFonts w:ascii="Times New Roman" w:hAnsi="Times New Roman" w:cs="Times New Roman"/>
          <w:color w:val="000000" w:themeColor="text1"/>
        </w:rPr>
        <w:t xml:space="preserve"> met deze initiatiefnota daarom aandacht voor realistischer ramen</w:t>
      </w:r>
      <w:r w:rsidR="006352E6">
        <w:rPr>
          <w:rFonts w:ascii="Times New Roman" w:hAnsi="Times New Roman" w:cs="Times New Roman"/>
          <w:color w:val="000000" w:themeColor="text1"/>
        </w:rPr>
        <w:t xml:space="preserve"> en komen </w:t>
      </w:r>
      <w:r w:rsidR="003411A0">
        <w:rPr>
          <w:rFonts w:ascii="Times New Roman" w:hAnsi="Times New Roman" w:cs="Times New Roman"/>
          <w:color w:val="000000" w:themeColor="text1"/>
        </w:rPr>
        <w:t xml:space="preserve">dan ook </w:t>
      </w:r>
      <w:r w:rsidR="006352E6">
        <w:rPr>
          <w:rFonts w:ascii="Times New Roman" w:hAnsi="Times New Roman" w:cs="Times New Roman"/>
          <w:color w:val="000000" w:themeColor="text1"/>
        </w:rPr>
        <w:t>met een aantal beslispunten</w:t>
      </w:r>
      <w:r w:rsidRPr="00810B3D">
        <w:rPr>
          <w:rFonts w:ascii="Times New Roman" w:hAnsi="Times New Roman" w:cs="Times New Roman"/>
          <w:color w:val="000000" w:themeColor="text1"/>
        </w:rPr>
        <w:t>.</w:t>
      </w:r>
    </w:p>
    <w:p w:rsidRPr="00810B3D" w:rsidR="00810B3D" w:rsidP="0070413A" w:rsidRDefault="00810B3D" w14:paraId="4BE7A25E" w14:textId="77777777">
      <w:pPr>
        <w:pStyle w:val="Geenafstand"/>
        <w:spacing w:line="240" w:lineRule="auto"/>
        <w:rPr>
          <w:rFonts w:ascii="Times New Roman" w:hAnsi="Times New Roman" w:cs="Times New Roman"/>
          <w:color w:val="000000" w:themeColor="text1"/>
        </w:rPr>
      </w:pPr>
    </w:p>
    <w:p w:rsidR="006F7A6B" w:rsidP="0070413A" w:rsidRDefault="00810B3D" w14:paraId="7E6351EA" w14:textId="49CC9483">
      <w:pPr>
        <w:pStyle w:val="Geenafstand"/>
        <w:spacing w:line="240" w:lineRule="auto"/>
        <w:rPr>
          <w:rFonts w:ascii="Times New Roman" w:hAnsi="Times New Roman" w:cs="Times New Roman"/>
          <w:color w:val="000000" w:themeColor="text1"/>
        </w:rPr>
      </w:pPr>
      <w:r w:rsidRPr="00810B3D">
        <w:rPr>
          <w:rFonts w:ascii="Times New Roman" w:hAnsi="Times New Roman" w:cs="Times New Roman"/>
          <w:color w:val="000000" w:themeColor="text1"/>
        </w:rPr>
        <w:t xml:space="preserve">De indieners danken Sam Bilgi, Piotr van Rij en Michiel Hanssen voor hun bijdrage aan deze initiatiefnota en </w:t>
      </w:r>
      <w:proofErr w:type="spellStart"/>
      <w:r w:rsidRPr="00810B3D">
        <w:rPr>
          <w:rFonts w:ascii="Times New Roman" w:hAnsi="Times New Roman" w:cs="Times New Roman"/>
          <w:color w:val="000000" w:themeColor="text1"/>
        </w:rPr>
        <w:t>Yaela</w:t>
      </w:r>
      <w:proofErr w:type="spellEnd"/>
      <w:r w:rsidRPr="00810B3D">
        <w:rPr>
          <w:rFonts w:ascii="Times New Roman" w:hAnsi="Times New Roman" w:cs="Times New Roman"/>
          <w:color w:val="000000" w:themeColor="text1"/>
        </w:rPr>
        <w:t xml:space="preserve"> Perk voor de </w:t>
      </w:r>
      <w:proofErr w:type="spellStart"/>
      <w:r w:rsidRPr="00810B3D">
        <w:rPr>
          <w:rFonts w:ascii="Times New Roman" w:hAnsi="Times New Roman" w:cs="Times New Roman"/>
          <w:color w:val="000000" w:themeColor="text1"/>
        </w:rPr>
        <w:t>infographics</w:t>
      </w:r>
      <w:proofErr w:type="spellEnd"/>
      <w:r w:rsidRPr="00810B3D">
        <w:rPr>
          <w:rFonts w:ascii="Times New Roman" w:hAnsi="Times New Roman" w:cs="Times New Roman"/>
          <w:color w:val="000000" w:themeColor="text1"/>
        </w:rPr>
        <w:t>. Verder danken zij het C</w:t>
      </w:r>
      <w:r w:rsidR="0070413A">
        <w:rPr>
          <w:rFonts w:ascii="Times New Roman" w:hAnsi="Times New Roman" w:cs="Times New Roman"/>
          <w:color w:val="000000" w:themeColor="text1"/>
        </w:rPr>
        <w:t>entraal Plan Bureau (C</w:t>
      </w:r>
      <w:r w:rsidRPr="00810B3D">
        <w:rPr>
          <w:rFonts w:ascii="Times New Roman" w:hAnsi="Times New Roman" w:cs="Times New Roman"/>
          <w:color w:val="000000" w:themeColor="text1"/>
        </w:rPr>
        <w:t>PB</w:t>
      </w:r>
      <w:r w:rsidR="0070413A">
        <w:rPr>
          <w:rFonts w:ascii="Times New Roman" w:hAnsi="Times New Roman" w:cs="Times New Roman"/>
          <w:color w:val="000000" w:themeColor="text1"/>
        </w:rPr>
        <w:t>)</w:t>
      </w:r>
      <w:r w:rsidRPr="00810B3D">
        <w:rPr>
          <w:rFonts w:ascii="Times New Roman" w:hAnsi="Times New Roman" w:cs="Times New Roman"/>
          <w:color w:val="000000" w:themeColor="text1"/>
        </w:rPr>
        <w:t xml:space="preserve"> voor hulp bij data over de staatsschuld en Wim Boonstra voor een discussie over dit onderwerp.</w:t>
      </w:r>
      <w:bookmarkStart w:name="_Toc185231901" w:id="1"/>
    </w:p>
    <w:p w:rsidR="006F7A6B" w:rsidP="0070413A" w:rsidRDefault="006F7A6B" w14:paraId="19186EFA" w14:textId="77777777">
      <w:pPr>
        <w:pStyle w:val="Geenafstand"/>
        <w:spacing w:line="240" w:lineRule="auto"/>
        <w:rPr>
          <w:rFonts w:ascii="Times New Roman" w:hAnsi="Times New Roman" w:cs="Times New Roman"/>
          <w:color w:val="000000" w:themeColor="text1"/>
        </w:rPr>
      </w:pPr>
    </w:p>
    <w:p w:rsidRPr="006F7A6B" w:rsidR="00810B3D" w:rsidP="0070413A" w:rsidRDefault="00C17DA9" w14:paraId="6A4D2B8D" w14:textId="6CE7670D">
      <w:pPr>
        <w:pStyle w:val="Geenafstand"/>
        <w:spacing w:line="240" w:lineRule="auto"/>
        <w:rPr>
          <w:rFonts w:ascii="Times New Roman" w:hAnsi="Times New Roman" w:cs="Times New Roman"/>
          <w:b/>
          <w:bCs/>
          <w:color w:val="000000" w:themeColor="text1"/>
        </w:rPr>
      </w:pPr>
      <w:r>
        <w:rPr>
          <w:rFonts w:ascii="Times New Roman" w:hAnsi="Times New Roman" w:cs="Times New Roman"/>
          <w:b/>
          <w:bCs/>
          <w:color w:val="000000" w:themeColor="text1"/>
        </w:rPr>
        <w:t>2</w:t>
      </w:r>
      <w:r w:rsidR="00826FED">
        <w:rPr>
          <w:rFonts w:ascii="Times New Roman" w:hAnsi="Times New Roman" w:cs="Times New Roman"/>
          <w:b/>
          <w:bCs/>
          <w:color w:val="000000" w:themeColor="text1"/>
        </w:rPr>
        <w:t>.</w:t>
      </w:r>
      <w:r w:rsidRPr="006F7A6B" w:rsidR="00810B3D">
        <w:rPr>
          <w:rFonts w:ascii="Times New Roman" w:hAnsi="Times New Roman" w:cs="Times New Roman"/>
          <w:b/>
          <w:bCs/>
          <w:color w:val="000000" w:themeColor="text1"/>
        </w:rPr>
        <w:t xml:space="preserve"> Probleem: onrealistisch ramen</w:t>
      </w:r>
      <w:bookmarkEnd w:id="1"/>
    </w:p>
    <w:p w:rsidRPr="00810B3D" w:rsidR="00810B3D" w:rsidP="0070413A" w:rsidRDefault="00810B3D" w14:paraId="2D8CA946" w14:textId="77777777">
      <w:pPr>
        <w:rPr>
          <w:color w:val="000000" w:themeColor="text1"/>
          <w:szCs w:val="24"/>
        </w:rPr>
      </w:pPr>
    </w:p>
    <w:p w:rsidRPr="00810B3D" w:rsidR="00810B3D" w:rsidP="0070413A" w:rsidRDefault="00810B3D" w14:paraId="0846AF3C" w14:textId="77777777">
      <w:pPr>
        <w:pStyle w:val="Geenafstand"/>
        <w:spacing w:line="240" w:lineRule="auto"/>
        <w:rPr>
          <w:rStyle w:val="Nadruk"/>
          <w:rFonts w:ascii="Times New Roman" w:hAnsi="Times New Roman" w:cs="Times New Roman"/>
          <w:i w:val="0"/>
          <w:iCs w:val="0"/>
          <w:color w:val="000000" w:themeColor="text1"/>
        </w:rPr>
      </w:pPr>
      <w:r w:rsidRPr="00810B3D">
        <w:rPr>
          <w:rFonts w:ascii="Times New Roman" w:hAnsi="Times New Roman" w:cs="Times New Roman"/>
          <w:color w:val="000000" w:themeColor="text1"/>
        </w:rPr>
        <w:t xml:space="preserve">Elke jaar zien we dat overheidsuitgaven en -inkomsten zeer onrealistisch worden geraamd en begroot. </w:t>
      </w:r>
      <w:r w:rsidRPr="00810B3D">
        <w:rPr>
          <w:rStyle w:val="Nadruk"/>
          <w:rFonts w:ascii="Times New Roman" w:hAnsi="Times New Roman" w:cs="Times New Roman"/>
          <w:i w:val="0"/>
          <w:iCs w:val="0"/>
          <w:color w:val="000000" w:themeColor="text1"/>
        </w:rPr>
        <w:t xml:space="preserve">De ramingen laten sombere cijfers zien, terwijl uiteindelijk vaak uit de jaarstukken blijkt dat de situatie aanmerkelijk gunstiger was. </w:t>
      </w:r>
    </w:p>
    <w:p w:rsidRPr="00810B3D" w:rsidR="00810B3D" w:rsidP="0070413A" w:rsidRDefault="00810B3D" w14:paraId="1ABD4B3E" w14:textId="77777777">
      <w:pPr>
        <w:pStyle w:val="Geenafstand"/>
        <w:spacing w:line="240" w:lineRule="auto"/>
        <w:rPr>
          <w:rStyle w:val="Nadruk"/>
          <w:rFonts w:ascii="Times New Roman" w:hAnsi="Times New Roman" w:cs="Times New Roman"/>
          <w:i w:val="0"/>
          <w:iCs w:val="0"/>
          <w:color w:val="000000" w:themeColor="text1"/>
        </w:rPr>
      </w:pPr>
    </w:p>
    <w:p w:rsidRPr="00810B3D" w:rsidR="00810B3D" w:rsidP="0070413A" w:rsidRDefault="00810B3D" w14:paraId="6AFC5712" w14:textId="77777777">
      <w:pPr>
        <w:pStyle w:val="Geenafstand"/>
        <w:spacing w:line="240" w:lineRule="auto"/>
        <w:rPr>
          <w:rStyle w:val="Nadruk"/>
          <w:rFonts w:ascii="Times New Roman" w:hAnsi="Times New Roman" w:cs="Times New Roman"/>
          <w:i w:val="0"/>
          <w:iCs w:val="0"/>
          <w:color w:val="000000" w:themeColor="text1"/>
        </w:rPr>
      </w:pPr>
      <w:r w:rsidRPr="00810B3D">
        <w:rPr>
          <w:rStyle w:val="Nadruk"/>
          <w:rFonts w:ascii="Times New Roman" w:hAnsi="Times New Roman" w:cs="Times New Roman"/>
          <w:i w:val="0"/>
          <w:iCs w:val="0"/>
          <w:color w:val="000000" w:themeColor="text1"/>
        </w:rPr>
        <w:t xml:space="preserve">Dit heeft grote gevolgen: op basis van de sombere inschattingen, worden ombuigingen voorgesteld en doorgevoerd met vaak pijnlijke gevolgen voor de samenleving. Als er in een eerder stadium een kloppend beeld was geweest van de staatsfinanciën, waren deze ombuigingen niet nodig geweest of blijken afgeblazen beleidsintensiveringen wel degelijk mogelijk te zijn geweest. </w:t>
      </w:r>
    </w:p>
    <w:p w:rsidRPr="00810B3D" w:rsidR="00810B3D" w:rsidP="0070413A" w:rsidRDefault="00810B3D" w14:paraId="6DA54DAA" w14:textId="77777777">
      <w:pPr>
        <w:pStyle w:val="Geenafstand"/>
        <w:spacing w:line="240" w:lineRule="auto"/>
        <w:rPr>
          <w:rStyle w:val="Nadruk"/>
          <w:rFonts w:ascii="Times New Roman" w:hAnsi="Times New Roman" w:cs="Times New Roman"/>
          <w:i w:val="0"/>
          <w:iCs w:val="0"/>
          <w:color w:val="000000" w:themeColor="text1"/>
        </w:rPr>
      </w:pPr>
    </w:p>
    <w:p w:rsidRPr="00810B3D" w:rsidR="00810B3D" w:rsidP="0070413A" w:rsidRDefault="00810B3D" w14:paraId="79A163D2" w14:textId="77777777">
      <w:pPr>
        <w:pStyle w:val="Geenafstand"/>
        <w:spacing w:line="240" w:lineRule="auto"/>
        <w:rPr>
          <w:rStyle w:val="Nadruk"/>
          <w:rFonts w:ascii="Times New Roman" w:hAnsi="Times New Roman" w:cs="Times New Roman"/>
          <w:i w:val="0"/>
          <w:iCs w:val="0"/>
          <w:color w:val="000000" w:themeColor="text1"/>
        </w:rPr>
      </w:pPr>
      <w:r w:rsidRPr="00810B3D">
        <w:rPr>
          <w:rStyle w:val="Nadruk"/>
          <w:rFonts w:ascii="Times New Roman" w:hAnsi="Times New Roman" w:cs="Times New Roman"/>
          <w:i w:val="0"/>
          <w:iCs w:val="0"/>
          <w:color w:val="000000" w:themeColor="text1"/>
        </w:rPr>
        <w:t xml:space="preserve">En die situatie is verre van een incident. De indruk bestaat dat dit al veel langer speelt, maar dat het de laatste jaren steeds erger is geworden. In deze initiatiefnota gaat het met name om de afgelopen tien jaar. Vanaf 2015 zien we dat het tekort in 8 van de 9 jaren (veel) gunstiger uitpakte dan werd verwacht bij de Miljoenennota. Alleen in coronajaar 2020 was dat niet het geval. </w:t>
      </w:r>
    </w:p>
    <w:p w:rsidRPr="00810B3D" w:rsidR="00810B3D" w:rsidP="0070413A" w:rsidRDefault="00810B3D" w14:paraId="3F7F733D" w14:textId="77777777">
      <w:pPr>
        <w:pStyle w:val="Geenafstand"/>
        <w:spacing w:line="240" w:lineRule="auto"/>
        <w:rPr>
          <w:rStyle w:val="Nadruk"/>
          <w:rFonts w:ascii="Times New Roman" w:hAnsi="Times New Roman" w:cs="Times New Roman"/>
          <w:i w:val="0"/>
          <w:iCs w:val="0"/>
          <w:color w:val="000000" w:themeColor="text1"/>
        </w:rPr>
      </w:pPr>
    </w:p>
    <w:p w:rsidRPr="00810B3D" w:rsidR="00810B3D" w:rsidP="0070413A" w:rsidRDefault="00810B3D" w14:paraId="1774C00F" w14:textId="77777777">
      <w:pPr>
        <w:pStyle w:val="Geenafstand"/>
        <w:spacing w:line="240" w:lineRule="auto"/>
        <w:rPr>
          <w:rStyle w:val="Nadruk"/>
          <w:rFonts w:ascii="Times New Roman" w:hAnsi="Times New Roman" w:cs="Times New Roman"/>
          <w:i w:val="0"/>
          <w:iCs w:val="0"/>
          <w:color w:val="000000" w:themeColor="text1"/>
        </w:rPr>
      </w:pPr>
      <w:r w:rsidRPr="00810B3D">
        <w:rPr>
          <w:rStyle w:val="Nadruk"/>
          <w:rFonts w:ascii="Times New Roman" w:hAnsi="Times New Roman" w:cs="Times New Roman"/>
          <w:i w:val="0"/>
          <w:iCs w:val="0"/>
          <w:color w:val="000000" w:themeColor="text1"/>
        </w:rPr>
        <w:t>Waar gaat het dan mis? Vooral de ramingen aan de inkomstenkant zijn keer op keer te pessimistisch. Zelfs in 2020, een jaar met een diepe recessie, bleven de belastinginkomsten op peil. Een van de oorzaken van de te pessimistische schattingen is dat de regering de afgelopen jaren (ten onrechte) heeft geraamd dat de nominale belastingopbrengsten niet meestijgen met de nominale groei van de economie. Vervolgens bleek dit elk jaar wel het geval te zijn geweest. En dat is ook precies wat je verwacht in een economie en een economisch model.</w:t>
      </w:r>
    </w:p>
    <w:p w:rsidRPr="00810B3D" w:rsidR="00810B3D" w:rsidP="0070413A" w:rsidRDefault="00810B3D" w14:paraId="74F8AB34" w14:textId="77777777">
      <w:pPr>
        <w:pStyle w:val="Geenafstand"/>
        <w:spacing w:line="240" w:lineRule="auto"/>
        <w:rPr>
          <w:rStyle w:val="Nadruk"/>
          <w:rFonts w:ascii="Times New Roman" w:hAnsi="Times New Roman" w:cs="Times New Roman"/>
          <w:i w:val="0"/>
          <w:iCs w:val="0"/>
          <w:color w:val="000000" w:themeColor="text1"/>
        </w:rPr>
      </w:pPr>
    </w:p>
    <w:p w:rsidRPr="00810B3D" w:rsidR="00810B3D" w:rsidP="0070413A" w:rsidRDefault="00810B3D" w14:paraId="02CCED18" w14:textId="77777777">
      <w:pPr>
        <w:pStyle w:val="Geenafstand"/>
        <w:spacing w:line="240" w:lineRule="auto"/>
        <w:rPr>
          <w:rStyle w:val="Nadruk"/>
          <w:rFonts w:ascii="Times New Roman" w:hAnsi="Times New Roman" w:cs="Times New Roman"/>
          <w:i w:val="0"/>
          <w:iCs w:val="0"/>
          <w:color w:val="000000" w:themeColor="text1"/>
        </w:rPr>
      </w:pPr>
      <w:r w:rsidRPr="00810B3D">
        <w:rPr>
          <w:rStyle w:val="Nadruk"/>
          <w:rFonts w:ascii="Times New Roman" w:hAnsi="Times New Roman" w:cs="Times New Roman"/>
          <w:i w:val="0"/>
          <w:iCs w:val="0"/>
          <w:color w:val="000000" w:themeColor="text1"/>
        </w:rPr>
        <w:t>Niet alleen heeft deze situatie pijnlijke gevolgen voor burgers, het beperkt ook het budgetrecht van de Tweede Kamer. Bij Prinsjesdag wordt een tekort van bijna 3% gepresenteerd. De Europese regels, de wet houdbare overheidsfinanciën en prudentie leiden ertoe dat elk voorstel tot intensivering of lastenverlichting gedekt moet worden. Dat blijkt in de praktijk bijna onmogelijk, omdat er steeds naar dekking moet worden gezocht, die onvindbaar blijkt. De regering daarentegen kan zeer beleidsrijke Voorjaars- en Najaarsnota’s presenteren met grote keuzes, want de meevallers stromen op dat moment binnen en overtreffen de tegenvaller ruimschoots.</w:t>
      </w:r>
      <w:r w:rsidRPr="00810B3D">
        <w:rPr>
          <w:rStyle w:val="Nadruk"/>
          <w:rFonts w:ascii="Times New Roman" w:hAnsi="Times New Roman" w:cs="Times New Roman"/>
          <w:i w:val="0"/>
          <w:iCs w:val="0"/>
          <w:color w:val="000000" w:themeColor="text1"/>
        </w:rPr>
        <w:br/>
        <w:t xml:space="preserve">Het budgetrecht van de Kamer staat onder druk door een onvolledige voorstelling van zaken en het presenteren van de begroting als een maximum wat mogelijk is. </w:t>
      </w:r>
    </w:p>
    <w:p w:rsidRPr="00810B3D" w:rsidR="00810B3D" w:rsidP="0070413A" w:rsidRDefault="00810B3D" w14:paraId="0AB0674C" w14:textId="77777777">
      <w:pPr>
        <w:pStyle w:val="Geenafstand"/>
        <w:spacing w:line="240" w:lineRule="auto"/>
        <w:rPr>
          <w:rStyle w:val="Nadruk"/>
          <w:rFonts w:ascii="Times New Roman" w:hAnsi="Times New Roman" w:cs="Times New Roman"/>
          <w:i w:val="0"/>
          <w:iCs w:val="0"/>
          <w:color w:val="000000" w:themeColor="text1"/>
        </w:rPr>
      </w:pPr>
    </w:p>
    <w:p w:rsidRPr="00810B3D" w:rsidR="00810B3D" w:rsidP="0070413A" w:rsidRDefault="00810B3D" w14:paraId="2C777D38" w14:textId="77777777">
      <w:pPr>
        <w:pStyle w:val="Geenafstand"/>
        <w:spacing w:line="240" w:lineRule="auto"/>
        <w:rPr>
          <w:rStyle w:val="Nadruk"/>
          <w:rFonts w:ascii="Times New Roman" w:hAnsi="Times New Roman" w:cs="Times New Roman"/>
          <w:i w:val="0"/>
          <w:iCs w:val="0"/>
          <w:color w:val="000000" w:themeColor="text1"/>
        </w:rPr>
      </w:pPr>
      <w:r w:rsidRPr="00810B3D">
        <w:rPr>
          <w:rStyle w:val="Nadruk"/>
          <w:rFonts w:ascii="Times New Roman" w:hAnsi="Times New Roman" w:cs="Times New Roman"/>
          <w:i w:val="0"/>
          <w:iCs w:val="0"/>
          <w:color w:val="000000" w:themeColor="text1"/>
        </w:rPr>
        <w:t>Een derde gevolg: Nederland stevent af op de laagste schuldquote in de Nederlandse geschiedenis (sinds 1830). Zie hieronder figuur 1 en 2.</w:t>
      </w:r>
      <w:r w:rsidRPr="00810B3D">
        <w:rPr>
          <w:rStyle w:val="Voetnootmarkering"/>
          <w:rFonts w:ascii="Times New Roman" w:hAnsi="Times New Roman" w:cs="Times New Roman"/>
          <w:color w:val="000000" w:themeColor="text1"/>
        </w:rPr>
        <w:footnoteReference w:id="1"/>
      </w:r>
      <w:r w:rsidRPr="00810B3D">
        <w:rPr>
          <w:rStyle w:val="Nadruk"/>
          <w:rFonts w:ascii="Times New Roman" w:hAnsi="Times New Roman" w:cs="Times New Roman"/>
          <w:i w:val="0"/>
          <w:iCs w:val="0"/>
          <w:color w:val="000000" w:themeColor="text1"/>
        </w:rPr>
        <w:t xml:space="preserve"> Als wordt ingezoomd op de laatste </w:t>
      </w:r>
      <w:r w:rsidRPr="00810B3D">
        <w:rPr>
          <w:rStyle w:val="Nadruk"/>
          <w:rFonts w:ascii="Times New Roman" w:hAnsi="Times New Roman" w:cs="Times New Roman"/>
          <w:i w:val="0"/>
          <w:iCs w:val="0"/>
          <w:color w:val="000000" w:themeColor="text1"/>
        </w:rPr>
        <w:lastRenderedPageBreak/>
        <w:t xml:space="preserve">paar jaar, zien we dat volgens de voorlopige raming van het CBS de staatsschuldquote gedaald is naar ongeveer 43,2% van het BBP en dat die jaarlijks 2 tot 3% afneemt. </w:t>
      </w:r>
    </w:p>
    <w:p w:rsidRPr="00810B3D" w:rsidR="00810B3D" w:rsidP="0070413A" w:rsidRDefault="00810B3D" w14:paraId="7F0B970F" w14:textId="77777777">
      <w:pPr>
        <w:pStyle w:val="Geenafstand"/>
        <w:spacing w:line="240" w:lineRule="auto"/>
        <w:rPr>
          <w:rStyle w:val="Nadruk"/>
          <w:rFonts w:ascii="Times New Roman" w:hAnsi="Times New Roman" w:cs="Times New Roman"/>
          <w:i w:val="0"/>
          <w:iCs w:val="0"/>
          <w:color w:val="000000" w:themeColor="text1"/>
        </w:rPr>
      </w:pPr>
    </w:p>
    <w:p w:rsidRPr="00810B3D" w:rsidR="00810B3D" w:rsidP="0070413A" w:rsidRDefault="00810B3D" w14:paraId="7AAF2793" w14:textId="106FDB09">
      <w:pPr>
        <w:pStyle w:val="Geenafstand"/>
        <w:spacing w:line="240" w:lineRule="auto"/>
        <w:rPr>
          <w:rFonts w:ascii="Times New Roman" w:hAnsi="Times New Roman" w:cs="Times New Roman"/>
          <w:color w:val="000000" w:themeColor="text1"/>
        </w:rPr>
      </w:pPr>
      <w:r w:rsidRPr="00810B3D">
        <w:rPr>
          <w:rStyle w:val="Nadruk"/>
          <w:rFonts w:ascii="Times New Roman" w:hAnsi="Times New Roman" w:cs="Times New Roman"/>
          <w:i w:val="0"/>
          <w:iCs w:val="0"/>
          <w:color w:val="000000" w:themeColor="text1"/>
        </w:rPr>
        <w:t xml:space="preserve">De realisatie staat in zeer schril contrast met de bijna jaarlijkse waarschuwing dat de schuldenlast van de Nederlandse overheid op een onhoudbaar pad ligt. Want echt elk jaar voorspelt het CPB of </w:t>
      </w:r>
      <w:r w:rsidR="00DA66FF">
        <w:rPr>
          <w:rStyle w:val="Nadruk"/>
          <w:rFonts w:ascii="Times New Roman" w:hAnsi="Times New Roman" w:cs="Times New Roman"/>
          <w:i w:val="0"/>
          <w:iCs w:val="0"/>
          <w:color w:val="000000" w:themeColor="text1"/>
        </w:rPr>
        <w:t>de Minister van</w:t>
      </w:r>
      <w:r w:rsidR="0070413A">
        <w:rPr>
          <w:rStyle w:val="Nadruk"/>
          <w:rFonts w:ascii="Times New Roman" w:hAnsi="Times New Roman" w:cs="Times New Roman"/>
          <w:i w:val="0"/>
          <w:iCs w:val="0"/>
          <w:color w:val="000000" w:themeColor="text1"/>
        </w:rPr>
        <w:t xml:space="preserve"> </w:t>
      </w:r>
      <w:r w:rsidRPr="00810B3D">
        <w:rPr>
          <w:rStyle w:val="Nadruk"/>
          <w:rFonts w:ascii="Times New Roman" w:hAnsi="Times New Roman" w:cs="Times New Roman"/>
          <w:i w:val="0"/>
          <w:iCs w:val="0"/>
          <w:color w:val="000000" w:themeColor="text1"/>
        </w:rPr>
        <w:t>Financiën dat de jaren erna de schuld zeer gevaarlijk zal oplopen.</w:t>
      </w:r>
    </w:p>
    <w:p w:rsidRPr="00810B3D" w:rsidR="00810B3D" w:rsidP="0070413A" w:rsidRDefault="00810B3D" w14:paraId="2C8E2412" w14:textId="77777777">
      <w:pPr>
        <w:rPr>
          <w:color w:val="000000" w:themeColor="text1"/>
          <w:szCs w:val="24"/>
        </w:rPr>
      </w:pPr>
      <w:r w:rsidRPr="00810B3D">
        <w:rPr>
          <w:color w:val="000000" w:themeColor="text1"/>
          <w:szCs w:val="24"/>
        </w:rPr>
        <w:t xml:space="preserve">        </w:t>
      </w:r>
      <w:r w:rsidRPr="00810B3D">
        <w:rPr>
          <w:noProof/>
          <w:color w:val="000000" w:themeColor="text1"/>
          <w:szCs w:val="24"/>
        </w:rPr>
        <w:drawing>
          <wp:inline distT="0" distB="0" distL="0" distR="0" wp14:anchorId="52C3BD53" wp14:editId="1F6F19E0">
            <wp:extent cx="5927835" cy="3336367"/>
            <wp:effectExtent l="0" t="0" r="0" b="0"/>
            <wp:docPr id="384783109" name="Afbeelding 1" descr="Afbeelding met lijn, Perceel, teks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783109" name="Afbeelding 1" descr="Afbeelding met lijn, Perceel, tekst, diagram&#10;&#10;Automatisch gegenereerde beschrijving"/>
                    <pic:cNvPicPr/>
                  </pic:nvPicPr>
                  <pic:blipFill>
                    <a:blip r:embed="rId7"/>
                    <a:stretch>
                      <a:fillRect/>
                    </a:stretch>
                  </pic:blipFill>
                  <pic:spPr>
                    <a:xfrm>
                      <a:off x="0" y="0"/>
                      <a:ext cx="5939331" cy="3342837"/>
                    </a:xfrm>
                    <a:prstGeom prst="rect">
                      <a:avLst/>
                    </a:prstGeom>
                  </pic:spPr>
                </pic:pic>
              </a:graphicData>
            </a:graphic>
          </wp:inline>
        </w:drawing>
      </w:r>
    </w:p>
    <w:p w:rsidRPr="00810B3D" w:rsidR="00810B3D" w:rsidP="0070413A" w:rsidRDefault="00810B3D" w14:paraId="640A8F25" w14:textId="77777777">
      <w:pPr>
        <w:pStyle w:val="Geenafstand"/>
        <w:spacing w:line="240" w:lineRule="auto"/>
        <w:rPr>
          <w:rStyle w:val="Nadruk"/>
          <w:rFonts w:ascii="Times New Roman" w:hAnsi="Times New Roman" w:cs="Times New Roman"/>
          <w:color w:val="000000" w:themeColor="text1"/>
        </w:rPr>
      </w:pPr>
      <w:r w:rsidRPr="00810B3D">
        <w:rPr>
          <w:rStyle w:val="Nadruk"/>
          <w:rFonts w:ascii="Times New Roman" w:hAnsi="Times New Roman" w:cs="Times New Roman"/>
          <w:color w:val="000000" w:themeColor="text1"/>
        </w:rPr>
        <w:t xml:space="preserve">      </w:t>
      </w:r>
    </w:p>
    <w:p w:rsidRPr="00810B3D" w:rsidR="00810B3D" w:rsidP="0070413A" w:rsidRDefault="00810B3D" w14:paraId="042258A9" w14:textId="77777777">
      <w:pPr>
        <w:pStyle w:val="Geenafstand"/>
        <w:spacing w:line="240" w:lineRule="auto"/>
        <w:rPr>
          <w:rStyle w:val="Nadruk"/>
          <w:rFonts w:ascii="Times New Roman" w:hAnsi="Times New Roman" w:cs="Times New Roman"/>
          <w:color w:val="000000" w:themeColor="text1"/>
        </w:rPr>
      </w:pPr>
    </w:p>
    <w:p w:rsidRPr="00810B3D" w:rsidR="00810B3D" w:rsidP="0070413A" w:rsidRDefault="00810B3D" w14:paraId="34AFF32F" w14:textId="77777777">
      <w:pPr>
        <w:pStyle w:val="Geenafstand"/>
        <w:spacing w:line="240" w:lineRule="auto"/>
        <w:jc w:val="right"/>
        <w:rPr>
          <w:rStyle w:val="Nadruk"/>
          <w:rFonts w:ascii="Times New Roman" w:hAnsi="Times New Roman" w:cs="Times New Roman"/>
          <w:color w:val="000000" w:themeColor="text1"/>
        </w:rPr>
      </w:pPr>
      <w:r w:rsidRPr="00810B3D">
        <w:rPr>
          <w:rStyle w:val="Nadruk"/>
          <w:rFonts w:ascii="Times New Roman" w:hAnsi="Times New Roman" w:cs="Times New Roman"/>
          <w:color w:val="000000" w:themeColor="text1"/>
        </w:rPr>
        <w:t xml:space="preserve">Figuur 1: de schuldquote van de Nederlandse overheid in de afgelopen 200 jaar </w:t>
      </w:r>
    </w:p>
    <w:p w:rsidRPr="00810B3D" w:rsidR="00810B3D" w:rsidP="0070413A" w:rsidRDefault="00810B3D" w14:paraId="5D1116DB" w14:textId="77777777">
      <w:pPr>
        <w:pStyle w:val="Geenafstand"/>
        <w:spacing w:line="240" w:lineRule="auto"/>
        <w:rPr>
          <w:rStyle w:val="Nadruk"/>
          <w:rFonts w:ascii="Times New Roman" w:hAnsi="Times New Roman" w:cs="Times New Roman"/>
          <w:color w:val="000000" w:themeColor="text1"/>
        </w:rPr>
      </w:pPr>
    </w:p>
    <w:p w:rsidRPr="00810B3D" w:rsidR="00810B3D" w:rsidP="0070413A" w:rsidRDefault="00810B3D" w14:paraId="73A6C604" w14:textId="77777777">
      <w:pPr>
        <w:pStyle w:val="Geenafstand"/>
        <w:spacing w:line="240" w:lineRule="auto"/>
        <w:rPr>
          <w:rStyle w:val="Nadruk"/>
          <w:rFonts w:ascii="Times New Roman" w:hAnsi="Times New Roman" w:cs="Times New Roman"/>
          <w:color w:val="000000" w:themeColor="text1"/>
        </w:rPr>
      </w:pPr>
    </w:p>
    <w:p w:rsidRPr="00810B3D" w:rsidR="00810B3D" w:rsidP="0070413A" w:rsidRDefault="00810B3D" w14:paraId="60078E53" w14:textId="77777777">
      <w:pPr>
        <w:rPr>
          <w:color w:val="000000" w:themeColor="text1"/>
          <w:szCs w:val="24"/>
        </w:rPr>
      </w:pPr>
    </w:p>
    <w:p w:rsidRPr="00810B3D" w:rsidR="00810B3D" w:rsidP="0070413A" w:rsidRDefault="00810B3D" w14:paraId="1CEBDE32" w14:textId="77777777">
      <w:pPr>
        <w:rPr>
          <w:color w:val="000000" w:themeColor="text1"/>
          <w:szCs w:val="24"/>
        </w:rPr>
      </w:pPr>
      <w:r w:rsidRPr="00810B3D">
        <w:rPr>
          <w:noProof/>
          <w:color w:val="000000" w:themeColor="text1"/>
          <w:szCs w:val="24"/>
        </w:rPr>
        <w:lastRenderedPageBreak/>
        <w:drawing>
          <wp:inline distT="0" distB="0" distL="0" distR="0" wp14:anchorId="35D8474A" wp14:editId="044064DF">
            <wp:extent cx="5760720" cy="3279140"/>
            <wp:effectExtent l="0" t="0" r="0" b="0"/>
            <wp:docPr id="704453281" name="Afbeelding 1" descr="Afbeelding met lijn, Perceel, diagram, hell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453281" name="Afbeelding 1" descr="Afbeelding met lijn, Perceel, diagram, helling&#10;&#10;Automatisch gegenereerde beschrijving"/>
                    <pic:cNvPicPr/>
                  </pic:nvPicPr>
                  <pic:blipFill>
                    <a:blip r:embed="rId8"/>
                    <a:stretch>
                      <a:fillRect/>
                    </a:stretch>
                  </pic:blipFill>
                  <pic:spPr>
                    <a:xfrm>
                      <a:off x="0" y="0"/>
                      <a:ext cx="5760720" cy="3279140"/>
                    </a:xfrm>
                    <a:prstGeom prst="rect">
                      <a:avLst/>
                    </a:prstGeom>
                  </pic:spPr>
                </pic:pic>
              </a:graphicData>
            </a:graphic>
          </wp:inline>
        </w:drawing>
      </w:r>
    </w:p>
    <w:p w:rsidRPr="00810B3D" w:rsidR="00810B3D" w:rsidP="0070413A" w:rsidRDefault="00810B3D" w14:paraId="1FB7E80D" w14:textId="1DFCCA6A">
      <w:pPr>
        <w:pStyle w:val="Geenafstand"/>
        <w:spacing w:line="240" w:lineRule="auto"/>
        <w:jc w:val="right"/>
        <w:rPr>
          <w:rStyle w:val="Nadruk"/>
          <w:rFonts w:ascii="Times New Roman" w:hAnsi="Times New Roman" w:cs="Times New Roman"/>
          <w:color w:val="000000" w:themeColor="text1"/>
        </w:rPr>
      </w:pPr>
      <w:r w:rsidRPr="00810B3D">
        <w:rPr>
          <w:rFonts w:ascii="Times New Roman" w:hAnsi="Times New Roman" w:cs="Times New Roman"/>
          <w:i/>
          <w:iCs/>
          <w:color w:val="000000" w:themeColor="text1"/>
        </w:rPr>
        <w:t>Figuur 2:</w:t>
      </w:r>
      <w:r w:rsidRPr="00810B3D">
        <w:rPr>
          <w:rStyle w:val="Nadruk"/>
          <w:rFonts w:ascii="Times New Roman" w:hAnsi="Times New Roman" w:cs="Times New Roman"/>
          <w:color w:val="000000" w:themeColor="text1"/>
        </w:rPr>
        <w:t xml:space="preserve">  de schuldquote van de Nederlandse overheid in de afgelopen 18 jaar. (bron: CBS Statline) </w:t>
      </w:r>
    </w:p>
    <w:p w:rsidRPr="00810B3D" w:rsidR="00084CF1" w:rsidP="0070413A" w:rsidRDefault="00084CF1" w14:paraId="2FA03E89" w14:textId="77777777">
      <w:pPr>
        <w:pStyle w:val="Geenafstand"/>
        <w:spacing w:line="240" w:lineRule="auto"/>
        <w:rPr>
          <w:rStyle w:val="Nadruk"/>
          <w:rFonts w:ascii="Times New Roman" w:hAnsi="Times New Roman" w:cs="Times New Roman"/>
          <w:b/>
          <w:bCs/>
          <w:i w:val="0"/>
          <w:iCs w:val="0"/>
          <w:color w:val="000000" w:themeColor="text1"/>
        </w:rPr>
      </w:pPr>
    </w:p>
    <w:p w:rsidRPr="00810B3D" w:rsidR="00810B3D" w:rsidP="0070413A" w:rsidRDefault="00810B3D" w14:paraId="4F469566" w14:textId="06E36EFD">
      <w:pPr>
        <w:pStyle w:val="Geenafstand"/>
        <w:spacing w:line="240" w:lineRule="auto"/>
        <w:rPr>
          <w:rStyle w:val="Nadruk"/>
          <w:rFonts w:ascii="Times New Roman" w:hAnsi="Times New Roman" w:cs="Times New Roman"/>
          <w:i w:val="0"/>
          <w:iCs w:val="0"/>
          <w:color w:val="000000" w:themeColor="text1"/>
        </w:rPr>
      </w:pPr>
      <w:r w:rsidRPr="00810B3D">
        <w:rPr>
          <w:rStyle w:val="Nadruk"/>
          <w:rFonts w:ascii="Times New Roman" w:hAnsi="Times New Roman" w:cs="Times New Roman"/>
          <w:i w:val="0"/>
          <w:iCs w:val="0"/>
          <w:color w:val="000000" w:themeColor="text1"/>
        </w:rPr>
        <w:t xml:space="preserve">Het EMU-tekort is het verschil tussen twee grote posten: de rijksuitgaven en de rijksinkomsten. De afgelopen tien jaar was het uiteindelijke tekort meestal (veel) kleiner dan voorspeld. Zie figuur 3 en 4. </w:t>
      </w:r>
      <w:r w:rsidRPr="00810B3D">
        <w:rPr>
          <w:rStyle w:val="Nadruk"/>
          <w:rFonts w:ascii="Times New Roman" w:hAnsi="Times New Roman" w:cs="Times New Roman"/>
          <w:i w:val="0"/>
          <w:iCs w:val="0"/>
          <w:color w:val="000000" w:themeColor="text1"/>
        </w:rPr>
        <w:br/>
        <w:t xml:space="preserve">Dit laat zien dat de schatting van het tekort een systematische fout van een behoorlijke omvang bevat. </w:t>
      </w:r>
      <w:r w:rsidRPr="00810B3D">
        <w:rPr>
          <w:rStyle w:val="Nadruk"/>
          <w:rFonts w:ascii="Times New Roman" w:hAnsi="Times New Roman" w:cs="Times New Roman"/>
          <w:i w:val="0"/>
          <w:iCs w:val="0"/>
          <w:color w:val="000000" w:themeColor="text1"/>
        </w:rPr>
        <w:br/>
        <w:t xml:space="preserve">De afgelopen jaren bedroeg het verschil </w:t>
      </w:r>
      <w:r w:rsidR="00F854C4">
        <w:rPr>
          <w:rStyle w:val="Nadruk"/>
          <w:rFonts w:ascii="Times New Roman" w:hAnsi="Times New Roman" w:cs="Times New Roman"/>
          <w:i w:val="0"/>
          <w:iCs w:val="0"/>
          <w:color w:val="000000" w:themeColor="text1"/>
        </w:rPr>
        <w:t xml:space="preserve">tussen het begrote tekort </w:t>
      </w:r>
      <w:r w:rsidR="00D50258">
        <w:rPr>
          <w:rStyle w:val="Nadruk"/>
          <w:rFonts w:ascii="Times New Roman" w:hAnsi="Times New Roman" w:cs="Times New Roman"/>
          <w:i w:val="0"/>
          <w:iCs w:val="0"/>
          <w:color w:val="000000" w:themeColor="text1"/>
        </w:rPr>
        <w:t xml:space="preserve">en </w:t>
      </w:r>
      <w:r w:rsidR="000343AC">
        <w:rPr>
          <w:rStyle w:val="Nadruk"/>
          <w:rFonts w:ascii="Times New Roman" w:hAnsi="Times New Roman" w:cs="Times New Roman"/>
          <w:i w:val="0"/>
          <w:iCs w:val="0"/>
          <w:color w:val="000000" w:themeColor="text1"/>
        </w:rPr>
        <w:t xml:space="preserve">het gerealiseerde tekort </w:t>
      </w:r>
      <w:r w:rsidRPr="00810B3D">
        <w:rPr>
          <w:rStyle w:val="Nadruk"/>
          <w:rFonts w:ascii="Times New Roman" w:hAnsi="Times New Roman" w:cs="Times New Roman"/>
          <w:i w:val="0"/>
          <w:iCs w:val="0"/>
          <w:color w:val="000000" w:themeColor="text1"/>
        </w:rPr>
        <w:t xml:space="preserve">meer dan 20 miljard euro. </w:t>
      </w:r>
    </w:p>
    <w:p w:rsidRPr="00810B3D" w:rsidR="00810B3D" w:rsidP="0070413A" w:rsidRDefault="00810B3D" w14:paraId="61DE4457" w14:textId="77777777">
      <w:pPr>
        <w:rPr>
          <w:color w:val="000000" w:themeColor="text1"/>
          <w:szCs w:val="24"/>
        </w:rPr>
      </w:pPr>
    </w:p>
    <w:tbl>
      <w:tblPr>
        <w:tblStyle w:val="Tabelraster"/>
        <w:tblW w:w="0" w:type="auto"/>
        <w:tblLook w:val="04A0" w:firstRow="1" w:lastRow="0" w:firstColumn="1" w:lastColumn="0" w:noHBand="0" w:noVBand="1"/>
      </w:tblPr>
      <w:tblGrid>
        <w:gridCol w:w="1680"/>
        <w:gridCol w:w="1920"/>
        <w:gridCol w:w="1843"/>
        <w:gridCol w:w="1938"/>
        <w:gridCol w:w="1681"/>
      </w:tblGrid>
      <w:tr w:rsidRPr="00810B3D" w:rsidR="000343AC" w:rsidTr="00D240BB" w14:paraId="2F088D73" w14:textId="4632A00C">
        <w:tc>
          <w:tcPr>
            <w:tcW w:w="1680" w:type="dxa"/>
          </w:tcPr>
          <w:p w:rsidRPr="00810B3D" w:rsidR="000343AC" w:rsidP="0070413A" w:rsidRDefault="000343AC" w14:paraId="26F0B917" w14:textId="77777777">
            <w:pPr>
              <w:rPr>
                <w:b/>
                <w:bCs/>
                <w:color w:val="000000" w:themeColor="text1"/>
                <w:szCs w:val="24"/>
              </w:rPr>
            </w:pPr>
          </w:p>
        </w:tc>
        <w:tc>
          <w:tcPr>
            <w:tcW w:w="1920" w:type="dxa"/>
          </w:tcPr>
          <w:p w:rsidRPr="00810B3D" w:rsidR="000343AC" w:rsidP="0070413A" w:rsidRDefault="000343AC" w14:paraId="7BF96804" w14:textId="77777777">
            <w:pPr>
              <w:rPr>
                <w:b/>
                <w:bCs/>
                <w:color w:val="000000" w:themeColor="text1"/>
                <w:szCs w:val="24"/>
              </w:rPr>
            </w:pPr>
            <w:r w:rsidRPr="00810B3D">
              <w:rPr>
                <w:b/>
                <w:bCs/>
                <w:color w:val="000000" w:themeColor="text1"/>
                <w:szCs w:val="24"/>
              </w:rPr>
              <w:t>Tekort Miljoenennota</w:t>
            </w:r>
          </w:p>
        </w:tc>
        <w:tc>
          <w:tcPr>
            <w:tcW w:w="1843" w:type="dxa"/>
          </w:tcPr>
          <w:p w:rsidRPr="00810B3D" w:rsidR="000343AC" w:rsidP="0070413A" w:rsidRDefault="000343AC" w14:paraId="2A18584B" w14:textId="2E32A1BE">
            <w:pPr>
              <w:rPr>
                <w:b/>
                <w:bCs/>
                <w:color w:val="000000" w:themeColor="text1"/>
                <w:szCs w:val="24"/>
              </w:rPr>
            </w:pPr>
            <w:r w:rsidRPr="00810B3D">
              <w:rPr>
                <w:b/>
                <w:bCs/>
                <w:color w:val="000000" w:themeColor="text1"/>
                <w:szCs w:val="24"/>
              </w:rPr>
              <w:t>Tekort jaarverslag</w:t>
            </w:r>
          </w:p>
        </w:tc>
        <w:tc>
          <w:tcPr>
            <w:tcW w:w="1938" w:type="dxa"/>
          </w:tcPr>
          <w:p w:rsidRPr="00810B3D" w:rsidR="000343AC" w:rsidP="0070413A" w:rsidRDefault="000343AC" w14:paraId="02FFEBDF" w14:textId="440441C1">
            <w:pPr>
              <w:rPr>
                <w:b/>
                <w:bCs/>
                <w:color w:val="000000" w:themeColor="text1"/>
                <w:szCs w:val="24"/>
              </w:rPr>
            </w:pPr>
            <w:r w:rsidRPr="00810B3D">
              <w:rPr>
                <w:b/>
                <w:bCs/>
                <w:color w:val="000000" w:themeColor="text1"/>
                <w:szCs w:val="24"/>
              </w:rPr>
              <w:t>Verschil</w:t>
            </w:r>
            <w:r>
              <w:rPr>
                <w:b/>
                <w:bCs/>
                <w:color w:val="000000" w:themeColor="text1"/>
                <w:szCs w:val="24"/>
              </w:rPr>
              <w:br/>
              <w:t>(in procenten)</w:t>
            </w:r>
          </w:p>
        </w:tc>
        <w:tc>
          <w:tcPr>
            <w:tcW w:w="1681" w:type="dxa"/>
          </w:tcPr>
          <w:p w:rsidRPr="00810B3D" w:rsidR="000343AC" w:rsidP="0070413A" w:rsidRDefault="000343AC" w14:paraId="1F32BEA2" w14:textId="6773B5B6">
            <w:pPr>
              <w:rPr>
                <w:b/>
                <w:bCs/>
                <w:color w:val="000000" w:themeColor="text1"/>
                <w:szCs w:val="24"/>
              </w:rPr>
            </w:pPr>
            <w:r>
              <w:rPr>
                <w:b/>
                <w:bCs/>
                <w:color w:val="000000" w:themeColor="text1"/>
                <w:szCs w:val="24"/>
              </w:rPr>
              <w:t>Verschil</w:t>
            </w:r>
            <w:r>
              <w:rPr>
                <w:b/>
                <w:bCs/>
                <w:color w:val="000000" w:themeColor="text1"/>
                <w:szCs w:val="24"/>
              </w:rPr>
              <w:br/>
              <w:t>(</w:t>
            </w:r>
            <w:r w:rsidR="00D240BB">
              <w:rPr>
                <w:b/>
                <w:bCs/>
                <w:color w:val="000000" w:themeColor="text1"/>
                <w:szCs w:val="24"/>
              </w:rPr>
              <w:t>m</w:t>
            </w:r>
            <w:r>
              <w:rPr>
                <w:b/>
                <w:bCs/>
                <w:color w:val="000000" w:themeColor="text1"/>
                <w:szCs w:val="24"/>
              </w:rPr>
              <w:t>iljarden euro)</w:t>
            </w:r>
          </w:p>
        </w:tc>
      </w:tr>
      <w:tr w:rsidRPr="00810B3D" w:rsidR="000343AC" w:rsidTr="00D240BB" w14:paraId="4C3630F0" w14:textId="654E15FF">
        <w:tc>
          <w:tcPr>
            <w:tcW w:w="1680" w:type="dxa"/>
          </w:tcPr>
          <w:p w:rsidRPr="00810B3D" w:rsidR="000343AC" w:rsidP="0070413A" w:rsidRDefault="000343AC" w14:paraId="76273A89" w14:textId="77777777">
            <w:pPr>
              <w:rPr>
                <w:b/>
                <w:bCs/>
                <w:color w:val="000000" w:themeColor="text1"/>
                <w:szCs w:val="24"/>
              </w:rPr>
            </w:pPr>
            <w:r w:rsidRPr="00810B3D">
              <w:rPr>
                <w:b/>
                <w:bCs/>
                <w:color w:val="000000" w:themeColor="text1"/>
                <w:szCs w:val="24"/>
              </w:rPr>
              <w:t>2015</w:t>
            </w:r>
          </w:p>
        </w:tc>
        <w:tc>
          <w:tcPr>
            <w:tcW w:w="1920" w:type="dxa"/>
          </w:tcPr>
          <w:p w:rsidRPr="00810B3D" w:rsidR="000343AC" w:rsidP="0070413A" w:rsidRDefault="000343AC" w14:paraId="59FD8EBB" w14:textId="77777777">
            <w:pPr>
              <w:rPr>
                <w:color w:val="000000" w:themeColor="text1"/>
                <w:szCs w:val="24"/>
              </w:rPr>
            </w:pPr>
            <w:r w:rsidRPr="00810B3D">
              <w:rPr>
                <w:color w:val="000000" w:themeColor="text1"/>
                <w:szCs w:val="24"/>
              </w:rPr>
              <w:t>-2,2%</w:t>
            </w:r>
          </w:p>
        </w:tc>
        <w:tc>
          <w:tcPr>
            <w:tcW w:w="1843" w:type="dxa"/>
          </w:tcPr>
          <w:p w:rsidRPr="00810B3D" w:rsidR="000343AC" w:rsidP="0070413A" w:rsidRDefault="000343AC" w14:paraId="6F598A9A" w14:textId="77777777">
            <w:pPr>
              <w:rPr>
                <w:color w:val="000000" w:themeColor="text1"/>
                <w:szCs w:val="24"/>
              </w:rPr>
            </w:pPr>
            <w:r w:rsidRPr="00810B3D">
              <w:rPr>
                <w:color w:val="000000" w:themeColor="text1"/>
                <w:szCs w:val="24"/>
              </w:rPr>
              <w:t>-1,8%</w:t>
            </w:r>
          </w:p>
        </w:tc>
        <w:tc>
          <w:tcPr>
            <w:tcW w:w="1938" w:type="dxa"/>
          </w:tcPr>
          <w:p w:rsidRPr="00810B3D" w:rsidR="000343AC" w:rsidP="0070413A" w:rsidRDefault="000343AC" w14:paraId="59271AA6" w14:textId="77777777">
            <w:pPr>
              <w:rPr>
                <w:color w:val="000000" w:themeColor="text1"/>
                <w:szCs w:val="24"/>
              </w:rPr>
            </w:pPr>
            <w:r w:rsidRPr="00810B3D">
              <w:rPr>
                <w:color w:val="000000" w:themeColor="text1"/>
                <w:szCs w:val="24"/>
              </w:rPr>
              <w:t>0,4%</w:t>
            </w:r>
          </w:p>
        </w:tc>
        <w:tc>
          <w:tcPr>
            <w:tcW w:w="1681" w:type="dxa"/>
          </w:tcPr>
          <w:p w:rsidRPr="00810B3D" w:rsidR="000343AC" w:rsidP="0070413A" w:rsidRDefault="0066399C" w14:paraId="7FAEBBBD" w14:textId="61EB5A8C">
            <w:pPr>
              <w:rPr>
                <w:color w:val="000000" w:themeColor="text1"/>
                <w:szCs w:val="24"/>
              </w:rPr>
            </w:pPr>
            <w:r>
              <w:rPr>
                <w:color w:val="000000" w:themeColor="text1"/>
                <w:szCs w:val="24"/>
              </w:rPr>
              <w:t>2,2</w:t>
            </w:r>
          </w:p>
        </w:tc>
      </w:tr>
      <w:tr w:rsidRPr="00810B3D" w:rsidR="000343AC" w:rsidTr="00D240BB" w14:paraId="33A4B946" w14:textId="5113EB45">
        <w:tc>
          <w:tcPr>
            <w:tcW w:w="1680" w:type="dxa"/>
          </w:tcPr>
          <w:p w:rsidRPr="00810B3D" w:rsidR="000343AC" w:rsidP="0070413A" w:rsidRDefault="000343AC" w14:paraId="560050D6" w14:textId="77777777">
            <w:pPr>
              <w:rPr>
                <w:b/>
                <w:bCs/>
                <w:color w:val="000000" w:themeColor="text1"/>
                <w:szCs w:val="24"/>
              </w:rPr>
            </w:pPr>
            <w:r w:rsidRPr="00810B3D">
              <w:rPr>
                <w:b/>
                <w:bCs/>
                <w:color w:val="000000" w:themeColor="text1"/>
                <w:szCs w:val="24"/>
              </w:rPr>
              <w:t>2016</w:t>
            </w:r>
          </w:p>
        </w:tc>
        <w:tc>
          <w:tcPr>
            <w:tcW w:w="1920" w:type="dxa"/>
          </w:tcPr>
          <w:p w:rsidRPr="00810B3D" w:rsidR="000343AC" w:rsidP="0070413A" w:rsidRDefault="000343AC" w14:paraId="6529FFED" w14:textId="77777777">
            <w:pPr>
              <w:rPr>
                <w:color w:val="000000" w:themeColor="text1"/>
                <w:szCs w:val="24"/>
              </w:rPr>
            </w:pPr>
            <w:r w:rsidRPr="00810B3D">
              <w:rPr>
                <w:color w:val="000000" w:themeColor="text1"/>
                <w:szCs w:val="24"/>
              </w:rPr>
              <w:t>-1,5%</w:t>
            </w:r>
          </w:p>
        </w:tc>
        <w:tc>
          <w:tcPr>
            <w:tcW w:w="1843" w:type="dxa"/>
          </w:tcPr>
          <w:p w:rsidRPr="00810B3D" w:rsidR="000343AC" w:rsidP="0070413A" w:rsidRDefault="000343AC" w14:paraId="174C0D4D" w14:textId="77777777">
            <w:pPr>
              <w:rPr>
                <w:color w:val="000000" w:themeColor="text1"/>
                <w:szCs w:val="24"/>
              </w:rPr>
            </w:pPr>
            <w:r w:rsidRPr="00810B3D">
              <w:rPr>
                <w:color w:val="000000" w:themeColor="text1"/>
                <w:szCs w:val="24"/>
              </w:rPr>
              <w:t>0,4%</w:t>
            </w:r>
          </w:p>
        </w:tc>
        <w:tc>
          <w:tcPr>
            <w:tcW w:w="1938" w:type="dxa"/>
          </w:tcPr>
          <w:p w:rsidRPr="00810B3D" w:rsidR="000343AC" w:rsidP="0070413A" w:rsidRDefault="000343AC" w14:paraId="5BA71385" w14:textId="77777777">
            <w:pPr>
              <w:rPr>
                <w:color w:val="000000" w:themeColor="text1"/>
                <w:szCs w:val="24"/>
              </w:rPr>
            </w:pPr>
            <w:r w:rsidRPr="00810B3D">
              <w:rPr>
                <w:color w:val="000000" w:themeColor="text1"/>
                <w:szCs w:val="24"/>
              </w:rPr>
              <w:t>1,9%</w:t>
            </w:r>
          </w:p>
        </w:tc>
        <w:tc>
          <w:tcPr>
            <w:tcW w:w="1681" w:type="dxa"/>
          </w:tcPr>
          <w:p w:rsidRPr="00810B3D" w:rsidR="000343AC" w:rsidP="0070413A" w:rsidRDefault="00A326DD" w14:paraId="043598FA" w14:textId="161A1642">
            <w:pPr>
              <w:rPr>
                <w:color w:val="000000" w:themeColor="text1"/>
                <w:szCs w:val="24"/>
              </w:rPr>
            </w:pPr>
            <w:r>
              <w:rPr>
                <w:color w:val="000000" w:themeColor="text1"/>
                <w:szCs w:val="24"/>
              </w:rPr>
              <w:t>13,5</w:t>
            </w:r>
          </w:p>
        </w:tc>
      </w:tr>
      <w:tr w:rsidRPr="00810B3D" w:rsidR="000343AC" w:rsidTr="00D240BB" w14:paraId="0090C569" w14:textId="4EF033AA">
        <w:tc>
          <w:tcPr>
            <w:tcW w:w="1680" w:type="dxa"/>
          </w:tcPr>
          <w:p w:rsidRPr="00810B3D" w:rsidR="000343AC" w:rsidP="0070413A" w:rsidRDefault="000343AC" w14:paraId="516471BE" w14:textId="77777777">
            <w:pPr>
              <w:rPr>
                <w:b/>
                <w:bCs/>
                <w:color w:val="000000" w:themeColor="text1"/>
                <w:szCs w:val="24"/>
              </w:rPr>
            </w:pPr>
            <w:r w:rsidRPr="00810B3D">
              <w:rPr>
                <w:b/>
                <w:bCs/>
                <w:color w:val="000000" w:themeColor="text1"/>
                <w:szCs w:val="24"/>
              </w:rPr>
              <w:t>2017</w:t>
            </w:r>
          </w:p>
        </w:tc>
        <w:tc>
          <w:tcPr>
            <w:tcW w:w="1920" w:type="dxa"/>
          </w:tcPr>
          <w:p w:rsidRPr="00810B3D" w:rsidR="000343AC" w:rsidP="0070413A" w:rsidRDefault="000343AC" w14:paraId="156C7286" w14:textId="77777777">
            <w:pPr>
              <w:rPr>
                <w:color w:val="000000" w:themeColor="text1"/>
                <w:szCs w:val="24"/>
              </w:rPr>
            </w:pPr>
            <w:r w:rsidRPr="00810B3D">
              <w:rPr>
                <w:color w:val="000000" w:themeColor="text1"/>
                <w:szCs w:val="24"/>
              </w:rPr>
              <w:t>-0,5%</w:t>
            </w:r>
          </w:p>
        </w:tc>
        <w:tc>
          <w:tcPr>
            <w:tcW w:w="1843" w:type="dxa"/>
          </w:tcPr>
          <w:p w:rsidRPr="00810B3D" w:rsidR="000343AC" w:rsidP="0070413A" w:rsidRDefault="000343AC" w14:paraId="7C7232C0" w14:textId="77777777">
            <w:pPr>
              <w:rPr>
                <w:color w:val="000000" w:themeColor="text1"/>
                <w:szCs w:val="24"/>
              </w:rPr>
            </w:pPr>
            <w:r w:rsidRPr="00810B3D">
              <w:rPr>
                <w:color w:val="000000" w:themeColor="text1"/>
                <w:szCs w:val="24"/>
              </w:rPr>
              <w:t>1,1%</w:t>
            </w:r>
          </w:p>
        </w:tc>
        <w:tc>
          <w:tcPr>
            <w:tcW w:w="1938" w:type="dxa"/>
          </w:tcPr>
          <w:p w:rsidRPr="00810B3D" w:rsidR="000343AC" w:rsidP="0070413A" w:rsidRDefault="000343AC" w14:paraId="4411F92B" w14:textId="77777777">
            <w:pPr>
              <w:rPr>
                <w:color w:val="000000" w:themeColor="text1"/>
                <w:szCs w:val="24"/>
              </w:rPr>
            </w:pPr>
            <w:r w:rsidRPr="00810B3D">
              <w:rPr>
                <w:color w:val="000000" w:themeColor="text1"/>
                <w:szCs w:val="24"/>
              </w:rPr>
              <w:t>1,6%</w:t>
            </w:r>
          </w:p>
        </w:tc>
        <w:tc>
          <w:tcPr>
            <w:tcW w:w="1681" w:type="dxa"/>
          </w:tcPr>
          <w:p w:rsidRPr="00810B3D" w:rsidR="000343AC" w:rsidP="0070413A" w:rsidRDefault="00F90BCE" w14:paraId="6FFAEEC0" w14:textId="70163AA2">
            <w:pPr>
              <w:rPr>
                <w:color w:val="000000" w:themeColor="text1"/>
                <w:szCs w:val="24"/>
              </w:rPr>
            </w:pPr>
            <w:r>
              <w:rPr>
                <w:color w:val="000000" w:themeColor="text1"/>
                <w:szCs w:val="24"/>
              </w:rPr>
              <w:t>11,3</w:t>
            </w:r>
          </w:p>
        </w:tc>
      </w:tr>
      <w:tr w:rsidRPr="00810B3D" w:rsidR="000343AC" w:rsidTr="00D240BB" w14:paraId="095E334B" w14:textId="50292F01">
        <w:tc>
          <w:tcPr>
            <w:tcW w:w="1680" w:type="dxa"/>
          </w:tcPr>
          <w:p w:rsidRPr="00810B3D" w:rsidR="000343AC" w:rsidP="0070413A" w:rsidRDefault="000343AC" w14:paraId="4CF1F801" w14:textId="77777777">
            <w:pPr>
              <w:rPr>
                <w:b/>
                <w:bCs/>
                <w:color w:val="000000" w:themeColor="text1"/>
                <w:szCs w:val="24"/>
              </w:rPr>
            </w:pPr>
            <w:r w:rsidRPr="00810B3D">
              <w:rPr>
                <w:b/>
                <w:bCs/>
                <w:color w:val="000000" w:themeColor="text1"/>
                <w:szCs w:val="24"/>
              </w:rPr>
              <w:t>2018</w:t>
            </w:r>
          </w:p>
        </w:tc>
        <w:tc>
          <w:tcPr>
            <w:tcW w:w="1920" w:type="dxa"/>
          </w:tcPr>
          <w:p w:rsidRPr="00810B3D" w:rsidR="000343AC" w:rsidP="0070413A" w:rsidRDefault="000343AC" w14:paraId="79C4144E" w14:textId="5D0EF017">
            <w:pPr>
              <w:rPr>
                <w:color w:val="000000" w:themeColor="text1"/>
                <w:szCs w:val="24"/>
              </w:rPr>
            </w:pPr>
            <w:r w:rsidRPr="00810B3D">
              <w:rPr>
                <w:color w:val="000000" w:themeColor="text1"/>
                <w:szCs w:val="24"/>
              </w:rPr>
              <w:t>0,</w:t>
            </w:r>
            <w:r w:rsidR="005E7201">
              <w:rPr>
                <w:color w:val="000000" w:themeColor="text1"/>
                <w:szCs w:val="24"/>
              </w:rPr>
              <w:t>5</w:t>
            </w:r>
            <w:r w:rsidRPr="00810B3D">
              <w:rPr>
                <w:color w:val="000000" w:themeColor="text1"/>
                <w:szCs w:val="24"/>
              </w:rPr>
              <w:t>%</w:t>
            </w:r>
          </w:p>
        </w:tc>
        <w:tc>
          <w:tcPr>
            <w:tcW w:w="1843" w:type="dxa"/>
          </w:tcPr>
          <w:p w:rsidRPr="00810B3D" w:rsidR="000343AC" w:rsidP="0070413A" w:rsidRDefault="000343AC" w14:paraId="724BE6C0" w14:textId="77777777">
            <w:pPr>
              <w:rPr>
                <w:color w:val="000000" w:themeColor="text1"/>
                <w:szCs w:val="24"/>
              </w:rPr>
            </w:pPr>
            <w:r w:rsidRPr="00810B3D">
              <w:rPr>
                <w:color w:val="000000" w:themeColor="text1"/>
                <w:szCs w:val="24"/>
              </w:rPr>
              <w:t>1,5%</w:t>
            </w:r>
          </w:p>
        </w:tc>
        <w:tc>
          <w:tcPr>
            <w:tcW w:w="1938" w:type="dxa"/>
          </w:tcPr>
          <w:p w:rsidRPr="00810B3D" w:rsidR="000343AC" w:rsidP="0070413A" w:rsidRDefault="005E7201" w14:paraId="64E03BAC" w14:textId="211D8E8E">
            <w:pPr>
              <w:rPr>
                <w:color w:val="000000" w:themeColor="text1"/>
                <w:szCs w:val="24"/>
              </w:rPr>
            </w:pPr>
            <w:r>
              <w:rPr>
                <w:color w:val="000000" w:themeColor="text1"/>
                <w:szCs w:val="24"/>
              </w:rPr>
              <w:t>1,0</w:t>
            </w:r>
            <w:r w:rsidRPr="00810B3D" w:rsidR="000343AC">
              <w:rPr>
                <w:color w:val="000000" w:themeColor="text1"/>
                <w:szCs w:val="24"/>
              </w:rPr>
              <w:t>%</w:t>
            </w:r>
          </w:p>
        </w:tc>
        <w:tc>
          <w:tcPr>
            <w:tcW w:w="1681" w:type="dxa"/>
          </w:tcPr>
          <w:p w:rsidRPr="00810B3D" w:rsidR="000343AC" w:rsidP="0070413A" w:rsidRDefault="00BA307C" w14:paraId="56FD0CC2" w14:textId="25B5D182">
            <w:pPr>
              <w:rPr>
                <w:color w:val="000000" w:themeColor="text1"/>
                <w:szCs w:val="24"/>
              </w:rPr>
            </w:pPr>
            <w:r>
              <w:rPr>
                <w:color w:val="000000" w:themeColor="text1"/>
                <w:szCs w:val="24"/>
              </w:rPr>
              <w:t>7,8</w:t>
            </w:r>
          </w:p>
        </w:tc>
      </w:tr>
      <w:tr w:rsidRPr="00810B3D" w:rsidR="000343AC" w:rsidTr="00D240BB" w14:paraId="4821D5B2" w14:textId="68584A2D">
        <w:tc>
          <w:tcPr>
            <w:tcW w:w="1680" w:type="dxa"/>
          </w:tcPr>
          <w:p w:rsidRPr="00810B3D" w:rsidR="000343AC" w:rsidP="0070413A" w:rsidRDefault="000343AC" w14:paraId="7DE276BF" w14:textId="77777777">
            <w:pPr>
              <w:rPr>
                <w:b/>
                <w:bCs/>
                <w:color w:val="000000" w:themeColor="text1"/>
                <w:szCs w:val="24"/>
              </w:rPr>
            </w:pPr>
            <w:r w:rsidRPr="00810B3D">
              <w:rPr>
                <w:b/>
                <w:bCs/>
                <w:color w:val="000000" w:themeColor="text1"/>
                <w:szCs w:val="24"/>
              </w:rPr>
              <w:t>2019</w:t>
            </w:r>
          </w:p>
        </w:tc>
        <w:tc>
          <w:tcPr>
            <w:tcW w:w="1920" w:type="dxa"/>
          </w:tcPr>
          <w:p w:rsidRPr="00810B3D" w:rsidR="000343AC" w:rsidP="0070413A" w:rsidRDefault="000343AC" w14:paraId="73F2678F" w14:textId="77777777">
            <w:pPr>
              <w:rPr>
                <w:color w:val="000000" w:themeColor="text1"/>
                <w:szCs w:val="24"/>
              </w:rPr>
            </w:pPr>
            <w:r w:rsidRPr="00810B3D">
              <w:rPr>
                <w:color w:val="000000" w:themeColor="text1"/>
                <w:szCs w:val="24"/>
              </w:rPr>
              <w:t>1,0%</w:t>
            </w:r>
          </w:p>
        </w:tc>
        <w:tc>
          <w:tcPr>
            <w:tcW w:w="1843" w:type="dxa"/>
          </w:tcPr>
          <w:p w:rsidRPr="00810B3D" w:rsidR="000343AC" w:rsidP="0070413A" w:rsidRDefault="000343AC" w14:paraId="357BC1A0" w14:textId="05F29C28">
            <w:pPr>
              <w:rPr>
                <w:color w:val="000000" w:themeColor="text1"/>
                <w:szCs w:val="24"/>
              </w:rPr>
            </w:pPr>
            <w:r w:rsidRPr="00810B3D">
              <w:rPr>
                <w:color w:val="000000" w:themeColor="text1"/>
                <w:szCs w:val="24"/>
              </w:rPr>
              <w:t>1,</w:t>
            </w:r>
            <w:r w:rsidR="00931F35">
              <w:rPr>
                <w:color w:val="000000" w:themeColor="text1"/>
                <w:szCs w:val="24"/>
              </w:rPr>
              <w:t>7</w:t>
            </w:r>
            <w:r w:rsidRPr="00810B3D">
              <w:rPr>
                <w:color w:val="000000" w:themeColor="text1"/>
                <w:szCs w:val="24"/>
              </w:rPr>
              <w:t>%</w:t>
            </w:r>
          </w:p>
        </w:tc>
        <w:tc>
          <w:tcPr>
            <w:tcW w:w="1938" w:type="dxa"/>
          </w:tcPr>
          <w:p w:rsidRPr="00810B3D" w:rsidR="000343AC" w:rsidP="0070413A" w:rsidRDefault="000343AC" w14:paraId="67BFE785" w14:textId="475D5158">
            <w:pPr>
              <w:rPr>
                <w:color w:val="000000" w:themeColor="text1"/>
                <w:szCs w:val="24"/>
              </w:rPr>
            </w:pPr>
            <w:r w:rsidRPr="00810B3D">
              <w:rPr>
                <w:color w:val="000000" w:themeColor="text1"/>
                <w:szCs w:val="24"/>
              </w:rPr>
              <w:t>0,</w:t>
            </w:r>
            <w:r w:rsidR="00BC0915">
              <w:rPr>
                <w:color w:val="000000" w:themeColor="text1"/>
                <w:szCs w:val="24"/>
              </w:rPr>
              <w:t>7</w:t>
            </w:r>
            <w:r w:rsidRPr="00810B3D">
              <w:rPr>
                <w:color w:val="000000" w:themeColor="text1"/>
                <w:szCs w:val="24"/>
              </w:rPr>
              <w:t>%</w:t>
            </w:r>
          </w:p>
        </w:tc>
        <w:tc>
          <w:tcPr>
            <w:tcW w:w="1681" w:type="dxa"/>
          </w:tcPr>
          <w:p w:rsidRPr="00810B3D" w:rsidR="000343AC" w:rsidP="0070413A" w:rsidRDefault="00BC0915" w14:paraId="1E228E6B" w14:textId="68F54F43">
            <w:pPr>
              <w:rPr>
                <w:color w:val="000000" w:themeColor="text1"/>
                <w:szCs w:val="24"/>
              </w:rPr>
            </w:pPr>
            <w:r>
              <w:rPr>
                <w:color w:val="000000" w:themeColor="text1"/>
                <w:szCs w:val="24"/>
              </w:rPr>
              <w:t>5,8</w:t>
            </w:r>
          </w:p>
        </w:tc>
      </w:tr>
      <w:tr w:rsidRPr="00810B3D" w:rsidR="000343AC" w:rsidTr="00D240BB" w14:paraId="3176ACE8" w14:textId="4C5BB549">
        <w:tc>
          <w:tcPr>
            <w:tcW w:w="1680" w:type="dxa"/>
          </w:tcPr>
          <w:p w:rsidRPr="00810B3D" w:rsidR="000343AC" w:rsidP="0070413A" w:rsidRDefault="000343AC" w14:paraId="550FFB95" w14:textId="77777777">
            <w:pPr>
              <w:rPr>
                <w:b/>
                <w:bCs/>
                <w:color w:val="000000" w:themeColor="text1"/>
                <w:szCs w:val="24"/>
              </w:rPr>
            </w:pPr>
            <w:r w:rsidRPr="00810B3D">
              <w:rPr>
                <w:b/>
                <w:bCs/>
                <w:color w:val="000000" w:themeColor="text1"/>
                <w:szCs w:val="24"/>
              </w:rPr>
              <w:t>2020</w:t>
            </w:r>
          </w:p>
        </w:tc>
        <w:tc>
          <w:tcPr>
            <w:tcW w:w="1920" w:type="dxa"/>
          </w:tcPr>
          <w:p w:rsidRPr="00810B3D" w:rsidR="000343AC" w:rsidP="0070413A" w:rsidRDefault="000343AC" w14:paraId="61336EE0" w14:textId="77777777">
            <w:pPr>
              <w:rPr>
                <w:color w:val="000000" w:themeColor="text1"/>
                <w:szCs w:val="24"/>
              </w:rPr>
            </w:pPr>
            <w:r w:rsidRPr="00810B3D">
              <w:rPr>
                <w:color w:val="000000" w:themeColor="text1"/>
                <w:szCs w:val="24"/>
              </w:rPr>
              <w:t>0,2%</w:t>
            </w:r>
          </w:p>
        </w:tc>
        <w:tc>
          <w:tcPr>
            <w:tcW w:w="1843" w:type="dxa"/>
          </w:tcPr>
          <w:p w:rsidRPr="00810B3D" w:rsidR="000343AC" w:rsidP="0070413A" w:rsidRDefault="000343AC" w14:paraId="0D3168DC" w14:textId="62067A41">
            <w:pPr>
              <w:rPr>
                <w:color w:val="000000" w:themeColor="text1"/>
                <w:szCs w:val="24"/>
              </w:rPr>
            </w:pPr>
            <w:r w:rsidRPr="00810B3D">
              <w:rPr>
                <w:color w:val="000000" w:themeColor="text1"/>
                <w:szCs w:val="24"/>
              </w:rPr>
              <w:t>-</w:t>
            </w:r>
            <w:r w:rsidR="001565F6">
              <w:rPr>
                <w:color w:val="000000" w:themeColor="text1"/>
                <w:szCs w:val="24"/>
              </w:rPr>
              <w:t>4,3</w:t>
            </w:r>
            <w:r w:rsidRPr="00810B3D">
              <w:rPr>
                <w:color w:val="000000" w:themeColor="text1"/>
                <w:szCs w:val="24"/>
              </w:rPr>
              <w:t>%</w:t>
            </w:r>
          </w:p>
        </w:tc>
        <w:tc>
          <w:tcPr>
            <w:tcW w:w="1938" w:type="dxa"/>
          </w:tcPr>
          <w:p w:rsidRPr="00810B3D" w:rsidR="000343AC" w:rsidP="0070413A" w:rsidRDefault="000343AC" w14:paraId="3B907F76" w14:textId="2D8CEEEC">
            <w:pPr>
              <w:rPr>
                <w:color w:val="000000" w:themeColor="text1"/>
                <w:szCs w:val="24"/>
              </w:rPr>
            </w:pPr>
            <w:r w:rsidRPr="00810B3D">
              <w:rPr>
                <w:color w:val="000000" w:themeColor="text1"/>
                <w:szCs w:val="24"/>
              </w:rPr>
              <w:t>-</w:t>
            </w:r>
            <w:r w:rsidR="001565F6">
              <w:rPr>
                <w:color w:val="000000" w:themeColor="text1"/>
                <w:szCs w:val="24"/>
              </w:rPr>
              <w:t>4,5</w:t>
            </w:r>
            <w:r w:rsidRPr="00810B3D">
              <w:rPr>
                <w:color w:val="000000" w:themeColor="text1"/>
                <w:szCs w:val="24"/>
              </w:rPr>
              <w:t>%</w:t>
            </w:r>
          </w:p>
        </w:tc>
        <w:tc>
          <w:tcPr>
            <w:tcW w:w="1681" w:type="dxa"/>
          </w:tcPr>
          <w:p w:rsidRPr="00810B3D" w:rsidR="000343AC" w:rsidP="0070413A" w:rsidRDefault="005675E3" w14:paraId="75468583" w14:textId="12D8F087">
            <w:pPr>
              <w:rPr>
                <w:color w:val="000000" w:themeColor="text1"/>
                <w:szCs w:val="24"/>
              </w:rPr>
            </w:pPr>
            <w:r>
              <w:rPr>
                <w:color w:val="000000" w:themeColor="text1"/>
                <w:szCs w:val="24"/>
              </w:rPr>
              <w:t>35,8</w:t>
            </w:r>
          </w:p>
        </w:tc>
      </w:tr>
      <w:tr w:rsidRPr="00810B3D" w:rsidR="000343AC" w:rsidTr="00D240BB" w14:paraId="7EBC0612" w14:textId="69016494">
        <w:tc>
          <w:tcPr>
            <w:tcW w:w="1680" w:type="dxa"/>
          </w:tcPr>
          <w:p w:rsidRPr="00810B3D" w:rsidR="000343AC" w:rsidP="0070413A" w:rsidRDefault="000343AC" w14:paraId="30D40E5C" w14:textId="77777777">
            <w:pPr>
              <w:rPr>
                <w:b/>
                <w:bCs/>
                <w:color w:val="000000" w:themeColor="text1"/>
                <w:szCs w:val="24"/>
              </w:rPr>
            </w:pPr>
            <w:r w:rsidRPr="00810B3D">
              <w:rPr>
                <w:b/>
                <w:bCs/>
                <w:color w:val="000000" w:themeColor="text1"/>
                <w:szCs w:val="24"/>
              </w:rPr>
              <w:t>2021</w:t>
            </w:r>
          </w:p>
        </w:tc>
        <w:tc>
          <w:tcPr>
            <w:tcW w:w="1920" w:type="dxa"/>
          </w:tcPr>
          <w:p w:rsidRPr="00810B3D" w:rsidR="000343AC" w:rsidP="0070413A" w:rsidRDefault="000343AC" w14:paraId="52379D3D" w14:textId="77777777">
            <w:pPr>
              <w:rPr>
                <w:color w:val="000000" w:themeColor="text1"/>
                <w:szCs w:val="24"/>
              </w:rPr>
            </w:pPr>
            <w:r w:rsidRPr="00810B3D">
              <w:rPr>
                <w:color w:val="000000" w:themeColor="text1"/>
                <w:szCs w:val="24"/>
              </w:rPr>
              <w:t>-5,5%</w:t>
            </w:r>
          </w:p>
        </w:tc>
        <w:tc>
          <w:tcPr>
            <w:tcW w:w="1843" w:type="dxa"/>
          </w:tcPr>
          <w:p w:rsidRPr="00810B3D" w:rsidR="000343AC" w:rsidP="0070413A" w:rsidRDefault="000343AC" w14:paraId="3A980161" w14:textId="12B6AF60">
            <w:pPr>
              <w:rPr>
                <w:color w:val="000000" w:themeColor="text1"/>
                <w:szCs w:val="24"/>
              </w:rPr>
            </w:pPr>
            <w:r w:rsidRPr="00810B3D">
              <w:rPr>
                <w:color w:val="000000" w:themeColor="text1"/>
                <w:szCs w:val="24"/>
              </w:rPr>
              <w:t>-2,</w:t>
            </w:r>
            <w:r w:rsidR="00642802">
              <w:rPr>
                <w:color w:val="000000" w:themeColor="text1"/>
                <w:szCs w:val="24"/>
              </w:rPr>
              <w:t>5</w:t>
            </w:r>
            <w:r w:rsidRPr="00810B3D">
              <w:rPr>
                <w:color w:val="000000" w:themeColor="text1"/>
                <w:szCs w:val="24"/>
              </w:rPr>
              <w:t>%</w:t>
            </w:r>
          </w:p>
        </w:tc>
        <w:tc>
          <w:tcPr>
            <w:tcW w:w="1938" w:type="dxa"/>
          </w:tcPr>
          <w:p w:rsidRPr="00810B3D" w:rsidR="000343AC" w:rsidP="0070413A" w:rsidRDefault="00642802" w14:paraId="7479C65E" w14:textId="0572AEF9">
            <w:pPr>
              <w:rPr>
                <w:color w:val="000000" w:themeColor="text1"/>
                <w:szCs w:val="24"/>
              </w:rPr>
            </w:pPr>
            <w:r>
              <w:rPr>
                <w:color w:val="000000" w:themeColor="text1"/>
                <w:szCs w:val="24"/>
              </w:rPr>
              <w:t>2,9</w:t>
            </w:r>
            <w:r w:rsidRPr="00810B3D" w:rsidR="000343AC">
              <w:rPr>
                <w:color w:val="000000" w:themeColor="text1"/>
                <w:szCs w:val="24"/>
              </w:rPr>
              <w:t>%</w:t>
            </w:r>
          </w:p>
        </w:tc>
        <w:tc>
          <w:tcPr>
            <w:tcW w:w="1681" w:type="dxa"/>
          </w:tcPr>
          <w:p w:rsidRPr="00810B3D" w:rsidR="000343AC" w:rsidP="0070413A" w:rsidRDefault="0042227D" w14:paraId="757C7A06" w14:textId="541B02CB">
            <w:pPr>
              <w:rPr>
                <w:color w:val="000000" w:themeColor="text1"/>
                <w:szCs w:val="24"/>
              </w:rPr>
            </w:pPr>
            <w:r>
              <w:rPr>
                <w:color w:val="000000" w:themeColor="text1"/>
                <w:szCs w:val="24"/>
              </w:rPr>
              <w:t>23,0</w:t>
            </w:r>
          </w:p>
        </w:tc>
      </w:tr>
      <w:tr w:rsidRPr="00810B3D" w:rsidR="000343AC" w:rsidTr="00D240BB" w14:paraId="18466761" w14:textId="48F44FF3">
        <w:tc>
          <w:tcPr>
            <w:tcW w:w="1680" w:type="dxa"/>
          </w:tcPr>
          <w:p w:rsidRPr="00810B3D" w:rsidR="000343AC" w:rsidP="0070413A" w:rsidRDefault="000343AC" w14:paraId="0E41DF65" w14:textId="77777777">
            <w:pPr>
              <w:rPr>
                <w:b/>
                <w:bCs/>
                <w:color w:val="000000" w:themeColor="text1"/>
                <w:szCs w:val="24"/>
              </w:rPr>
            </w:pPr>
            <w:r w:rsidRPr="00810B3D">
              <w:rPr>
                <w:b/>
                <w:bCs/>
                <w:color w:val="000000" w:themeColor="text1"/>
                <w:szCs w:val="24"/>
              </w:rPr>
              <w:t>2022</w:t>
            </w:r>
          </w:p>
        </w:tc>
        <w:tc>
          <w:tcPr>
            <w:tcW w:w="1920" w:type="dxa"/>
          </w:tcPr>
          <w:p w:rsidRPr="00810B3D" w:rsidR="000343AC" w:rsidP="0070413A" w:rsidRDefault="000343AC" w14:paraId="1023ED1A" w14:textId="77777777">
            <w:pPr>
              <w:rPr>
                <w:color w:val="000000" w:themeColor="text1"/>
                <w:szCs w:val="24"/>
              </w:rPr>
            </w:pPr>
            <w:r w:rsidRPr="00810B3D">
              <w:rPr>
                <w:color w:val="000000" w:themeColor="text1"/>
                <w:szCs w:val="24"/>
              </w:rPr>
              <w:t>-2,4%</w:t>
            </w:r>
          </w:p>
        </w:tc>
        <w:tc>
          <w:tcPr>
            <w:tcW w:w="1843" w:type="dxa"/>
          </w:tcPr>
          <w:p w:rsidRPr="00810B3D" w:rsidR="000343AC" w:rsidP="0070413A" w:rsidRDefault="000343AC" w14:paraId="4D4BB5E4" w14:textId="77777777">
            <w:pPr>
              <w:rPr>
                <w:color w:val="000000" w:themeColor="text1"/>
                <w:szCs w:val="24"/>
              </w:rPr>
            </w:pPr>
            <w:r w:rsidRPr="00810B3D">
              <w:rPr>
                <w:color w:val="000000" w:themeColor="text1"/>
                <w:szCs w:val="24"/>
              </w:rPr>
              <w:t xml:space="preserve"> 0,0%</w:t>
            </w:r>
          </w:p>
        </w:tc>
        <w:tc>
          <w:tcPr>
            <w:tcW w:w="1938" w:type="dxa"/>
          </w:tcPr>
          <w:p w:rsidRPr="00810B3D" w:rsidR="000343AC" w:rsidP="0070413A" w:rsidRDefault="000343AC" w14:paraId="6C8DD58D" w14:textId="77777777">
            <w:pPr>
              <w:rPr>
                <w:color w:val="000000" w:themeColor="text1"/>
                <w:szCs w:val="24"/>
              </w:rPr>
            </w:pPr>
            <w:r w:rsidRPr="00810B3D">
              <w:rPr>
                <w:color w:val="000000" w:themeColor="text1"/>
                <w:szCs w:val="24"/>
              </w:rPr>
              <w:t>2,4%</w:t>
            </w:r>
          </w:p>
        </w:tc>
        <w:tc>
          <w:tcPr>
            <w:tcW w:w="1681" w:type="dxa"/>
          </w:tcPr>
          <w:p w:rsidRPr="00810B3D" w:rsidR="000343AC" w:rsidP="0070413A" w:rsidRDefault="0040162B" w14:paraId="5FAC050D" w14:textId="38E653DE">
            <w:pPr>
              <w:rPr>
                <w:color w:val="000000" w:themeColor="text1"/>
                <w:szCs w:val="24"/>
              </w:rPr>
            </w:pPr>
            <w:r>
              <w:rPr>
                <w:color w:val="000000" w:themeColor="text1"/>
                <w:szCs w:val="24"/>
              </w:rPr>
              <w:t>21,4</w:t>
            </w:r>
          </w:p>
        </w:tc>
      </w:tr>
      <w:tr w:rsidRPr="00810B3D" w:rsidR="000343AC" w:rsidTr="00D240BB" w14:paraId="594C66B0" w14:textId="08C4C4E8">
        <w:tc>
          <w:tcPr>
            <w:tcW w:w="1680" w:type="dxa"/>
          </w:tcPr>
          <w:p w:rsidRPr="00810B3D" w:rsidR="000343AC" w:rsidP="0070413A" w:rsidRDefault="000343AC" w14:paraId="5FF8AFF4" w14:textId="77777777">
            <w:pPr>
              <w:rPr>
                <w:b/>
                <w:bCs/>
                <w:color w:val="000000" w:themeColor="text1"/>
                <w:szCs w:val="24"/>
              </w:rPr>
            </w:pPr>
            <w:r w:rsidRPr="00810B3D">
              <w:rPr>
                <w:b/>
                <w:bCs/>
                <w:color w:val="000000" w:themeColor="text1"/>
                <w:szCs w:val="24"/>
              </w:rPr>
              <w:t>2023</w:t>
            </w:r>
          </w:p>
        </w:tc>
        <w:tc>
          <w:tcPr>
            <w:tcW w:w="1920" w:type="dxa"/>
          </w:tcPr>
          <w:p w:rsidRPr="00810B3D" w:rsidR="000343AC" w:rsidP="0070413A" w:rsidRDefault="000343AC" w14:paraId="62831AED" w14:textId="77777777">
            <w:pPr>
              <w:rPr>
                <w:color w:val="000000" w:themeColor="text1"/>
                <w:szCs w:val="24"/>
              </w:rPr>
            </w:pPr>
            <w:r w:rsidRPr="00810B3D">
              <w:rPr>
                <w:color w:val="000000" w:themeColor="text1"/>
                <w:szCs w:val="24"/>
              </w:rPr>
              <w:t>-3,0%</w:t>
            </w:r>
          </w:p>
        </w:tc>
        <w:tc>
          <w:tcPr>
            <w:tcW w:w="1843" w:type="dxa"/>
          </w:tcPr>
          <w:p w:rsidRPr="00810B3D" w:rsidR="000343AC" w:rsidP="0070413A" w:rsidRDefault="000343AC" w14:paraId="5AACD687" w14:textId="1BAF49AC">
            <w:pPr>
              <w:rPr>
                <w:color w:val="000000" w:themeColor="text1"/>
                <w:szCs w:val="24"/>
              </w:rPr>
            </w:pPr>
            <w:r w:rsidRPr="00810B3D">
              <w:rPr>
                <w:color w:val="000000" w:themeColor="text1"/>
                <w:szCs w:val="24"/>
              </w:rPr>
              <w:t>-0,</w:t>
            </w:r>
            <w:r w:rsidR="005865B1">
              <w:rPr>
                <w:color w:val="000000" w:themeColor="text1"/>
                <w:szCs w:val="24"/>
              </w:rPr>
              <w:t>3</w:t>
            </w:r>
            <w:r w:rsidRPr="00810B3D">
              <w:rPr>
                <w:color w:val="000000" w:themeColor="text1"/>
                <w:szCs w:val="24"/>
              </w:rPr>
              <w:t>%</w:t>
            </w:r>
          </w:p>
        </w:tc>
        <w:tc>
          <w:tcPr>
            <w:tcW w:w="1938" w:type="dxa"/>
          </w:tcPr>
          <w:p w:rsidRPr="00810B3D" w:rsidR="000343AC" w:rsidP="0070413A" w:rsidRDefault="000343AC" w14:paraId="33AEF07B" w14:textId="77777777">
            <w:pPr>
              <w:rPr>
                <w:color w:val="000000" w:themeColor="text1"/>
                <w:szCs w:val="24"/>
              </w:rPr>
            </w:pPr>
            <w:r w:rsidRPr="00810B3D">
              <w:rPr>
                <w:color w:val="000000" w:themeColor="text1"/>
                <w:szCs w:val="24"/>
              </w:rPr>
              <w:t>2,6%</w:t>
            </w:r>
          </w:p>
        </w:tc>
        <w:tc>
          <w:tcPr>
            <w:tcW w:w="1681" w:type="dxa"/>
          </w:tcPr>
          <w:p w:rsidRPr="00810B3D" w:rsidR="000343AC" w:rsidP="0070413A" w:rsidRDefault="003D4A67" w14:paraId="7FC29AD2" w14:textId="2FE798EE">
            <w:pPr>
              <w:rPr>
                <w:color w:val="000000" w:themeColor="text1"/>
                <w:szCs w:val="24"/>
              </w:rPr>
            </w:pPr>
            <w:r>
              <w:rPr>
                <w:color w:val="000000" w:themeColor="text1"/>
                <w:szCs w:val="24"/>
              </w:rPr>
              <w:t>26,0</w:t>
            </w:r>
          </w:p>
        </w:tc>
      </w:tr>
      <w:tr w:rsidRPr="00810B3D" w:rsidR="000343AC" w:rsidTr="00D240BB" w14:paraId="53ABBD53" w14:textId="2AB15891">
        <w:tc>
          <w:tcPr>
            <w:tcW w:w="1680" w:type="dxa"/>
          </w:tcPr>
          <w:p w:rsidRPr="00810B3D" w:rsidR="000343AC" w:rsidP="0070413A" w:rsidRDefault="000343AC" w14:paraId="630C5D21" w14:textId="77777777">
            <w:pPr>
              <w:rPr>
                <w:b/>
                <w:bCs/>
                <w:color w:val="000000" w:themeColor="text1"/>
                <w:szCs w:val="24"/>
              </w:rPr>
            </w:pPr>
            <w:r w:rsidRPr="00810B3D">
              <w:rPr>
                <w:b/>
                <w:bCs/>
                <w:color w:val="000000" w:themeColor="text1"/>
                <w:szCs w:val="24"/>
              </w:rPr>
              <w:t>2024</w:t>
            </w:r>
          </w:p>
        </w:tc>
        <w:tc>
          <w:tcPr>
            <w:tcW w:w="1920" w:type="dxa"/>
          </w:tcPr>
          <w:p w:rsidRPr="00810B3D" w:rsidR="000343AC" w:rsidP="0070413A" w:rsidRDefault="000343AC" w14:paraId="6C5DAA1B" w14:textId="77777777">
            <w:pPr>
              <w:rPr>
                <w:color w:val="000000" w:themeColor="text1"/>
                <w:szCs w:val="24"/>
              </w:rPr>
            </w:pPr>
            <w:r w:rsidRPr="00810B3D">
              <w:rPr>
                <w:color w:val="000000" w:themeColor="text1"/>
                <w:szCs w:val="24"/>
              </w:rPr>
              <w:t>-2,9%</w:t>
            </w:r>
          </w:p>
        </w:tc>
        <w:tc>
          <w:tcPr>
            <w:tcW w:w="1843" w:type="dxa"/>
          </w:tcPr>
          <w:p w:rsidRPr="00810B3D" w:rsidR="000343AC" w:rsidP="0070413A" w:rsidRDefault="000343AC" w14:paraId="6053B5F5" w14:textId="77777777">
            <w:pPr>
              <w:rPr>
                <w:color w:val="000000" w:themeColor="text1"/>
                <w:szCs w:val="24"/>
              </w:rPr>
            </w:pPr>
          </w:p>
        </w:tc>
        <w:tc>
          <w:tcPr>
            <w:tcW w:w="1938" w:type="dxa"/>
          </w:tcPr>
          <w:p w:rsidRPr="00810B3D" w:rsidR="000343AC" w:rsidP="0070413A" w:rsidRDefault="000343AC" w14:paraId="06786447" w14:textId="77777777">
            <w:pPr>
              <w:rPr>
                <w:color w:val="000000" w:themeColor="text1"/>
                <w:szCs w:val="24"/>
              </w:rPr>
            </w:pPr>
          </w:p>
        </w:tc>
        <w:tc>
          <w:tcPr>
            <w:tcW w:w="1681" w:type="dxa"/>
          </w:tcPr>
          <w:p w:rsidRPr="00810B3D" w:rsidR="000343AC" w:rsidP="0070413A" w:rsidRDefault="000343AC" w14:paraId="709F74AF" w14:textId="77777777">
            <w:pPr>
              <w:rPr>
                <w:color w:val="000000" w:themeColor="text1"/>
                <w:szCs w:val="24"/>
              </w:rPr>
            </w:pPr>
          </w:p>
        </w:tc>
      </w:tr>
      <w:tr w:rsidRPr="00810B3D" w:rsidR="000343AC" w:rsidTr="00D240BB" w14:paraId="7B3B2C55" w14:textId="171279B4">
        <w:tc>
          <w:tcPr>
            <w:tcW w:w="1680" w:type="dxa"/>
          </w:tcPr>
          <w:p w:rsidRPr="00810B3D" w:rsidR="000343AC" w:rsidP="0070413A" w:rsidRDefault="000343AC" w14:paraId="7E8B0891" w14:textId="77777777">
            <w:pPr>
              <w:rPr>
                <w:b/>
                <w:bCs/>
                <w:color w:val="000000" w:themeColor="text1"/>
                <w:szCs w:val="24"/>
              </w:rPr>
            </w:pPr>
            <w:r w:rsidRPr="00810B3D">
              <w:rPr>
                <w:b/>
                <w:bCs/>
                <w:color w:val="000000" w:themeColor="text1"/>
                <w:szCs w:val="24"/>
              </w:rPr>
              <w:t>2025</w:t>
            </w:r>
          </w:p>
        </w:tc>
        <w:tc>
          <w:tcPr>
            <w:tcW w:w="1920" w:type="dxa"/>
          </w:tcPr>
          <w:p w:rsidRPr="00810B3D" w:rsidR="000343AC" w:rsidP="0070413A" w:rsidRDefault="000343AC" w14:paraId="36D4A6B3" w14:textId="77777777">
            <w:pPr>
              <w:rPr>
                <w:color w:val="000000" w:themeColor="text1"/>
                <w:szCs w:val="24"/>
              </w:rPr>
            </w:pPr>
            <w:r w:rsidRPr="00810B3D">
              <w:rPr>
                <w:color w:val="000000" w:themeColor="text1"/>
                <w:szCs w:val="24"/>
              </w:rPr>
              <w:t>-2,8%</w:t>
            </w:r>
          </w:p>
        </w:tc>
        <w:tc>
          <w:tcPr>
            <w:tcW w:w="1843" w:type="dxa"/>
          </w:tcPr>
          <w:p w:rsidRPr="00810B3D" w:rsidR="000343AC" w:rsidP="0070413A" w:rsidRDefault="000343AC" w14:paraId="170BFCD1" w14:textId="77777777">
            <w:pPr>
              <w:rPr>
                <w:color w:val="000000" w:themeColor="text1"/>
                <w:szCs w:val="24"/>
              </w:rPr>
            </w:pPr>
          </w:p>
        </w:tc>
        <w:tc>
          <w:tcPr>
            <w:tcW w:w="1938" w:type="dxa"/>
          </w:tcPr>
          <w:p w:rsidRPr="00810B3D" w:rsidR="000343AC" w:rsidP="0070413A" w:rsidRDefault="000343AC" w14:paraId="41EEA4F5" w14:textId="77777777">
            <w:pPr>
              <w:rPr>
                <w:color w:val="000000" w:themeColor="text1"/>
                <w:szCs w:val="24"/>
              </w:rPr>
            </w:pPr>
          </w:p>
        </w:tc>
        <w:tc>
          <w:tcPr>
            <w:tcW w:w="1681" w:type="dxa"/>
          </w:tcPr>
          <w:p w:rsidRPr="00810B3D" w:rsidR="000343AC" w:rsidP="0070413A" w:rsidRDefault="000343AC" w14:paraId="3AD39B20" w14:textId="77777777">
            <w:pPr>
              <w:rPr>
                <w:color w:val="000000" w:themeColor="text1"/>
                <w:szCs w:val="24"/>
              </w:rPr>
            </w:pPr>
          </w:p>
        </w:tc>
      </w:tr>
    </w:tbl>
    <w:p w:rsidRPr="00810B3D" w:rsidR="00810B3D" w:rsidP="0070413A" w:rsidRDefault="00810B3D" w14:paraId="2820B736" w14:textId="77777777">
      <w:pPr>
        <w:jc w:val="right"/>
        <w:rPr>
          <w:i/>
          <w:iCs/>
          <w:color w:val="000000" w:themeColor="text1"/>
          <w:szCs w:val="24"/>
        </w:rPr>
      </w:pPr>
      <w:r w:rsidRPr="00810B3D">
        <w:rPr>
          <w:i/>
          <w:iCs/>
          <w:color w:val="000000" w:themeColor="text1"/>
          <w:szCs w:val="24"/>
        </w:rPr>
        <w:br/>
        <w:t xml:space="preserve">Figuur 3: het geraamde EMU-tekort bij de miljoenennota en het gerealiseerde tekort (bron: miljoenennota’s en jaarverslagen rijk) </w:t>
      </w:r>
    </w:p>
    <w:p w:rsidRPr="00810B3D" w:rsidR="00810B3D" w:rsidP="0070413A" w:rsidRDefault="00810B3D" w14:paraId="0A214F8A" w14:textId="77777777">
      <w:pPr>
        <w:rPr>
          <w:i/>
          <w:iCs/>
          <w:color w:val="000000" w:themeColor="text1"/>
          <w:szCs w:val="24"/>
        </w:rPr>
      </w:pPr>
    </w:p>
    <w:p w:rsidRPr="00810B3D" w:rsidR="00810B3D" w:rsidP="0070413A" w:rsidRDefault="00810B3D" w14:paraId="3AF50819" w14:textId="77777777">
      <w:pPr>
        <w:rPr>
          <w:i/>
          <w:iCs/>
          <w:color w:val="000000" w:themeColor="text1"/>
          <w:szCs w:val="24"/>
        </w:rPr>
      </w:pPr>
      <w:r w:rsidRPr="00810B3D">
        <w:rPr>
          <w:i/>
          <w:iCs/>
          <w:noProof/>
          <w:color w:val="000000" w:themeColor="text1"/>
          <w:szCs w:val="24"/>
        </w:rPr>
        <w:lastRenderedPageBreak/>
        <w:drawing>
          <wp:inline distT="0" distB="0" distL="0" distR="0" wp14:anchorId="6D67B1DC" wp14:editId="356A5EDB">
            <wp:extent cx="4304399" cy="4572000"/>
            <wp:effectExtent l="0" t="0" r="1270" b="0"/>
            <wp:docPr id="1082327497" name="Afbeelding 1" descr="Afbeelding met tekst, schermopname, Lettertype, Perc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327497" name="Afbeelding 1" descr="Afbeelding met tekst, schermopname, Lettertype, Perceel&#10;&#10;Automatisch gegenereerde beschrijving"/>
                    <pic:cNvPicPr/>
                  </pic:nvPicPr>
                  <pic:blipFill>
                    <a:blip r:embed="rId9"/>
                    <a:stretch>
                      <a:fillRect/>
                    </a:stretch>
                  </pic:blipFill>
                  <pic:spPr>
                    <a:xfrm>
                      <a:off x="0" y="0"/>
                      <a:ext cx="4307923" cy="4575743"/>
                    </a:xfrm>
                    <a:prstGeom prst="rect">
                      <a:avLst/>
                    </a:prstGeom>
                  </pic:spPr>
                </pic:pic>
              </a:graphicData>
            </a:graphic>
          </wp:inline>
        </w:drawing>
      </w:r>
    </w:p>
    <w:p w:rsidRPr="00810B3D" w:rsidR="00810B3D" w:rsidP="0070413A" w:rsidRDefault="00810B3D" w14:paraId="65446BF0" w14:textId="77777777">
      <w:pPr>
        <w:jc w:val="right"/>
        <w:rPr>
          <w:i/>
          <w:iCs/>
          <w:color w:val="000000" w:themeColor="text1"/>
          <w:szCs w:val="24"/>
        </w:rPr>
      </w:pPr>
      <w:r w:rsidRPr="00810B3D">
        <w:rPr>
          <w:i/>
          <w:iCs/>
          <w:color w:val="000000" w:themeColor="text1"/>
          <w:szCs w:val="24"/>
        </w:rPr>
        <w:t xml:space="preserve">Figuur 4: het geraamde EMU-tekort bij de miljoenennota en het gerealiseerde tekort (bron: miljoenennota’s en jaarverslagen rijk) </w:t>
      </w:r>
    </w:p>
    <w:p w:rsidRPr="00810B3D" w:rsidR="00810B3D" w:rsidP="0070413A" w:rsidRDefault="00810B3D" w14:paraId="0CEDD39F" w14:textId="48026F4F">
      <w:pPr>
        <w:rPr>
          <w:color w:val="000000" w:themeColor="text1"/>
          <w:szCs w:val="24"/>
        </w:rPr>
      </w:pPr>
      <w:r w:rsidRPr="00810B3D">
        <w:rPr>
          <w:i/>
          <w:iCs/>
          <w:color w:val="000000" w:themeColor="text1"/>
          <w:szCs w:val="24"/>
        </w:rPr>
        <w:br/>
      </w:r>
      <w:r w:rsidRPr="00810B3D">
        <w:rPr>
          <w:i/>
          <w:iCs/>
          <w:color w:val="000000" w:themeColor="text1"/>
          <w:szCs w:val="24"/>
        </w:rPr>
        <w:br/>
      </w:r>
      <w:r w:rsidRPr="00810B3D">
        <w:rPr>
          <w:color w:val="000000" w:themeColor="text1"/>
          <w:szCs w:val="24"/>
        </w:rPr>
        <w:t xml:space="preserve">Zoals te zien is, was het uiteindelijke tekort in 8 van de 9 jaren kleiner (of het overschot groter) dan voorspeld. Alleen in het coronajaar 2020 was dat niet het geval. De afgelopen jaren liggen de verschillen tussen de 2,4% en de 3,3% van het BBP. </w:t>
      </w:r>
      <w:r w:rsidRPr="00810B3D">
        <w:rPr>
          <w:color w:val="000000" w:themeColor="text1"/>
          <w:szCs w:val="24"/>
        </w:rPr>
        <w:br/>
        <w:t xml:space="preserve">Let ook op dat de situatie tot 2019 beter leek: toen was </w:t>
      </w:r>
      <w:r w:rsidR="008E6AB3">
        <w:rPr>
          <w:color w:val="000000" w:themeColor="text1"/>
          <w:szCs w:val="24"/>
        </w:rPr>
        <w:t>het verschil</w:t>
      </w:r>
      <w:r w:rsidRPr="00810B3D">
        <w:rPr>
          <w:color w:val="000000" w:themeColor="text1"/>
          <w:szCs w:val="24"/>
        </w:rPr>
        <w:t xml:space="preserve"> nooit groter dan 2%. Daarna is </w:t>
      </w:r>
      <w:r w:rsidR="008E6AB3">
        <w:rPr>
          <w:color w:val="000000" w:themeColor="text1"/>
          <w:szCs w:val="24"/>
        </w:rPr>
        <w:t xml:space="preserve">het verschil </w:t>
      </w:r>
      <w:r w:rsidRPr="00810B3D">
        <w:rPr>
          <w:color w:val="000000" w:themeColor="text1"/>
          <w:szCs w:val="24"/>
        </w:rPr>
        <w:t>nooit kleiner dan 2% geweest. De ramingen zijn dus aanzienlijk slechter geworden en er is een structurele fout in geslopen</w:t>
      </w:r>
      <w:r w:rsidR="002D0428">
        <w:rPr>
          <w:color w:val="000000" w:themeColor="text1"/>
          <w:szCs w:val="24"/>
        </w:rPr>
        <w:t>.</w:t>
      </w:r>
    </w:p>
    <w:p w:rsidRPr="00810B3D" w:rsidR="00810B3D" w:rsidP="0070413A" w:rsidRDefault="00810B3D" w14:paraId="1ADC30CA" w14:textId="77777777">
      <w:pPr>
        <w:rPr>
          <w:color w:val="000000" w:themeColor="text1"/>
          <w:szCs w:val="24"/>
        </w:rPr>
      </w:pPr>
    </w:p>
    <w:p w:rsidRPr="00810B3D" w:rsidR="00810B3D" w:rsidP="0070413A" w:rsidRDefault="00810B3D" w14:paraId="0C486770" w14:textId="77777777">
      <w:pPr>
        <w:rPr>
          <w:color w:val="000000" w:themeColor="text1"/>
          <w:szCs w:val="24"/>
        </w:rPr>
      </w:pPr>
      <w:r w:rsidRPr="00810B3D">
        <w:rPr>
          <w:color w:val="000000" w:themeColor="text1"/>
          <w:szCs w:val="24"/>
        </w:rPr>
        <w:t>Ook in 2024 dreigt dit weer te gebeuren. Volgens het CBS is er het eerste half jaar een overschot van bijna 8 miljard euro</w:t>
      </w:r>
      <w:r w:rsidRPr="00810B3D">
        <w:rPr>
          <w:rStyle w:val="Voetnootmarkering"/>
          <w:color w:val="000000" w:themeColor="text1"/>
          <w:szCs w:val="24"/>
        </w:rPr>
        <w:footnoteReference w:id="2"/>
      </w:r>
      <w:r w:rsidRPr="00810B3D">
        <w:rPr>
          <w:color w:val="000000" w:themeColor="text1"/>
          <w:szCs w:val="24"/>
        </w:rPr>
        <w:t>. Het moge duidelijk zijn dat het echt niet gaat lukken om in de tweede helft van het jaar een tekort van meer dan 30 miljard te boeken om bij de eerdere voorspellingen uit te komen. We komen eerder weer dicht bij een begrotingsevenwicht.</w:t>
      </w:r>
    </w:p>
    <w:p w:rsidRPr="00810B3D" w:rsidR="00810B3D" w:rsidP="0070413A" w:rsidRDefault="00810B3D" w14:paraId="50B4F40D" w14:textId="77777777">
      <w:pPr>
        <w:rPr>
          <w:color w:val="000000" w:themeColor="text1"/>
          <w:szCs w:val="24"/>
        </w:rPr>
      </w:pPr>
      <w:r w:rsidRPr="00810B3D">
        <w:rPr>
          <w:color w:val="000000" w:themeColor="text1"/>
          <w:szCs w:val="24"/>
        </w:rPr>
        <w:br/>
        <w:t>Dit zal naar verwachting uiteindelijk betekenen dat vier jaar achter elkaar het EMU-saldo meer dan 25 miljard mee blijkt te vallen ten opzichte van de begrotingen.</w:t>
      </w:r>
    </w:p>
    <w:p w:rsidRPr="00810B3D" w:rsidR="00810B3D" w:rsidP="0070413A" w:rsidRDefault="00810B3D" w14:paraId="490371AF" w14:textId="44B7AD7B">
      <w:pPr>
        <w:rPr>
          <w:color w:val="000000" w:themeColor="text1"/>
          <w:szCs w:val="24"/>
        </w:rPr>
      </w:pPr>
      <w:r w:rsidRPr="00810B3D">
        <w:rPr>
          <w:color w:val="000000" w:themeColor="text1"/>
          <w:szCs w:val="24"/>
        </w:rPr>
        <w:br/>
        <w:t>Om dat in perspectief te plaatsen: de meevaller is dus ongeveer structureel 1500</w:t>
      </w:r>
      <w:r w:rsidR="002D0428">
        <w:rPr>
          <w:color w:val="000000" w:themeColor="text1"/>
          <w:szCs w:val="24"/>
        </w:rPr>
        <w:t xml:space="preserve"> euro </w:t>
      </w:r>
      <w:r w:rsidRPr="00810B3D">
        <w:rPr>
          <w:color w:val="000000" w:themeColor="text1"/>
          <w:szCs w:val="24"/>
        </w:rPr>
        <w:t>per persoon per jaar in Nederland. Of 6000</w:t>
      </w:r>
      <w:r w:rsidR="002D0428">
        <w:rPr>
          <w:color w:val="000000" w:themeColor="text1"/>
          <w:szCs w:val="24"/>
        </w:rPr>
        <w:t xml:space="preserve"> euro</w:t>
      </w:r>
      <w:r w:rsidRPr="00810B3D">
        <w:rPr>
          <w:color w:val="000000" w:themeColor="text1"/>
          <w:szCs w:val="24"/>
        </w:rPr>
        <w:t xml:space="preserve"> per gezin van vier personen. Als je in je </w:t>
      </w:r>
      <w:r w:rsidRPr="00810B3D">
        <w:rPr>
          <w:color w:val="000000" w:themeColor="text1"/>
          <w:szCs w:val="24"/>
        </w:rPr>
        <w:lastRenderedPageBreak/>
        <w:t>huishouden aan het eind van het jaar een kleine meevaller hebt, denk je: dat is fijn, een extra buffer. Maar als je 6000</w:t>
      </w:r>
      <w:r w:rsidR="002D0428">
        <w:rPr>
          <w:color w:val="000000" w:themeColor="text1"/>
          <w:szCs w:val="24"/>
        </w:rPr>
        <w:t xml:space="preserve"> euro</w:t>
      </w:r>
      <w:r w:rsidRPr="00810B3D">
        <w:rPr>
          <w:color w:val="000000" w:themeColor="text1"/>
          <w:szCs w:val="24"/>
        </w:rPr>
        <w:t xml:space="preserve"> afwijkt van je begroting denk je wellicht: had ik dat dak, dat begint te lekken, misschien toch kunnen laten repareren vorig jaar? Hadden we dan tóch die ele</w:t>
      </w:r>
      <w:r w:rsidR="002D0428">
        <w:rPr>
          <w:color w:val="000000" w:themeColor="text1"/>
          <w:szCs w:val="24"/>
        </w:rPr>
        <w:t>k</w:t>
      </w:r>
      <w:r w:rsidRPr="00810B3D">
        <w:rPr>
          <w:color w:val="000000" w:themeColor="text1"/>
          <w:szCs w:val="24"/>
        </w:rPr>
        <w:t xml:space="preserve">trische auto kunnen aanschaffen, het huis kunnen laten isoleren of eindelijk de rammelende wasmachine kunnen laten vervangen? </w:t>
      </w:r>
    </w:p>
    <w:p w:rsidRPr="00810B3D" w:rsidR="00810B3D" w:rsidP="0070413A" w:rsidRDefault="00810B3D" w14:paraId="242D340C" w14:textId="77777777">
      <w:pPr>
        <w:rPr>
          <w:color w:val="000000" w:themeColor="text1"/>
          <w:szCs w:val="24"/>
        </w:rPr>
      </w:pPr>
    </w:p>
    <w:p w:rsidRPr="00810B3D" w:rsidR="00810B3D" w:rsidP="0070413A" w:rsidRDefault="00810B3D" w14:paraId="7532724B" w14:textId="77777777">
      <w:pPr>
        <w:rPr>
          <w:color w:val="000000" w:themeColor="text1"/>
          <w:szCs w:val="24"/>
        </w:rPr>
      </w:pPr>
      <w:r w:rsidRPr="00810B3D">
        <w:rPr>
          <w:color w:val="000000" w:themeColor="text1"/>
          <w:szCs w:val="24"/>
        </w:rPr>
        <w:t xml:space="preserve">Naar aanleiding van de realisaties heeft de regering de raming voor dit jaar bijgesteld naar een tekort van 1,5% van het BBP. Dat is echter maar een deel van het verhaal. Door een uitspraak over box-3 (de spaartaks) gaat de regering nog dit jaar veel compensatie uitbetalen, die ten laste gebracht wordt van 2024. </w:t>
      </w:r>
      <w:r w:rsidRPr="00810B3D">
        <w:rPr>
          <w:color w:val="000000" w:themeColor="text1"/>
          <w:szCs w:val="24"/>
        </w:rPr>
        <w:br/>
        <w:t xml:space="preserve">Als dit niet was gebeurd, zou het geraamde tekort zijn uitgekomen op 1,0%. </w:t>
      </w:r>
    </w:p>
    <w:p w:rsidRPr="00810B3D" w:rsidR="00810B3D" w:rsidP="0070413A" w:rsidRDefault="00810B3D" w14:paraId="2B57A175" w14:textId="77777777">
      <w:pPr>
        <w:rPr>
          <w:color w:val="000000" w:themeColor="text1"/>
          <w:szCs w:val="24"/>
        </w:rPr>
      </w:pPr>
    </w:p>
    <w:p w:rsidRPr="00810B3D" w:rsidR="00810B3D" w:rsidP="0070413A" w:rsidRDefault="00810B3D" w14:paraId="5BD9C2DE" w14:textId="558719BB">
      <w:pPr>
        <w:rPr>
          <w:color w:val="000000" w:themeColor="text1"/>
          <w:szCs w:val="24"/>
        </w:rPr>
      </w:pPr>
      <w:r w:rsidRPr="00810B3D">
        <w:rPr>
          <w:color w:val="000000" w:themeColor="text1"/>
          <w:szCs w:val="24"/>
        </w:rPr>
        <w:t xml:space="preserve">Ook dit is de afgelopen jaren vaker gebeurd: tijdens het jaar zijn enorme extra tegenvallers opgevangen (zoals het </w:t>
      </w:r>
      <w:proofErr w:type="spellStart"/>
      <w:r w:rsidRPr="00810B3D">
        <w:rPr>
          <w:color w:val="000000" w:themeColor="text1"/>
          <w:szCs w:val="24"/>
        </w:rPr>
        <w:t>Urgenda</w:t>
      </w:r>
      <w:proofErr w:type="spellEnd"/>
      <w:r w:rsidR="002D0428">
        <w:rPr>
          <w:color w:val="000000" w:themeColor="text1"/>
          <w:szCs w:val="24"/>
        </w:rPr>
        <w:t>-</w:t>
      </w:r>
      <w:r w:rsidRPr="00810B3D">
        <w:rPr>
          <w:color w:val="000000" w:themeColor="text1"/>
          <w:szCs w:val="24"/>
        </w:rPr>
        <w:t>arrest, miljarden tegenvallers bij de afhandeling van het toeslagenschandaal of miljarden extra kosten voor de opvang van Oekraïense ontheemden) maar desondanks was er nog een totale netto meevaller van tientallen miljarden.</w:t>
      </w:r>
    </w:p>
    <w:p w:rsidRPr="00810B3D" w:rsidR="00810B3D" w:rsidP="0070413A" w:rsidRDefault="00810B3D" w14:paraId="4C15B5C9" w14:textId="211BDC54">
      <w:pPr>
        <w:rPr>
          <w:color w:val="000000" w:themeColor="text1"/>
          <w:szCs w:val="24"/>
        </w:rPr>
      </w:pPr>
      <w:r w:rsidRPr="00810B3D">
        <w:rPr>
          <w:color w:val="000000" w:themeColor="text1"/>
          <w:szCs w:val="24"/>
          <w:shd w:val="clear" w:color="auto" w:fill="FFFFFF"/>
        </w:rPr>
        <w:br/>
      </w:r>
      <w:r w:rsidRPr="00810B3D">
        <w:rPr>
          <w:color w:val="000000" w:themeColor="text1"/>
          <w:szCs w:val="24"/>
        </w:rPr>
        <w:t xml:space="preserve">Wat verder opvalt is dat de afwijkingen in de schattingen van het saldo bij </w:t>
      </w:r>
      <w:r w:rsidR="002D0428">
        <w:rPr>
          <w:color w:val="000000" w:themeColor="text1"/>
          <w:szCs w:val="24"/>
        </w:rPr>
        <w:t xml:space="preserve">het Ministerie van </w:t>
      </w:r>
      <w:r w:rsidRPr="00810B3D">
        <w:rPr>
          <w:color w:val="000000" w:themeColor="text1"/>
          <w:szCs w:val="24"/>
        </w:rPr>
        <w:t>Financiën en het CPB elkaar niet veel ontlopen. Er lijkt sprake te zijn van overleg en afstemming en gebruik van deels of helemaal dezelfde schattingen en aannames.</w:t>
      </w:r>
      <w:r w:rsidRPr="00810B3D">
        <w:rPr>
          <w:color w:val="000000" w:themeColor="text1"/>
          <w:szCs w:val="24"/>
        </w:rPr>
        <w:br/>
      </w:r>
    </w:p>
    <w:p w:rsidRPr="00810B3D" w:rsidR="00810B3D" w:rsidP="0070413A" w:rsidRDefault="00F558B5" w14:paraId="77EBB283" w14:textId="0B2F262D">
      <w:pPr>
        <w:rPr>
          <w:color w:val="000000" w:themeColor="text1"/>
          <w:szCs w:val="24"/>
        </w:rPr>
      </w:pPr>
      <w:r>
        <w:rPr>
          <w:color w:val="000000" w:themeColor="text1"/>
          <w:szCs w:val="24"/>
        </w:rPr>
        <w:t>De initiatiefnemers trekken</w:t>
      </w:r>
      <w:r w:rsidRPr="00810B3D" w:rsidR="00810B3D">
        <w:rPr>
          <w:color w:val="000000" w:themeColor="text1"/>
          <w:szCs w:val="24"/>
        </w:rPr>
        <w:t xml:space="preserve"> hieruit de conclusie dat er iets fundamenteels mis is met de tekort- en schuldramingen, waar het beleid op wordt gebaseerd. </w:t>
      </w:r>
    </w:p>
    <w:p w:rsidRPr="00810B3D" w:rsidR="00810B3D" w:rsidP="0070413A" w:rsidRDefault="00810B3D" w14:paraId="282C4B45" w14:textId="77777777">
      <w:pPr>
        <w:rPr>
          <w:color w:val="000000" w:themeColor="text1"/>
          <w:szCs w:val="24"/>
        </w:rPr>
      </w:pPr>
    </w:p>
    <w:p w:rsidRPr="00501161" w:rsidR="00810B3D" w:rsidP="0070413A" w:rsidRDefault="00C17DA9" w14:paraId="46505D53" w14:textId="49F7807D">
      <w:pPr>
        <w:pStyle w:val="Kop2"/>
        <w:rPr>
          <w:rFonts w:ascii="Times New Roman" w:hAnsi="Times New Roman" w:cs="Times New Roman"/>
          <w:b/>
          <w:bCs/>
          <w:color w:val="000000" w:themeColor="text1"/>
          <w:sz w:val="24"/>
          <w:szCs w:val="24"/>
        </w:rPr>
      </w:pPr>
      <w:bookmarkStart w:name="_Toc185231902" w:id="2"/>
      <w:r>
        <w:rPr>
          <w:rFonts w:ascii="Times New Roman" w:hAnsi="Times New Roman" w:cs="Times New Roman"/>
          <w:b/>
          <w:bCs/>
          <w:color w:val="000000" w:themeColor="text1"/>
          <w:sz w:val="24"/>
          <w:szCs w:val="24"/>
        </w:rPr>
        <w:t xml:space="preserve">3. </w:t>
      </w:r>
      <w:r w:rsidRPr="00501161" w:rsidR="00810B3D">
        <w:rPr>
          <w:rFonts w:ascii="Times New Roman" w:hAnsi="Times New Roman" w:cs="Times New Roman"/>
          <w:b/>
          <w:bCs/>
          <w:color w:val="000000" w:themeColor="text1"/>
          <w:sz w:val="24"/>
          <w:szCs w:val="24"/>
        </w:rPr>
        <w:t>Europese ramingen lijken een stuk beter</w:t>
      </w:r>
      <w:bookmarkEnd w:id="2"/>
    </w:p>
    <w:p w:rsidRPr="00810B3D" w:rsidR="00810B3D" w:rsidP="0070413A" w:rsidRDefault="00810B3D" w14:paraId="14190907" w14:textId="77777777">
      <w:pPr>
        <w:rPr>
          <w:color w:val="000000" w:themeColor="text1"/>
          <w:szCs w:val="24"/>
        </w:rPr>
      </w:pPr>
    </w:p>
    <w:p w:rsidRPr="00810B3D" w:rsidR="00810B3D" w:rsidP="0070413A" w:rsidRDefault="00810B3D" w14:paraId="1F7C1D26" w14:textId="3AF2F0CD">
      <w:pPr>
        <w:rPr>
          <w:color w:val="000000" w:themeColor="text1"/>
          <w:szCs w:val="24"/>
        </w:rPr>
      </w:pPr>
      <w:r w:rsidRPr="00810B3D">
        <w:rPr>
          <w:color w:val="000000" w:themeColor="text1"/>
          <w:szCs w:val="24"/>
        </w:rPr>
        <w:t xml:space="preserve">Bij de </w:t>
      </w:r>
      <w:r w:rsidR="00F34CC1">
        <w:rPr>
          <w:color w:val="000000" w:themeColor="text1"/>
          <w:szCs w:val="24"/>
        </w:rPr>
        <w:t>N</w:t>
      </w:r>
      <w:r w:rsidRPr="00810B3D">
        <w:rPr>
          <w:color w:val="000000" w:themeColor="text1"/>
          <w:szCs w:val="24"/>
        </w:rPr>
        <w:t>ajaarsnota (verschenen op 29 november 2024) komt het tekort over het jaar 2024 uit op 1,5% van het BBP.</w:t>
      </w:r>
      <w:r w:rsidRPr="00810B3D">
        <w:rPr>
          <w:color w:val="000000" w:themeColor="text1"/>
          <w:szCs w:val="24"/>
        </w:rPr>
        <w:br/>
        <w:t>Op 14 november verscheen de raming</w:t>
      </w:r>
      <w:r w:rsidRPr="00810B3D">
        <w:rPr>
          <w:rStyle w:val="Voetnootmarkering"/>
          <w:color w:val="000000" w:themeColor="text1"/>
          <w:szCs w:val="24"/>
        </w:rPr>
        <w:footnoteReference w:id="3"/>
      </w:r>
      <w:r w:rsidRPr="00810B3D">
        <w:rPr>
          <w:color w:val="000000" w:themeColor="text1"/>
          <w:szCs w:val="24"/>
        </w:rPr>
        <w:t xml:space="preserve"> van de Europese Commissie en die voorspelt een tekort van 0,2% van het BBP over het jaar 2024 en een tekort van 1,9% in 2025, waar de Nederlandse regering nog steeds bijna 3,0% tekort verwacht. </w:t>
      </w:r>
      <w:r w:rsidRPr="00810B3D">
        <w:rPr>
          <w:color w:val="000000" w:themeColor="text1"/>
          <w:szCs w:val="24"/>
        </w:rPr>
        <w:br/>
        <w:t xml:space="preserve">Het jaar is bijna afgelopen en er zit nog steeds 1,3% BBP (14 miljard euro) tussen die twee ramingen. Dat is een enorm verschil. </w:t>
      </w:r>
    </w:p>
    <w:p w:rsidRPr="00810B3D" w:rsidR="00810B3D" w:rsidP="0070413A" w:rsidRDefault="00810B3D" w14:paraId="7776F8D8" w14:textId="77777777">
      <w:pPr>
        <w:rPr>
          <w:color w:val="000000" w:themeColor="text1"/>
          <w:szCs w:val="24"/>
        </w:rPr>
      </w:pPr>
      <w:r w:rsidRPr="00810B3D">
        <w:rPr>
          <w:color w:val="000000" w:themeColor="text1"/>
          <w:szCs w:val="24"/>
        </w:rPr>
        <w:t xml:space="preserve">De Europese raming is waarschijnlijk een stuk accurater. </w:t>
      </w:r>
    </w:p>
    <w:p w:rsidRPr="00810B3D" w:rsidR="00810B3D" w:rsidP="0070413A" w:rsidRDefault="00810B3D" w14:paraId="2A355F98" w14:textId="77777777">
      <w:pPr>
        <w:rPr>
          <w:color w:val="000000" w:themeColor="text1"/>
          <w:szCs w:val="24"/>
        </w:rPr>
      </w:pPr>
    </w:p>
    <w:p w:rsidRPr="00810B3D" w:rsidR="00810B3D" w:rsidP="0070413A" w:rsidRDefault="00810B3D" w14:paraId="5CA11E10" w14:textId="150CC875">
      <w:pPr>
        <w:rPr>
          <w:color w:val="000000" w:themeColor="text1"/>
          <w:szCs w:val="24"/>
        </w:rPr>
      </w:pPr>
      <w:r w:rsidRPr="00810B3D">
        <w:rPr>
          <w:color w:val="000000" w:themeColor="text1"/>
          <w:szCs w:val="24"/>
        </w:rPr>
        <w:t xml:space="preserve">De afgelopen jaren valt op dat de najaarsnota elk jaar veel te pessimistisch is over het saldo. Je zou denken dat je op 1 december van het lopend jaar een redelijk goede schatting kunt maken van het tekort over het lopend jaar en er misschien 2 of 3 miljard naast zit (0,2% of 0,3% van het BBP). Dat is niet het geval: in 2020 was de </w:t>
      </w:r>
      <w:r w:rsidR="00F34CC1">
        <w:rPr>
          <w:color w:val="000000" w:themeColor="text1"/>
          <w:szCs w:val="24"/>
        </w:rPr>
        <w:t>N</w:t>
      </w:r>
      <w:r w:rsidRPr="00810B3D">
        <w:rPr>
          <w:color w:val="000000" w:themeColor="text1"/>
          <w:szCs w:val="24"/>
        </w:rPr>
        <w:t xml:space="preserve">ajaarsnota 1,9% te pessimistisch, in 2021 2,6%, in 2022 1,0% en in 2023 1,5%. </w:t>
      </w:r>
      <w:r w:rsidRPr="00810B3D">
        <w:rPr>
          <w:color w:val="000000" w:themeColor="text1"/>
          <w:szCs w:val="24"/>
        </w:rPr>
        <w:br/>
        <w:t>Dat is echt schokkend slecht te noemen.  Je zit er zo laat in het jaar nog steeds gewoon soms meer dan 20 miljard naast.</w:t>
      </w:r>
      <w:r w:rsidRPr="00810B3D">
        <w:rPr>
          <w:color w:val="000000" w:themeColor="text1"/>
          <w:szCs w:val="24"/>
        </w:rPr>
        <w:br/>
        <w:t xml:space="preserve">Dat betekent dat de regering gedurende het jaar niet in staat is de ramingen bij te stellen op basis van de realisaties in uitgaven en inkomsten. </w:t>
      </w:r>
    </w:p>
    <w:p w:rsidRPr="00810B3D" w:rsidR="00810B3D" w:rsidP="0070413A" w:rsidRDefault="00810B3D" w14:paraId="2C0B2F78" w14:textId="6B66CAF7">
      <w:pPr>
        <w:rPr>
          <w:color w:val="000000" w:themeColor="text1"/>
          <w:szCs w:val="24"/>
        </w:rPr>
      </w:pPr>
      <w:r w:rsidRPr="00810B3D">
        <w:rPr>
          <w:color w:val="000000" w:themeColor="text1"/>
          <w:szCs w:val="24"/>
        </w:rPr>
        <w:t xml:space="preserve">Tussen 2012 en 2019 (de 8 jaren daarvoor) was de afwijking </w:t>
      </w:r>
      <w:r w:rsidR="00565DF3">
        <w:rPr>
          <w:color w:val="000000" w:themeColor="text1"/>
          <w:szCs w:val="24"/>
        </w:rPr>
        <w:t xml:space="preserve">tussen het </w:t>
      </w:r>
      <w:r w:rsidR="009133BD">
        <w:rPr>
          <w:color w:val="000000" w:themeColor="text1"/>
          <w:szCs w:val="24"/>
        </w:rPr>
        <w:t xml:space="preserve">financieel </w:t>
      </w:r>
      <w:proofErr w:type="spellStart"/>
      <w:r w:rsidR="002C6DAA">
        <w:rPr>
          <w:color w:val="000000" w:themeColor="text1"/>
          <w:szCs w:val="24"/>
        </w:rPr>
        <w:t>J</w:t>
      </w:r>
      <w:r w:rsidR="009133BD">
        <w:rPr>
          <w:color w:val="000000" w:themeColor="text1"/>
          <w:szCs w:val="24"/>
        </w:rPr>
        <w:t>aarsverslag</w:t>
      </w:r>
      <w:proofErr w:type="spellEnd"/>
      <w:r w:rsidR="00565DF3">
        <w:rPr>
          <w:color w:val="000000" w:themeColor="text1"/>
          <w:szCs w:val="24"/>
        </w:rPr>
        <w:t xml:space="preserve"> en de </w:t>
      </w:r>
      <w:r w:rsidR="002C6DAA">
        <w:rPr>
          <w:color w:val="000000" w:themeColor="text1"/>
          <w:szCs w:val="24"/>
        </w:rPr>
        <w:t>N</w:t>
      </w:r>
      <w:r w:rsidR="00C67E63">
        <w:rPr>
          <w:color w:val="000000" w:themeColor="text1"/>
          <w:szCs w:val="24"/>
        </w:rPr>
        <w:t xml:space="preserve">ajaarsnota </w:t>
      </w:r>
      <w:r w:rsidRPr="00810B3D">
        <w:rPr>
          <w:color w:val="000000" w:themeColor="text1"/>
          <w:szCs w:val="24"/>
        </w:rPr>
        <w:t>nooit meer dan 0,8% en in sommige jaren ook echt maar 0,1% of 0,2%. De ramingen zijn de afgelopen jaren dus zeer aanzienlijk verslechterd op dit punt.</w:t>
      </w:r>
    </w:p>
    <w:p w:rsidRPr="00810B3D" w:rsidR="00810B3D" w:rsidP="0070413A" w:rsidRDefault="00810B3D" w14:paraId="4428D866" w14:textId="77777777">
      <w:pPr>
        <w:rPr>
          <w:color w:val="000000" w:themeColor="text1"/>
          <w:szCs w:val="24"/>
        </w:rPr>
      </w:pPr>
    </w:p>
    <w:p w:rsidRPr="00810B3D" w:rsidR="00810B3D" w:rsidP="0070413A" w:rsidRDefault="00810B3D" w14:paraId="6E0297AB" w14:textId="77777777">
      <w:pPr>
        <w:rPr>
          <w:color w:val="000000" w:themeColor="text1"/>
          <w:szCs w:val="24"/>
        </w:rPr>
      </w:pPr>
      <w:r w:rsidRPr="00810B3D">
        <w:rPr>
          <w:color w:val="000000" w:themeColor="text1"/>
          <w:szCs w:val="24"/>
        </w:rPr>
        <w:t xml:space="preserve">Bij de lange termijnramingen is Nederland het enige land van de Unie, dat de doelstellingen niet haalt meldde eurocommissaris </w:t>
      </w:r>
      <w:proofErr w:type="spellStart"/>
      <w:r w:rsidRPr="00810B3D">
        <w:rPr>
          <w:color w:val="000000" w:themeColor="text1"/>
          <w:szCs w:val="24"/>
        </w:rPr>
        <w:t>Gentiloni</w:t>
      </w:r>
      <w:proofErr w:type="spellEnd"/>
      <w:r w:rsidRPr="00810B3D">
        <w:rPr>
          <w:color w:val="000000" w:themeColor="text1"/>
          <w:szCs w:val="24"/>
        </w:rPr>
        <w:t xml:space="preserve"> eind november 2024. </w:t>
      </w:r>
      <w:r w:rsidRPr="00810B3D">
        <w:rPr>
          <w:color w:val="000000" w:themeColor="text1"/>
          <w:szCs w:val="24"/>
        </w:rPr>
        <w:br/>
        <w:t>Daar passen twee kanttekeningen bij: ramingen voor 2026 zijn moeilijk, maar iets zinnigs zeggen over 2038 gaat gepaard met grote onzekerheidsmarges. Als je een maand voor het eind van het jaar er regelmatig 2,0% (meer dan 20 miljard) naast zit over het lopend jaar, dan is een afwijking van 1,1% in 2038 in perspectief te plaatsen.</w:t>
      </w:r>
    </w:p>
    <w:p w:rsidRPr="00810B3D" w:rsidR="00810B3D" w:rsidP="0070413A" w:rsidRDefault="00810B3D" w14:paraId="74817A6C" w14:textId="77777777">
      <w:pPr>
        <w:rPr>
          <w:color w:val="000000" w:themeColor="text1"/>
          <w:szCs w:val="24"/>
        </w:rPr>
      </w:pPr>
      <w:r w:rsidRPr="00810B3D">
        <w:rPr>
          <w:color w:val="000000" w:themeColor="text1"/>
          <w:szCs w:val="24"/>
        </w:rPr>
        <w:br/>
        <w:t>Maar het gaat verder dan dit: Nederland volgt niet de ramingen van de Europese Commissie, maar gebruikt de CPB-ramingen die een stuk pessimistischer zijn</w:t>
      </w:r>
      <w:r w:rsidRPr="00810B3D">
        <w:rPr>
          <w:rStyle w:val="Voetnootmarkering"/>
          <w:color w:val="000000" w:themeColor="text1"/>
          <w:szCs w:val="24"/>
        </w:rPr>
        <w:footnoteReference w:id="4"/>
      </w:r>
      <w:r w:rsidRPr="00810B3D">
        <w:rPr>
          <w:color w:val="000000" w:themeColor="text1"/>
          <w:szCs w:val="24"/>
        </w:rPr>
        <w:t xml:space="preserve">. Nu laten de Europese regels toe dat je eigen pessimistischere ramingen gebruikt, maar Nederland is waarschijnlijk het enige land dat van die gelegenheid gebruikt maakt. </w:t>
      </w:r>
      <w:r w:rsidRPr="00810B3D">
        <w:rPr>
          <w:color w:val="000000" w:themeColor="text1"/>
          <w:szCs w:val="24"/>
        </w:rPr>
        <w:br/>
      </w:r>
      <w:r w:rsidRPr="00810B3D">
        <w:rPr>
          <w:color w:val="000000" w:themeColor="text1"/>
          <w:szCs w:val="24"/>
        </w:rPr>
        <w:br/>
        <w:t>De minister vraagt zijn ambtenaren in september 2024</w:t>
      </w:r>
      <w:r w:rsidRPr="00810B3D">
        <w:rPr>
          <w:rStyle w:val="Voetnootmarkering"/>
          <w:color w:val="000000" w:themeColor="text1"/>
          <w:szCs w:val="24"/>
        </w:rPr>
        <w:footnoteReference w:id="5"/>
      </w:r>
      <w:r w:rsidRPr="00810B3D">
        <w:rPr>
          <w:color w:val="000000" w:themeColor="text1"/>
          <w:szCs w:val="24"/>
        </w:rPr>
        <w:t xml:space="preserve"> dan ook om realistischer te begroten. Die antwoorden dat dit ook een focusonderwerp zal zijn in het Financieel Jaarverslag van het Rijk dat in mei 2025 zal verschijnen. Dat is, gezien de rest van deze nota, ook zeer verstandig.</w:t>
      </w:r>
    </w:p>
    <w:p w:rsidR="00D51E82" w:rsidP="0070413A" w:rsidRDefault="00D51E82" w14:paraId="4F9FFFD0" w14:textId="77777777">
      <w:pPr>
        <w:rPr>
          <w:color w:val="000000" w:themeColor="text1"/>
          <w:szCs w:val="24"/>
        </w:rPr>
      </w:pPr>
      <w:bookmarkStart w:name="_Toc185231903" w:id="3"/>
    </w:p>
    <w:p w:rsidRPr="00D51E82" w:rsidR="00810B3D" w:rsidP="0070413A" w:rsidRDefault="00C17DA9" w14:paraId="152C038D" w14:textId="74895283">
      <w:pPr>
        <w:rPr>
          <w:b/>
          <w:bCs/>
          <w:color w:val="000000" w:themeColor="text1"/>
          <w:szCs w:val="24"/>
        </w:rPr>
      </w:pPr>
      <w:r>
        <w:rPr>
          <w:b/>
          <w:bCs/>
          <w:color w:val="000000" w:themeColor="text1"/>
          <w:szCs w:val="24"/>
        </w:rPr>
        <w:t>4</w:t>
      </w:r>
      <w:r w:rsidRPr="00D51E82" w:rsidR="00D51E82">
        <w:rPr>
          <w:b/>
          <w:bCs/>
          <w:color w:val="000000" w:themeColor="text1"/>
          <w:szCs w:val="24"/>
        </w:rPr>
        <w:t xml:space="preserve">. </w:t>
      </w:r>
      <w:r w:rsidRPr="00D51E82" w:rsidR="00810B3D">
        <w:rPr>
          <w:b/>
          <w:bCs/>
          <w:color w:val="000000" w:themeColor="text1"/>
          <w:szCs w:val="24"/>
        </w:rPr>
        <w:t>De Wet Hof: ramingen hebben gevolgen</w:t>
      </w:r>
      <w:bookmarkEnd w:id="3"/>
    </w:p>
    <w:p w:rsidRPr="00810B3D" w:rsidR="00810B3D" w:rsidP="0070413A" w:rsidRDefault="00810B3D" w14:paraId="54910420" w14:textId="77777777">
      <w:pPr>
        <w:rPr>
          <w:i/>
          <w:iCs/>
          <w:color w:val="000000" w:themeColor="text1"/>
          <w:szCs w:val="24"/>
        </w:rPr>
      </w:pPr>
    </w:p>
    <w:p w:rsidRPr="00810B3D" w:rsidR="00810B3D" w:rsidP="0070413A" w:rsidRDefault="00810B3D" w14:paraId="5A58198A" w14:textId="1B331197">
      <w:pPr>
        <w:rPr>
          <w:color w:val="000000" w:themeColor="text1"/>
          <w:szCs w:val="24"/>
        </w:rPr>
      </w:pPr>
      <w:r w:rsidRPr="00810B3D">
        <w:rPr>
          <w:color w:val="000000" w:themeColor="text1"/>
          <w:szCs w:val="24"/>
        </w:rPr>
        <w:t>De Wet houdbare overheidsfinanciën schrijft voor dat de overheid aan de Europese begrotingsnormen moet voldoen en dat daarvoor de ramingen van het CPB het uitgangspunt zijn. Letterlijk staat er: “</w:t>
      </w:r>
      <w:r w:rsidR="006575BA">
        <w:rPr>
          <w:color w:val="000000" w:themeColor="text1"/>
          <w:szCs w:val="24"/>
        </w:rPr>
        <w:t>h</w:t>
      </w:r>
      <w:r w:rsidRPr="00810B3D">
        <w:rPr>
          <w:color w:val="000000" w:themeColor="text1"/>
          <w:szCs w:val="24"/>
        </w:rPr>
        <w:t>et trendmatig begrotingsbeleid wordt gevoerd [….] op basis van de meerjarencijfers en de macro-economische ramingen van de relevante variabelen van het CPB.”</w:t>
      </w:r>
    </w:p>
    <w:p w:rsidRPr="00810B3D" w:rsidR="00810B3D" w:rsidP="0070413A" w:rsidRDefault="00810B3D" w14:paraId="00D89BC7" w14:textId="77777777">
      <w:pPr>
        <w:rPr>
          <w:color w:val="000000" w:themeColor="text1"/>
          <w:szCs w:val="24"/>
        </w:rPr>
      </w:pPr>
    </w:p>
    <w:p w:rsidRPr="00810B3D" w:rsidR="00810B3D" w:rsidP="0070413A" w:rsidRDefault="00810B3D" w14:paraId="10DCD034" w14:textId="5DF54348">
      <w:pPr>
        <w:rPr>
          <w:color w:val="000000" w:themeColor="text1"/>
          <w:szCs w:val="24"/>
        </w:rPr>
      </w:pPr>
      <w:r w:rsidRPr="00810B3D">
        <w:rPr>
          <w:color w:val="000000" w:themeColor="text1"/>
          <w:szCs w:val="24"/>
        </w:rPr>
        <w:t>Als die ramingen</w:t>
      </w:r>
      <w:r w:rsidR="00707E83">
        <w:rPr>
          <w:color w:val="000000" w:themeColor="text1"/>
          <w:szCs w:val="24"/>
        </w:rPr>
        <w:t xml:space="preserve"> van het CPB</w:t>
      </w:r>
      <w:r w:rsidRPr="00810B3D">
        <w:rPr>
          <w:color w:val="000000" w:themeColor="text1"/>
          <w:szCs w:val="24"/>
        </w:rPr>
        <w:t xml:space="preserve"> (die bijzonder dicht bij de ramingen van Financiën zitten) er structureel naast zitten, dan voert de regering dus een begrotingsbeleid op basis van verkeerde ramingen, namelijk ramingen met een systematische afwijking. </w:t>
      </w:r>
    </w:p>
    <w:p w:rsidRPr="00810B3D" w:rsidR="00810B3D" w:rsidP="0070413A" w:rsidRDefault="00810B3D" w14:paraId="022C0322" w14:textId="2672FE22">
      <w:pPr>
        <w:rPr>
          <w:color w:val="000000" w:themeColor="text1"/>
          <w:szCs w:val="24"/>
        </w:rPr>
      </w:pPr>
      <w:r w:rsidRPr="00810B3D">
        <w:rPr>
          <w:color w:val="000000" w:themeColor="text1"/>
          <w:szCs w:val="24"/>
        </w:rPr>
        <w:t>Boonstra</w:t>
      </w:r>
      <w:r w:rsidRPr="00810B3D">
        <w:rPr>
          <w:rStyle w:val="Voetnootmarkering"/>
          <w:color w:val="000000" w:themeColor="text1"/>
          <w:szCs w:val="24"/>
        </w:rPr>
        <w:footnoteReference w:id="6"/>
      </w:r>
      <w:r w:rsidRPr="00810B3D">
        <w:rPr>
          <w:color w:val="000000" w:themeColor="text1"/>
          <w:szCs w:val="24"/>
        </w:rPr>
        <w:t xml:space="preserve"> (2024) toont met zeer vergelijkbare grafieken aan dat de ramingen van CPB ongeveer net zoveel afwijken als de ramingen van </w:t>
      </w:r>
      <w:r w:rsidR="00707E83">
        <w:rPr>
          <w:color w:val="000000" w:themeColor="text1"/>
          <w:szCs w:val="24"/>
        </w:rPr>
        <w:t>F</w:t>
      </w:r>
      <w:r w:rsidRPr="00810B3D">
        <w:rPr>
          <w:color w:val="000000" w:themeColor="text1"/>
          <w:szCs w:val="24"/>
        </w:rPr>
        <w:t xml:space="preserve">inanciën. </w:t>
      </w:r>
    </w:p>
    <w:p w:rsidRPr="00810B3D" w:rsidR="00810B3D" w:rsidP="0070413A" w:rsidRDefault="00810B3D" w14:paraId="6D80DCB8" w14:textId="77777777">
      <w:pPr>
        <w:rPr>
          <w:color w:val="000000" w:themeColor="text1"/>
          <w:szCs w:val="24"/>
        </w:rPr>
      </w:pPr>
      <w:r w:rsidRPr="00810B3D">
        <w:rPr>
          <w:color w:val="000000" w:themeColor="text1"/>
          <w:szCs w:val="24"/>
        </w:rPr>
        <w:br/>
        <w:t xml:space="preserve">Dat is zorgwekkend omdat dat betekent dat er geen open debat is over de ramingen en dat deze twee instellingen er niet in slagen om systematische ramingsfouten te elimineren. </w:t>
      </w:r>
      <w:r w:rsidRPr="00810B3D">
        <w:rPr>
          <w:color w:val="000000" w:themeColor="text1"/>
          <w:szCs w:val="24"/>
        </w:rPr>
        <w:br/>
        <w:t xml:space="preserve">Sterker nog, we hebben geen enkele eigen evaluatie van de ramingen kunnen vinden en </w:t>
      </w:r>
      <w:bookmarkStart w:name="OLE_LINK1" w:id="4"/>
      <w:r w:rsidRPr="00810B3D">
        <w:rPr>
          <w:color w:val="000000" w:themeColor="text1"/>
          <w:szCs w:val="24"/>
        </w:rPr>
        <w:t>pas na vragen van Nieuw Sociaal Contract bij de Algemene Financiële Beschouwingen in oktober 2024, is toegezegd de ramingen te gaan evalueren.</w:t>
      </w:r>
    </w:p>
    <w:bookmarkEnd w:id="4"/>
    <w:p w:rsidRPr="00810B3D" w:rsidR="00810B3D" w:rsidP="0070413A" w:rsidRDefault="00810B3D" w14:paraId="03A06B3C" w14:textId="77777777">
      <w:pPr>
        <w:rPr>
          <w:color w:val="000000" w:themeColor="text1"/>
          <w:szCs w:val="24"/>
        </w:rPr>
      </w:pPr>
      <w:r w:rsidRPr="00810B3D">
        <w:rPr>
          <w:color w:val="000000" w:themeColor="text1"/>
          <w:szCs w:val="24"/>
        </w:rPr>
        <w:t xml:space="preserve">Het is goed dat politici niet kunnen shoppen in ramingen. Maar de keerzijde is wel dat de ramingen geen systematische fouten dienen te bevatten van tientallen miljarden. Daarom evalueren we in deze nota de ramingen verder. </w:t>
      </w:r>
    </w:p>
    <w:p w:rsidRPr="00810B3D" w:rsidR="00810B3D" w:rsidP="0070413A" w:rsidRDefault="00810B3D" w14:paraId="3C3E8A47" w14:textId="77777777">
      <w:pPr>
        <w:rPr>
          <w:color w:val="000000" w:themeColor="text1"/>
          <w:szCs w:val="24"/>
        </w:rPr>
      </w:pPr>
    </w:p>
    <w:p w:rsidRPr="00810B3D" w:rsidR="00810B3D" w:rsidP="0070413A" w:rsidRDefault="00810B3D" w14:paraId="464BA973" w14:textId="77777777">
      <w:pPr>
        <w:rPr>
          <w:color w:val="000000" w:themeColor="text1"/>
          <w:szCs w:val="24"/>
        </w:rPr>
      </w:pPr>
      <w:r w:rsidRPr="00810B3D">
        <w:rPr>
          <w:color w:val="000000" w:themeColor="text1"/>
          <w:szCs w:val="24"/>
        </w:rPr>
        <w:t>De Wet houdbare overheidsfinanciën (HOF) heeft concrete gevolgen. De Wet HOF schrijft, zoals gezegd, de Europese begrotingsnormen voor. Het maximale  begrotingstekort van 3% van het BBP en de maximale staatsschuld van 60% van het BBP zijn niet alleen Europese verplichtingen. Via de Wet HOF zijn dit dus ook Nederlandse verplichtingen.</w:t>
      </w:r>
    </w:p>
    <w:p w:rsidRPr="00810B3D" w:rsidR="00810B3D" w:rsidP="0070413A" w:rsidRDefault="00810B3D" w14:paraId="5FB06A95" w14:textId="77777777">
      <w:pPr>
        <w:rPr>
          <w:color w:val="000000" w:themeColor="text1"/>
          <w:szCs w:val="24"/>
        </w:rPr>
      </w:pPr>
    </w:p>
    <w:p w:rsidRPr="00810B3D" w:rsidR="00810B3D" w:rsidP="0070413A" w:rsidRDefault="00810B3D" w14:paraId="0DF5ACC0" w14:textId="77777777">
      <w:pPr>
        <w:rPr>
          <w:color w:val="000000" w:themeColor="text1"/>
          <w:szCs w:val="24"/>
        </w:rPr>
      </w:pPr>
      <w:r w:rsidRPr="00810B3D">
        <w:rPr>
          <w:color w:val="000000" w:themeColor="text1"/>
          <w:szCs w:val="24"/>
        </w:rPr>
        <w:t xml:space="preserve">Op grond van de ramingen wordt besloten over bezuinigingen, uitgaven en investeringen. De afweging hierover wordt sterk bemoeilijkt als de informatie over de ramingen niet klopt. </w:t>
      </w:r>
      <w:r w:rsidRPr="00810B3D">
        <w:rPr>
          <w:color w:val="000000" w:themeColor="text1"/>
          <w:szCs w:val="24"/>
        </w:rPr>
        <w:lastRenderedPageBreak/>
        <w:t xml:space="preserve">Bijvoorbeeld voor de Lelylijn en Nedersaksenlijn is er momenteel te weinig budget bij I&amp;W. Als er realistische ramingen zouden zijn, is de kans erg groot dat deze middelen wel gevonden zouden kunnen worden. En dat geldt voor meer voorstellen zoals deze zijn neergelegd in het Meerjarenprogramma Infrastructuur, Ruimte en Transport (MIRT). Ook voor het bouwen van woningen is niet altijd voldoende geld beschikbaar. </w:t>
      </w:r>
    </w:p>
    <w:p w:rsidRPr="00810B3D" w:rsidR="00810B3D" w:rsidP="0070413A" w:rsidRDefault="00810B3D" w14:paraId="24F0F454" w14:textId="03721E46">
      <w:pPr>
        <w:rPr>
          <w:color w:val="000000" w:themeColor="text1"/>
          <w:szCs w:val="24"/>
        </w:rPr>
      </w:pPr>
      <w:r w:rsidRPr="00810B3D">
        <w:rPr>
          <w:color w:val="000000" w:themeColor="text1"/>
          <w:szCs w:val="24"/>
        </w:rPr>
        <w:t>Onrealistische en onjuiste ramingen hebben ook hun invloed gehad op de afgelopen formatie, waar de</w:t>
      </w:r>
      <w:r w:rsidR="00BC1D72">
        <w:rPr>
          <w:color w:val="000000" w:themeColor="text1"/>
          <w:szCs w:val="24"/>
        </w:rPr>
        <w:t xml:space="preserve"> accurate </w:t>
      </w:r>
      <w:r w:rsidRPr="00810B3D">
        <w:rPr>
          <w:color w:val="000000" w:themeColor="text1"/>
          <w:szCs w:val="24"/>
        </w:rPr>
        <w:t xml:space="preserve">ramingen niet </w:t>
      </w:r>
      <w:r w:rsidR="00BC1D72">
        <w:rPr>
          <w:color w:val="000000" w:themeColor="text1"/>
          <w:szCs w:val="24"/>
        </w:rPr>
        <w:t xml:space="preserve">tijdig en </w:t>
      </w:r>
      <w:r w:rsidRPr="00810B3D">
        <w:rPr>
          <w:color w:val="000000" w:themeColor="text1"/>
          <w:szCs w:val="24"/>
        </w:rPr>
        <w:t xml:space="preserve">duidelijk op tafel kwamen. </w:t>
      </w:r>
      <w:r w:rsidR="00BC3D51">
        <w:rPr>
          <w:color w:val="000000" w:themeColor="text1"/>
          <w:szCs w:val="24"/>
        </w:rPr>
        <w:t xml:space="preserve">Daar heeft Nieuw Sociaal Contract destijds ook </w:t>
      </w:r>
      <w:proofErr w:type="spellStart"/>
      <w:r w:rsidR="00BC3D51">
        <w:rPr>
          <w:color w:val="000000" w:themeColor="text1"/>
          <w:szCs w:val="24"/>
        </w:rPr>
        <w:t>opgewezen</w:t>
      </w:r>
      <w:proofErr w:type="spellEnd"/>
      <w:r w:rsidR="00BC3D51">
        <w:rPr>
          <w:color w:val="000000" w:themeColor="text1"/>
          <w:szCs w:val="24"/>
        </w:rPr>
        <w:t>.</w:t>
      </w:r>
    </w:p>
    <w:p w:rsidRPr="00810B3D" w:rsidR="00810B3D" w:rsidP="0070413A" w:rsidRDefault="00810B3D" w14:paraId="4ADA054B" w14:textId="77777777">
      <w:pPr>
        <w:rPr>
          <w:color w:val="000000" w:themeColor="text1"/>
          <w:szCs w:val="24"/>
        </w:rPr>
      </w:pPr>
      <w:r w:rsidRPr="00810B3D">
        <w:rPr>
          <w:color w:val="000000" w:themeColor="text1"/>
          <w:szCs w:val="24"/>
        </w:rPr>
        <w:t>Maar ook in de afgelopen maanden, waarin de Kamer zich in moeilijke bochten moest wringen om dekking te zoeken voor begrotingsamendementen. Ook het vinden van alternatieven voor de btw-verhogingen en de OCW-begroting werd sterk bemoeilijkt door onjuiste ramingen. En tenslotte is er nog een principieel punt. Het parlement moet zijn grondwettelijke budgetrecht (art. 105 Grondwet) kunnen uitoefenen.</w:t>
      </w:r>
    </w:p>
    <w:p w:rsidR="00810B3D" w:rsidP="0070413A" w:rsidRDefault="00810B3D" w14:paraId="206CC0A0" w14:textId="2DAF8146">
      <w:pPr>
        <w:rPr>
          <w:color w:val="000000" w:themeColor="text1"/>
          <w:szCs w:val="24"/>
        </w:rPr>
      </w:pPr>
      <w:r w:rsidRPr="00810B3D">
        <w:rPr>
          <w:color w:val="000000" w:themeColor="text1"/>
          <w:szCs w:val="24"/>
        </w:rPr>
        <w:t xml:space="preserve">We vatten de inlichtingenplicht van de regering aan de Kamer en aan een individueel Kamerlid (art. 68 Grondwet) niet alleen op als het recht op informatie maar ook het recht op zo accuraat mogelijke informatie. Dat geldt dus expliciet ook voor de ramingen. </w:t>
      </w:r>
      <w:r w:rsidRPr="00810B3D">
        <w:rPr>
          <w:color w:val="000000" w:themeColor="text1"/>
          <w:szCs w:val="24"/>
        </w:rPr>
        <w:br/>
        <w:t>Kortom, de ramingen moeten echt beter.</w:t>
      </w:r>
    </w:p>
    <w:p w:rsidR="00804B21" w:rsidP="0070413A" w:rsidRDefault="00804B21" w14:paraId="6956F643" w14:textId="77777777">
      <w:pPr>
        <w:rPr>
          <w:color w:val="000000" w:themeColor="text1"/>
          <w:szCs w:val="24"/>
        </w:rPr>
      </w:pPr>
    </w:p>
    <w:p w:rsidRPr="00230D87" w:rsidR="00804B21" w:rsidP="0070413A" w:rsidRDefault="00C17DA9" w14:paraId="2789554D" w14:textId="5E2CEF52">
      <w:pPr>
        <w:rPr>
          <w:b/>
          <w:bCs/>
          <w:color w:val="000000" w:themeColor="text1"/>
          <w:szCs w:val="24"/>
        </w:rPr>
      </w:pPr>
      <w:r>
        <w:rPr>
          <w:b/>
          <w:bCs/>
          <w:color w:val="000000" w:themeColor="text1"/>
          <w:szCs w:val="24"/>
        </w:rPr>
        <w:t>5</w:t>
      </w:r>
      <w:r w:rsidRPr="00230D87" w:rsidR="00804B21">
        <w:rPr>
          <w:b/>
          <w:bCs/>
          <w:color w:val="000000" w:themeColor="text1"/>
          <w:szCs w:val="24"/>
        </w:rPr>
        <w:t xml:space="preserve">. </w:t>
      </w:r>
      <w:r w:rsidRPr="00230D87" w:rsidR="00230D87">
        <w:rPr>
          <w:b/>
          <w:bCs/>
          <w:color w:val="000000" w:themeColor="text1"/>
          <w:szCs w:val="24"/>
        </w:rPr>
        <w:t>Uitgavenkant</w:t>
      </w:r>
    </w:p>
    <w:p w:rsidRPr="00810B3D" w:rsidR="00804B21" w:rsidP="0070413A" w:rsidRDefault="00804B21" w14:paraId="6AEA15C2" w14:textId="77777777">
      <w:pPr>
        <w:rPr>
          <w:color w:val="000000" w:themeColor="text1"/>
          <w:szCs w:val="24"/>
        </w:rPr>
      </w:pPr>
    </w:p>
    <w:p w:rsidRPr="00810B3D" w:rsidR="00810B3D" w:rsidP="0070413A" w:rsidRDefault="00810B3D" w14:paraId="072670E7" w14:textId="77777777">
      <w:pPr>
        <w:rPr>
          <w:rStyle w:val="Nadruk"/>
          <w:rFonts w:eastAsiaTheme="majorEastAsia"/>
          <w:i w:val="0"/>
          <w:iCs w:val="0"/>
          <w:color w:val="000000" w:themeColor="text1"/>
          <w:szCs w:val="24"/>
        </w:rPr>
      </w:pPr>
      <w:r w:rsidRPr="00810B3D">
        <w:rPr>
          <w:rStyle w:val="Nadruk"/>
          <w:rFonts w:eastAsiaTheme="majorEastAsia"/>
          <w:i w:val="0"/>
          <w:iCs w:val="0"/>
          <w:color w:val="000000" w:themeColor="text1"/>
          <w:szCs w:val="24"/>
        </w:rPr>
        <w:t xml:space="preserve">Aan de uitgavenkant zien we dat zich problemen voordoen met het daadwerkelijk uitgeven van de begrote bedragen. Dat hangt bijvoorbeeld samen met levertijden bij Defensie, arbeidsmarktkrapte in de bouwsector et cetera. Deze en andere factoren zorgen ervoor dat het begrote geld vaak niet tijdig en volledig uitgegeven wordt.  </w:t>
      </w:r>
    </w:p>
    <w:p w:rsidRPr="00810B3D" w:rsidR="00810B3D" w:rsidP="0070413A" w:rsidRDefault="00810B3D" w14:paraId="68C5F8ED" w14:textId="77777777">
      <w:pPr>
        <w:rPr>
          <w:rStyle w:val="Nadruk"/>
          <w:rFonts w:eastAsiaTheme="majorEastAsia"/>
          <w:i w:val="0"/>
          <w:iCs w:val="0"/>
          <w:color w:val="000000" w:themeColor="text1"/>
          <w:szCs w:val="24"/>
        </w:rPr>
      </w:pPr>
    </w:p>
    <w:p w:rsidRPr="00810B3D" w:rsidR="00810B3D" w:rsidP="0070413A" w:rsidRDefault="00810B3D" w14:paraId="0DEB7FFB" w14:textId="77777777">
      <w:pPr>
        <w:rPr>
          <w:rStyle w:val="Nadruk"/>
          <w:rFonts w:eastAsiaTheme="majorEastAsia"/>
          <w:i w:val="0"/>
          <w:iCs w:val="0"/>
          <w:color w:val="000000" w:themeColor="text1"/>
          <w:szCs w:val="24"/>
        </w:rPr>
      </w:pPr>
      <w:r w:rsidRPr="00810B3D">
        <w:rPr>
          <w:rStyle w:val="Nadruk"/>
          <w:rFonts w:eastAsiaTheme="majorEastAsia"/>
          <w:i w:val="0"/>
          <w:iCs w:val="0"/>
          <w:color w:val="000000" w:themeColor="text1"/>
          <w:szCs w:val="24"/>
        </w:rPr>
        <w:t>De laatste jaren wordt jaarlijks ongeveer 4% van de begroting niet daadwerkelijk uitgegeven, terwijl dat de jaren ervoor nog ongeveer 1% was</w:t>
      </w:r>
      <w:r w:rsidRPr="00810B3D">
        <w:rPr>
          <w:rStyle w:val="Voetnootmarkering"/>
          <w:color w:val="000000" w:themeColor="text1"/>
          <w:szCs w:val="24"/>
        </w:rPr>
        <w:footnoteReference w:id="7"/>
      </w:r>
      <w:r w:rsidRPr="00810B3D">
        <w:rPr>
          <w:rStyle w:val="Nadruk"/>
          <w:rFonts w:eastAsiaTheme="majorEastAsia"/>
          <w:i w:val="0"/>
          <w:iCs w:val="0"/>
          <w:color w:val="000000" w:themeColor="text1"/>
          <w:szCs w:val="24"/>
        </w:rPr>
        <w:t>. Dat is een forse stijging. Dit zou je kunnen opvatten als “</w:t>
      </w:r>
      <w:proofErr w:type="spellStart"/>
      <w:r w:rsidRPr="00810B3D">
        <w:rPr>
          <w:rStyle w:val="Nadruk"/>
          <w:rFonts w:eastAsiaTheme="majorEastAsia"/>
          <w:i w:val="0"/>
          <w:iCs w:val="0"/>
          <w:color w:val="000000" w:themeColor="text1"/>
          <w:szCs w:val="24"/>
        </w:rPr>
        <w:t>onderuitputtingsruimte</w:t>
      </w:r>
      <w:proofErr w:type="spellEnd"/>
      <w:r w:rsidRPr="00810B3D">
        <w:rPr>
          <w:rStyle w:val="Nadruk"/>
          <w:rFonts w:eastAsiaTheme="majorEastAsia"/>
          <w:i w:val="0"/>
          <w:iCs w:val="0"/>
          <w:color w:val="000000" w:themeColor="text1"/>
          <w:szCs w:val="24"/>
        </w:rPr>
        <w:t xml:space="preserve">”. Realistischer ramen zou ook betekenen dat de </w:t>
      </w:r>
      <w:proofErr w:type="spellStart"/>
      <w:r w:rsidRPr="00810B3D">
        <w:rPr>
          <w:rStyle w:val="Nadruk"/>
          <w:rFonts w:eastAsiaTheme="majorEastAsia"/>
          <w:i w:val="0"/>
          <w:iCs w:val="0"/>
          <w:color w:val="000000" w:themeColor="text1"/>
          <w:szCs w:val="24"/>
        </w:rPr>
        <w:t>onderuitputting</w:t>
      </w:r>
      <w:proofErr w:type="spellEnd"/>
      <w:r w:rsidRPr="00810B3D">
        <w:rPr>
          <w:rStyle w:val="Nadruk"/>
          <w:rFonts w:eastAsiaTheme="majorEastAsia"/>
          <w:i w:val="0"/>
          <w:iCs w:val="0"/>
          <w:color w:val="000000" w:themeColor="text1"/>
          <w:szCs w:val="24"/>
        </w:rPr>
        <w:t xml:space="preserve"> serieuzer moet worden meegenomen in de afwegingen, ook al is </w:t>
      </w:r>
      <w:proofErr w:type="spellStart"/>
      <w:r w:rsidRPr="00810B3D">
        <w:rPr>
          <w:rStyle w:val="Nadruk"/>
          <w:rFonts w:eastAsiaTheme="majorEastAsia"/>
          <w:i w:val="0"/>
          <w:iCs w:val="0"/>
          <w:color w:val="000000" w:themeColor="text1"/>
          <w:szCs w:val="24"/>
        </w:rPr>
        <w:t>onderuitputting</w:t>
      </w:r>
      <w:proofErr w:type="spellEnd"/>
      <w:r w:rsidRPr="00810B3D">
        <w:rPr>
          <w:rStyle w:val="Nadruk"/>
          <w:rFonts w:eastAsiaTheme="majorEastAsia"/>
          <w:i w:val="0"/>
          <w:iCs w:val="0"/>
          <w:color w:val="000000" w:themeColor="text1"/>
          <w:szCs w:val="24"/>
        </w:rPr>
        <w:t xml:space="preserve"> niet verboden. Een begroting is immers een machtiging tot uitgave, geen verplichting tot uitgave. In een aantal gevallen is het juist prudent om niet elke begrote euro meteen uit te geven.</w:t>
      </w:r>
    </w:p>
    <w:p w:rsidRPr="00810B3D" w:rsidR="00810B3D" w:rsidP="0070413A" w:rsidRDefault="00810B3D" w14:paraId="1E997888" w14:textId="77777777">
      <w:pPr>
        <w:rPr>
          <w:rStyle w:val="Nadruk"/>
          <w:rFonts w:eastAsiaTheme="majorEastAsia"/>
          <w:i w:val="0"/>
          <w:iCs w:val="0"/>
          <w:color w:val="000000" w:themeColor="text1"/>
          <w:szCs w:val="24"/>
        </w:rPr>
      </w:pPr>
    </w:p>
    <w:p w:rsidRPr="00810B3D" w:rsidR="00810B3D" w:rsidP="0070413A" w:rsidRDefault="00810B3D" w14:paraId="00B1C3AA" w14:textId="77777777">
      <w:pPr>
        <w:rPr>
          <w:rStyle w:val="Nadruk"/>
          <w:rFonts w:eastAsiaTheme="majorEastAsia"/>
          <w:i w:val="0"/>
          <w:iCs w:val="0"/>
          <w:color w:val="000000" w:themeColor="text1"/>
          <w:szCs w:val="24"/>
        </w:rPr>
      </w:pPr>
      <w:r w:rsidRPr="00810B3D">
        <w:rPr>
          <w:rStyle w:val="Nadruk"/>
          <w:rFonts w:eastAsiaTheme="majorEastAsia"/>
          <w:i w:val="0"/>
          <w:iCs w:val="0"/>
          <w:color w:val="000000" w:themeColor="text1"/>
          <w:szCs w:val="24"/>
        </w:rPr>
        <w:t xml:space="preserve">De Tweede Kamer zou ook het recht moeten krijgen tot daadwerkelijke uitgaven te besluiten, ook als de regering dit eigenlijk niet wil. Nu bestaat hiervoor slechts het instrument van een motie, waarmee de Kamer de regering kan aansporen tot het daadwerkelijk realiseren van uitgaven. </w:t>
      </w:r>
    </w:p>
    <w:p w:rsidRPr="00810B3D" w:rsidR="00810B3D" w:rsidP="0070413A" w:rsidRDefault="00810B3D" w14:paraId="3EAC0475" w14:textId="77777777">
      <w:pPr>
        <w:rPr>
          <w:rStyle w:val="Nadruk"/>
          <w:rFonts w:eastAsiaTheme="majorEastAsia"/>
          <w:i w:val="0"/>
          <w:iCs w:val="0"/>
          <w:color w:val="000000" w:themeColor="text1"/>
          <w:szCs w:val="24"/>
        </w:rPr>
      </w:pPr>
    </w:p>
    <w:p w:rsidRPr="00810B3D" w:rsidR="00810B3D" w:rsidP="0070413A" w:rsidRDefault="00810B3D" w14:paraId="6833E314" w14:textId="77777777">
      <w:pPr>
        <w:rPr>
          <w:rStyle w:val="Nadruk"/>
          <w:rFonts w:eastAsiaTheme="majorEastAsia"/>
          <w:i w:val="0"/>
          <w:iCs w:val="0"/>
          <w:color w:val="000000" w:themeColor="text1"/>
          <w:szCs w:val="24"/>
        </w:rPr>
      </w:pPr>
      <w:r w:rsidRPr="00810B3D">
        <w:rPr>
          <w:rStyle w:val="Nadruk"/>
          <w:rFonts w:eastAsiaTheme="majorEastAsia"/>
          <w:i w:val="0"/>
          <w:iCs w:val="0"/>
          <w:color w:val="000000" w:themeColor="text1"/>
          <w:szCs w:val="24"/>
        </w:rPr>
        <w:t xml:space="preserve">Een </w:t>
      </w:r>
      <w:proofErr w:type="spellStart"/>
      <w:r w:rsidRPr="00810B3D">
        <w:rPr>
          <w:rStyle w:val="Nadruk"/>
          <w:rFonts w:eastAsiaTheme="majorEastAsia"/>
          <w:i w:val="0"/>
          <w:iCs w:val="0"/>
          <w:color w:val="000000" w:themeColor="text1"/>
          <w:szCs w:val="24"/>
        </w:rPr>
        <w:t>onderuitputting</w:t>
      </w:r>
      <w:proofErr w:type="spellEnd"/>
      <w:r w:rsidRPr="00810B3D">
        <w:rPr>
          <w:rStyle w:val="Nadruk"/>
          <w:rFonts w:eastAsiaTheme="majorEastAsia"/>
          <w:i w:val="0"/>
          <w:iCs w:val="0"/>
          <w:color w:val="000000" w:themeColor="text1"/>
          <w:szCs w:val="24"/>
        </w:rPr>
        <w:t xml:space="preserve"> van 4% van de begroting komt overeen met circa 18 miljard aan uitgavenmeevallers. In zekere zin zijn dit verstopte meevallers, die de Tweede Kamer nooit aan de voorkant van de besluitvorming te zien krijgt. Immers, in de begrotingen geeft de regering meestal aan dat de “vrije ruimte“ in de begroting nagenoeg 0% is; de juridisch verplichte delen van de begroting zouden meer dan 90% bedragen. De begroting wordt zodanig gepresenteerd dat er voor de Tweede Kamer geen ruimte meer is om te amenderen. Dat de Kamer die ruimte niet heeft, zien we ook terug in de cijfers: in werkelijkheid weet de Tweede Kamer maar voor 0,3% tot 0,5% van de begroting anders te bestemmen dan de regering wilde. Het grondwettelijke budgetrecht is daarmee voor een groot deel een wassen neus. De financiële ruimte wordt namelijk steeds pas achteraf zichtbaar. Bij de Voorjaarsnota </w:t>
      </w:r>
      <w:r w:rsidRPr="00810B3D">
        <w:rPr>
          <w:rStyle w:val="Nadruk"/>
          <w:rFonts w:eastAsiaTheme="majorEastAsia"/>
          <w:i w:val="0"/>
          <w:iCs w:val="0"/>
          <w:color w:val="000000" w:themeColor="text1"/>
          <w:szCs w:val="24"/>
        </w:rPr>
        <w:lastRenderedPageBreak/>
        <w:t xml:space="preserve">en de Najaarsnota, waarin vaak grote bedragen omgaan, rapporteert de regering zelfs helemaal niet over de budgetflexibiliteit. Dit zou wel moeten gebeuren. </w:t>
      </w:r>
    </w:p>
    <w:p w:rsidRPr="00810B3D" w:rsidR="00810B3D" w:rsidP="0070413A" w:rsidRDefault="00810B3D" w14:paraId="299B751F" w14:textId="77777777">
      <w:pPr>
        <w:rPr>
          <w:rStyle w:val="Nadruk"/>
          <w:rFonts w:eastAsiaTheme="majorEastAsia"/>
          <w:i w:val="0"/>
          <w:iCs w:val="0"/>
          <w:color w:val="000000" w:themeColor="text1"/>
          <w:szCs w:val="24"/>
        </w:rPr>
      </w:pPr>
    </w:p>
    <w:p w:rsidRPr="00810B3D" w:rsidR="00810B3D" w:rsidP="0070413A" w:rsidRDefault="00810B3D" w14:paraId="4BE8ED98" w14:textId="77777777">
      <w:pPr>
        <w:rPr>
          <w:rStyle w:val="Nadruk"/>
          <w:rFonts w:eastAsiaTheme="majorEastAsia"/>
          <w:i w:val="0"/>
          <w:iCs w:val="0"/>
          <w:color w:val="000000" w:themeColor="text1"/>
          <w:szCs w:val="24"/>
        </w:rPr>
      </w:pPr>
      <w:r w:rsidRPr="00810B3D">
        <w:rPr>
          <w:rStyle w:val="Nadruk"/>
          <w:rFonts w:eastAsiaTheme="majorEastAsia"/>
          <w:i w:val="0"/>
          <w:iCs w:val="0"/>
          <w:color w:val="000000" w:themeColor="text1"/>
          <w:szCs w:val="24"/>
        </w:rPr>
        <w:t xml:space="preserve">Het is vreemd om vooraf een budgetflexibiliteit te hebben van 0%, met achteraf een </w:t>
      </w:r>
      <w:proofErr w:type="spellStart"/>
      <w:r w:rsidRPr="00810B3D">
        <w:rPr>
          <w:rStyle w:val="Nadruk"/>
          <w:rFonts w:eastAsiaTheme="majorEastAsia"/>
          <w:i w:val="0"/>
          <w:iCs w:val="0"/>
          <w:color w:val="000000" w:themeColor="text1"/>
          <w:szCs w:val="24"/>
        </w:rPr>
        <w:t>onderuitputting</w:t>
      </w:r>
      <w:proofErr w:type="spellEnd"/>
      <w:r w:rsidRPr="00810B3D">
        <w:rPr>
          <w:rStyle w:val="Nadruk"/>
          <w:rFonts w:eastAsiaTheme="majorEastAsia"/>
          <w:i w:val="0"/>
          <w:iCs w:val="0"/>
          <w:color w:val="000000" w:themeColor="text1"/>
          <w:szCs w:val="24"/>
        </w:rPr>
        <w:t xml:space="preserve"> van 4% van de begroting. Je kunt niet anders dan concluderen dat bepaalde begrote uitgaven dan toch niet zo verplicht en/of realistisch zijn als ze vooraf werden voorgesteld. </w:t>
      </w:r>
    </w:p>
    <w:p w:rsidRPr="00810B3D" w:rsidR="00810B3D" w:rsidP="0070413A" w:rsidRDefault="00810B3D" w14:paraId="41EFB710" w14:textId="77777777">
      <w:pPr>
        <w:rPr>
          <w:rStyle w:val="Nadruk"/>
          <w:rFonts w:eastAsiaTheme="majorEastAsia"/>
          <w:i w:val="0"/>
          <w:iCs w:val="0"/>
          <w:color w:val="000000" w:themeColor="text1"/>
          <w:szCs w:val="24"/>
        </w:rPr>
      </w:pPr>
      <w:r w:rsidRPr="00810B3D">
        <w:rPr>
          <w:rStyle w:val="Nadruk"/>
          <w:rFonts w:eastAsiaTheme="majorEastAsia"/>
          <w:i w:val="0"/>
          <w:iCs w:val="0"/>
          <w:color w:val="000000" w:themeColor="text1"/>
          <w:szCs w:val="24"/>
        </w:rPr>
        <w:t xml:space="preserve">De manier waarop de verplichtingen tot stand komen is vaak niet transparant en grillig. Bij VWS werd aan een bepaalde begrotingspost van 5 miljard bij de Najaarsnota 2024 plotseling 22 miljard toegevoegd (Fonds Langdurige Zorg en het Zorgverzekeringsfonds), terwijl dit over verplichtingen ging die men lang van tevoren kan zien aankomen, zoals de financiering van verpleeghuizen en 18- zorg in de basisverzekering. De toelichting hierop is, ook na doorvragen, niet transparant. Er wordt in de Najaarsnota niet aangegeven waarom deze verplichtingen niet zijn gemeld bij het indienen van de begroting op Prinsjesdag. Dit soort majeure begrotingswijzigingen hoort niet thuis bij de Najaarsnota, waarin in de praktijk geen tijd en ruimte is voor een gedegen parlementaire behandeling.    </w:t>
      </w:r>
    </w:p>
    <w:p w:rsidRPr="00810B3D" w:rsidR="00810B3D" w:rsidP="0070413A" w:rsidRDefault="00810B3D" w14:paraId="244EA84C" w14:textId="4C000765">
      <w:pPr>
        <w:rPr>
          <w:rStyle w:val="Nadruk"/>
          <w:rFonts w:eastAsiaTheme="majorEastAsia"/>
          <w:i w:val="0"/>
          <w:iCs w:val="0"/>
          <w:color w:val="000000" w:themeColor="text1"/>
          <w:szCs w:val="24"/>
        </w:rPr>
      </w:pPr>
      <w:r w:rsidRPr="00810B3D">
        <w:rPr>
          <w:rStyle w:val="Nadruk"/>
          <w:rFonts w:eastAsiaTheme="majorEastAsia"/>
          <w:i w:val="0"/>
          <w:iCs w:val="0"/>
          <w:color w:val="000000" w:themeColor="text1"/>
          <w:szCs w:val="24"/>
        </w:rPr>
        <w:t xml:space="preserve">De Algemene Rekenkamer zou onderzoek moeten doen naar het realiteitsgehalte van de door de regering gerapporteerde budgetflexibiliteit. De regering dient op een meer realistische manier hierover te rapporteren aan de Tweede Kamer. Het budgetrecht van de Tweede Kamer </w:t>
      </w:r>
      <w:r w:rsidR="00BF633B">
        <w:rPr>
          <w:rStyle w:val="Nadruk"/>
          <w:rFonts w:eastAsiaTheme="majorEastAsia"/>
          <w:i w:val="0"/>
          <w:iCs w:val="0"/>
          <w:color w:val="000000" w:themeColor="text1"/>
          <w:szCs w:val="24"/>
        </w:rPr>
        <w:t xml:space="preserve">kan </w:t>
      </w:r>
      <w:r w:rsidR="00E41F39">
        <w:rPr>
          <w:rStyle w:val="Nadruk"/>
          <w:rFonts w:eastAsiaTheme="majorEastAsia"/>
          <w:i w:val="0"/>
          <w:iCs w:val="0"/>
          <w:color w:val="000000" w:themeColor="text1"/>
          <w:szCs w:val="24"/>
        </w:rPr>
        <w:t>beter tot zijn recht komen</w:t>
      </w:r>
      <w:r w:rsidRPr="00810B3D">
        <w:rPr>
          <w:rStyle w:val="Nadruk"/>
          <w:rFonts w:eastAsiaTheme="majorEastAsia"/>
          <w:i w:val="0"/>
          <w:iCs w:val="0"/>
          <w:color w:val="000000" w:themeColor="text1"/>
          <w:szCs w:val="24"/>
        </w:rPr>
        <w:t xml:space="preserve"> bij een volledig inzicht in de feitelijke situatie van de overheidsfinanciën. </w:t>
      </w:r>
    </w:p>
    <w:p w:rsidRPr="00810B3D" w:rsidR="00810B3D" w:rsidP="0070413A" w:rsidRDefault="00810B3D" w14:paraId="789B2A06" w14:textId="77777777">
      <w:pPr>
        <w:rPr>
          <w:rStyle w:val="Nadruk"/>
          <w:rFonts w:eastAsiaTheme="majorEastAsia"/>
          <w:i w:val="0"/>
          <w:iCs w:val="0"/>
          <w:color w:val="000000" w:themeColor="text1"/>
          <w:szCs w:val="24"/>
        </w:rPr>
      </w:pPr>
    </w:p>
    <w:p w:rsidRPr="00810B3D" w:rsidR="00810B3D" w:rsidP="0070413A" w:rsidRDefault="00810B3D" w14:paraId="73A80DC8" w14:textId="77777777">
      <w:pPr>
        <w:rPr>
          <w:rStyle w:val="Nadruk"/>
          <w:rFonts w:eastAsiaTheme="majorEastAsia"/>
          <w:i w:val="0"/>
          <w:iCs w:val="0"/>
          <w:color w:val="000000" w:themeColor="text1"/>
          <w:szCs w:val="24"/>
        </w:rPr>
      </w:pPr>
      <w:r w:rsidRPr="00810B3D">
        <w:rPr>
          <w:rStyle w:val="Nadruk"/>
          <w:rFonts w:eastAsiaTheme="majorEastAsia"/>
          <w:i w:val="0"/>
          <w:iCs w:val="0"/>
          <w:color w:val="000000" w:themeColor="text1"/>
          <w:szCs w:val="24"/>
        </w:rPr>
        <w:t xml:space="preserve">Er is een eindejaarsmarge van 1% en dit betekent dat, indien niet al het geld wordt uitgegeven, er 1% van de begroting door mag schuiven naar het volgende jaar.   </w:t>
      </w:r>
    </w:p>
    <w:p w:rsidRPr="00810B3D" w:rsidR="00810B3D" w:rsidP="0070413A" w:rsidRDefault="00810B3D" w14:paraId="11259730" w14:textId="77777777">
      <w:pPr>
        <w:rPr>
          <w:rStyle w:val="Nadruk"/>
          <w:rFonts w:eastAsiaTheme="majorEastAsia"/>
          <w:i w:val="0"/>
          <w:iCs w:val="0"/>
          <w:color w:val="000000" w:themeColor="text1"/>
          <w:szCs w:val="24"/>
        </w:rPr>
      </w:pPr>
      <w:r w:rsidRPr="00810B3D">
        <w:rPr>
          <w:rStyle w:val="Nadruk"/>
          <w:rFonts w:eastAsiaTheme="majorEastAsia"/>
          <w:i w:val="0"/>
          <w:iCs w:val="0"/>
          <w:color w:val="000000" w:themeColor="text1"/>
          <w:szCs w:val="24"/>
        </w:rPr>
        <w:t xml:space="preserve">De eindejaarsmarge is bedoeld om te voorkomen dat aan het einde van het jaar ondoelmatige uitgaven worden gedaan. Echter bij een </w:t>
      </w:r>
      <w:proofErr w:type="spellStart"/>
      <w:r w:rsidRPr="00810B3D">
        <w:rPr>
          <w:rStyle w:val="Nadruk"/>
          <w:rFonts w:eastAsiaTheme="majorEastAsia"/>
          <w:i w:val="0"/>
          <w:iCs w:val="0"/>
          <w:color w:val="000000" w:themeColor="text1"/>
          <w:szCs w:val="24"/>
        </w:rPr>
        <w:t>onderuitputting</w:t>
      </w:r>
      <w:proofErr w:type="spellEnd"/>
      <w:r w:rsidRPr="00810B3D">
        <w:rPr>
          <w:rStyle w:val="Nadruk"/>
          <w:rFonts w:eastAsiaTheme="majorEastAsia"/>
          <w:i w:val="0"/>
          <w:iCs w:val="0"/>
          <w:color w:val="000000" w:themeColor="text1"/>
          <w:szCs w:val="24"/>
        </w:rPr>
        <w:t xml:space="preserve"> van 4% werkt dit niet, omdat de prikkel tot het doen van ondoelmatige uitgaven dan nog steeds bestaat. De eindejaarsmarge (EJM) zou afgestemd moeten zijn op de gemiddelde </w:t>
      </w:r>
      <w:proofErr w:type="spellStart"/>
      <w:r w:rsidRPr="00810B3D">
        <w:rPr>
          <w:rStyle w:val="Nadruk"/>
          <w:rFonts w:eastAsiaTheme="majorEastAsia"/>
          <w:i w:val="0"/>
          <w:iCs w:val="0"/>
          <w:color w:val="000000" w:themeColor="text1"/>
          <w:szCs w:val="24"/>
        </w:rPr>
        <w:t>onderuitputting</w:t>
      </w:r>
      <w:proofErr w:type="spellEnd"/>
      <w:r w:rsidRPr="00810B3D">
        <w:rPr>
          <w:rStyle w:val="Nadruk"/>
          <w:rFonts w:eastAsiaTheme="majorEastAsia"/>
          <w:i w:val="0"/>
          <w:iCs w:val="0"/>
          <w:color w:val="000000" w:themeColor="text1"/>
          <w:szCs w:val="24"/>
        </w:rPr>
        <w:t xml:space="preserve"> in een meerjarige reeks. De EJM zou dus verhoogd moeten worden, en/of gedifferentieerd naar begroting. Een hogere gemiddelde </w:t>
      </w:r>
      <w:proofErr w:type="spellStart"/>
      <w:r w:rsidRPr="00810B3D">
        <w:rPr>
          <w:rStyle w:val="Nadruk"/>
          <w:rFonts w:eastAsiaTheme="majorEastAsia"/>
          <w:i w:val="0"/>
          <w:iCs w:val="0"/>
          <w:color w:val="000000" w:themeColor="text1"/>
          <w:szCs w:val="24"/>
        </w:rPr>
        <w:t>onderuitputting</w:t>
      </w:r>
      <w:proofErr w:type="spellEnd"/>
      <w:r w:rsidRPr="00810B3D">
        <w:rPr>
          <w:rStyle w:val="Nadruk"/>
          <w:rFonts w:eastAsiaTheme="majorEastAsia"/>
          <w:i w:val="0"/>
          <w:iCs w:val="0"/>
          <w:color w:val="000000" w:themeColor="text1"/>
          <w:szCs w:val="24"/>
        </w:rPr>
        <w:t xml:space="preserve"> zou dus een hogere EJM moeten betekenen. </w:t>
      </w:r>
    </w:p>
    <w:p w:rsidRPr="00810B3D" w:rsidR="00810B3D" w:rsidP="0070413A" w:rsidRDefault="00810B3D" w14:paraId="6A25C4B5" w14:textId="77777777">
      <w:pPr>
        <w:rPr>
          <w:rStyle w:val="Nadruk"/>
          <w:rFonts w:eastAsiaTheme="majorEastAsia"/>
          <w:i w:val="0"/>
          <w:iCs w:val="0"/>
          <w:color w:val="000000" w:themeColor="text1"/>
          <w:szCs w:val="24"/>
        </w:rPr>
      </w:pPr>
      <w:r w:rsidRPr="00810B3D">
        <w:rPr>
          <w:rStyle w:val="Nadruk"/>
          <w:rFonts w:eastAsiaTheme="majorEastAsia"/>
          <w:i w:val="0"/>
          <w:iCs w:val="0"/>
          <w:color w:val="000000" w:themeColor="text1"/>
          <w:szCs w:val="24"/>
        </w:rPr>
        <w:t xml:space="preserve">De tegenhanger van de EJM is de in=uittaakstelling. De EJM van 1% wordt bij de Voorjaarsnota uitgekeerd aan de departementen. Vervolgens wordt aan deze departementen weer opgedragen om 1% van de begroting niet uit te geven, om het EMU-saldo niet te verslechteren. Echter de regels van de EMU zijn nooit bedoeld geweest voor een dergelijke budgettaire bezigheidstherapie, die kan leiden tot kunstmatige </w:t>
      </w:r>
      <w:proofErr w:type="spellStart"/>
      <w:r w:rsidRPr="00810B3D">
        <w:rPr>
          <w:rStyle w:val="Nadruk"/>
          <w:rFonts w:eastAsiaTheme="majorEastAsia"/>
          <w:i w:val="0"/>
          <w:iCs w:val="0"/>
          <w:color w:val="000000" w:themeColor="text1"/>
          <w:szCs w:val="24"/>
        </w:rPr>
        <w:t>onderuitputting</w:t>
      </w:r>
      <w:proofErr w:type="spellEnd"/>
      <w:r w:rsidRPr="00810B3D">
        <w:rPr>
          <w:rStyle w:val="Nadruk"/>
          <w:rFonts w:eastAsiaTheme="majorEastAsia"/>
          <w:i w:val="0"/>
          <w:iCs w:val="0"/>
          <w:color w:val="000000" w:themeColor="text1"/>
          <w:szCs w:val="24"/>
        </w:rPr>
        <w:t xml:space="preserve">. De regels van het Stabiliteits- en Groeipact, de begrotingsregels van de Startnota (waaronder het Uitgavenkader) en de Wet HOF kaderen de maximale hoeveelheid uitgaven voldoende af. De in=uittaakstelling is daarbij overbodig.  </w:t>
      </w:r>
    </w:p>
    <w:p w:rsidRPr="00810B3D" w:rsidR="00810B3D" w:rsidP="0070413A" w:rsidRDefault="00810B3D" w14:paraId="45F83D67" w14:textId="77777777">
      <w:pPr>
        <w:rPr>
          <w:rStyle w:val="Nadruk"/>
          <w:rFonts w:eastAsiaTheme="majorEastAsia"/>
          <w:i w:val="0"/>
          <w:iCs w:val="0"/>
          <w:color w:val="000000" w:themeColor="text1"/>
          <w:szCs w:val="24"/>
        </w:rPr>
      </w:pPr>
    </w:p>
    <w:p w:rsidRPr="00810B3D" w:rsidR="00810B3D" w:rsidP="0070413A" w:rsidRDefault="00810B3D" w14:paraId="5F58769A" w14:textId="77777777">
      <w:pPr>
        <w:rPr>
          <w:rStyle w:val="Nadruk"/>
          <w:rFonts w:eastAsiaTheme="majorEastAsia"/>
          <w:i w:val="0"/>
          <w:iCs w:val="0"/>
          <w:color w:val="000000" w:themeColor="text1"/>
          <w:szCs w:val="24"/>
        </w:rPr>
      </w:pPr>
      <w:r w:rsidRPr="00810B3D">
        <w:rPr>
          <w:rStyle w:val="Nadruk"/>
          <w:rFonts w:eastAsiaTheme="majorEastAsia"/>
          <w:i w:val="0"/>
          <w:iCs w:val="0"/>
          <w:color w:val="000000" w:themeColor="text1"/>
          <w:szCs w:val="24"/>
        </w:rPr>
        <w:t>In 2021 kwam de Algemene Rekenkamer</w:t>
      </w:r>
      <w:r w:rsidRPr="00810B3D">
        <w:rPr>
          <w:rStyle w:val="Voetnootmarkering"/>
          <w:color w:val="000000" w:themeColor="text1"/>
          <w:szCs w:val="24"/>
        </w:rPr>
        <w:footnoteReference w:id="8"/>
      </w:r>
      <w:r w:rsidRPr="00810B3D">
        <w:rPr>
          <w:rStyle w:val="Nadruk"/>
          <w:rFonts w:eastAsiaTheme="majorEastAsia"/>
          <w:i w:val="0"/>
          <w:iCs w:val="0"/>
          <w:color w:val="000000" w:themeColor="text1"/>
          <w:szCs w:val="24"/>
        </w:rPr>
        <w:t xml:space="preserve"> al tot de conclusie dat ramingen vaak onrealistisch waren en het voor het parlement onduidelijk is waar de vrije ruimte zit. Bovendien waren de gestelde doelen vaak onduidelijk en niet realistisch. Ramingen werden soms aangepast aan doelen in plaats van andersom, schreef de Rekenkamer in 2021. De onderbouwingen van de meerjarenramingen waren voor de Tweede Kamer ook niet duidelijk, en soms ook gebaseerd op onjuiste of gedateerde veronderstellingen. De Rekenkamer adviseerde ook dat de regering meer inzicht zou moeten geven over de vraag of en hoe precies juridische verplichtingen tot stand komen, omdat hiermee ook de vrije ruimte in de begrotingen bepaald wordt. De </w:t>
      </w:r>
      <w:r w:rsidRPr="00810B3D">
        <w:rPr>
          <w:rStyle w:val="Nadruk"/>
          <w:rFonts w:eastAsiaTheme="majorEastAsia"/>
          <w:i w:val="0"/>
          <w:iCs w:val="0"/>
          <w:color w:val="000000" w:themeColor="text1"/>
          <w:szCs w:val="24"/>
        </w:rPr>
        <w:lastRenderedPageBreak/>
        <w:t xml:space="preserve">Algemene Rekenkamer concludeerde ook dat dit het budgetrecht van de Kamer aantast. De afwijkingen in de ramingen zijn sindsdien alleen maar groter geworden. </w:t>
      </w:r>
    </w:p>
    <w:p w:rsidRPr="00810B3D" w:rsidR="00810B3D" w:rsidP="0070413A" w:rsidRDefault="00810B3D" w14:paraId="5FCAD825" w14:textId="77777777">
      <w:pPr>
        <w:rPr>
          <w:rStyle w:val="Nadruk"/>
          <w:rFonts w:eastAsiaTheme="majorEastAsia"/>
          <w:i w:val="0"/>
          <w:iCs w:val="0"/>
          <w:color w:val="000000" w:themeColor="text1"/>
          <w:szCs w:val="24"/>
        </w:rPr>
      </w:pPr>
    </w:p>
    <w:p w:rsidRPr="00810B3D" w:rsidR="00810B3D" w:rsidP="0070413A" w:rsidRDefault="00810B3D" w14:paraId="03D2FA5B" w14:textId="77777777">
      <w:pPr>
        <w:pStyle w:val="Geenafstand"/>
        <w:spacing w:line="240" w:lineRule="auto"/>
        <w:rPr>
          <w:rFonts w:ascii="Times New Roman" w:hAnsi="Times New Roman" w:cs="Times New Roman"/>
          <w:color w:val="000000" w:themeColor="text1"/>
        </w:rPr>
      </w:pPr>
      <w:r w:rsidRPr="00810B3D">
        <w:rPr>
          <w:rFonts w:ascii="Times New Roman" w:hAnsi="Times New Roman" w:cs="Times New Roman"/>
          <w:color w:val="000000" w:themeColor="text1"/>
        </w:rPr>
        <w:t xml:space="preserve">Het parlement heeft dus een informatieachterstand ten opzichte van het kabinet als het gaat om de begroting. In het parlement is bij de Griffie ca. 5 fte beschikbaar voor budgettaire ondersteuning. Dit is te weinig om het budgetrecht uit de Grondwet (art. 105 Grondwet) op de juiste manier uit te kunnen oefenen. In andere landen is er meer budgettaire ondersteuning. Zo heeft de VS het </w:t>
      </w:r>
      <w:proofErr w:type="spellStart"/>
      <w:r w:rsidRPr="00810B3D">
        <w:rPr>
          <w:rFonts w:ascii="Times New Roman" w:hAnsi="Times New Roman" w:cs="Times New Roman"/>
          <w:color w:val="000000" w:themeColor="text1"/>
        </w:rPr>
        <w:t>Congressional</w:t>
      </w:r>
      <w:proofErr w:type="spellEnd"/>
      <w:r w:rsidRPr="00810B3D">
        <w:rPr>
          <w:rFonts w:ascii="Times New Roman" w:hAnsi="Times New Roman" w:cs="Times New Roman"/>
          <w:color w:val="000000" w:themeColor="text1"/>
        </w:rPr>
        <w:t xml:space="preserve"> Budget Office met 230 fte om het Congres te ondersteunen bij de begroting. De Kamer zou ook een dergelijk Bureau Begroting en Verantwoording moeten hebben, met een beperktere omvang.  De op 11 juni 2024 aangenomen motie-Van Hijum c.s. vraagt ook om hier onderzoek naar te doen.</w:t>
      </w:r>
    </w:p>
    <w:p w:rsidRPr="00810B3D" w:rsidR="00810B3D" w:rsidP="0070413A" w:rsidRDefault="00810B3D" w14:paraId="4FDB32A6" w14:textId="77777777">
      <w:pPr>
        <w:rPr>
          <w:rStyle w:val="Nadruk"/>
          <w:rFonts w:eastAsiaTheme="majorEastAsia"/>
          <w:i w:val="0"/>
          <w:iCs w:val="0"/>
          <w:color w:val="000000" w:themeColor="text1"/>
          <w:szCs w:val="24"/>
        </w:rPr>
      </w:pPr>
    </w:p>
    <w:p w:rsidRPr="00810B3D" w:rsidR="00810B3D" w:rsidP="0070413A" w:rsidRDefault="00810B3D" w14:paraId="2732EFFC" w14:textId="77777777">
      <w:pPr>
        <w:rPr>
          <w:rStyle w:val="Nadruk"/>
          <w:rFonts w:eastAsiaTheme="majorEastAsia"/>
          <w:i w:val="0"/>
          <w:iCs w:val="0"/>
          <w:color w:val="000000" w:themeColor="text1"/>
          <w:szCs w:val="24"/>
        </w:rPr>
      </w:pPr>
      <w:r w:rsidRPr="00810B3D">
        <w:rPr>
          <w:rStyle w:val="Nadruk"/>
          <w:rFonts w:eastAsiaTheme="majorEastAsia"/>
          <w:i w:val="0"/>
          <w:iCs w:val="0"/>
          <w:color w:val="000000" w:themeColor="text1"/>
          <w:szCs w:val="24"/>
        </w:rPr>
        <w:t>Helaas blijkt de regering een eigen interpretatie van realistisch ramen ingevoerd te hebben. In de praktijk komt het erop neer dat de regering middelen verschuift tussen begrotingsjaren (</w:t>
      </w:r>
      <w:proofErr w:type="spellStart"/>
      <w:r w:rsidRPr="00810B3D">
        <w:rPr>
          <w:rStyle w:val="Nadruk"/>
          <w:rFonts w:eastAsiaTheme="majorEastAsia"/>
          <w:i w:val="0"/>
          <w:iCs w:val="0"/>
          <w:color w:val="000000" w:themeColor="text1"/>
          <w:szCs w:val="24"/>
        </w:rPr>
        <w:t>intertemporeel</w:t>
      </w:r>
      <w:proofErr w:type="spellEnd"/>
      <w:r w:rsidRPr="00810B3D">
        <w:rPr>
          <w:rStyle w:val="Nadruk"/>
          <w:rFonts w:eastAsiaTheme="majorEastAsia"/>
          <w:i w:val="0"/>
          <w:iCs w:val="0"/>
          <w:color w:val="000000" w:themeColor="text1"/>
          <w:szCs w:val="24"/>
        </w:rPr>
        <w:t xml:space="preserve"> begroten), als de regering van mening is dat er dan een meer realistisch kasritme ontstaat. Maar dit maakt de situatie voor de Tweede Kamer juist nog minder transparant, omdat er zo nog minder zicht is op de echte vrije ruimte. Een deel van de investeringsportefeuille van 5 miljard voor de woningbouw uit het Hoofdlijnenakkoord raakte zo uit zicht van de Kamer. Pas na intensief doorvragen bleek dat een deel van dit geld was doorgeschoven naar 2030, 2031 en 2032 (dus buiten het zicht van de Kamer, want dat paste niet in de tabel), en deels besteed is aan de verlaging van de overdrachtsbelasting. </w:t>
      </w:r>
    </w:p>
    <w:p w:rsidR="00810B3D" w:rsidP="0070413A" w:rsidRDefault="00810B3D" w14:paraId="2F4959A7" w14:textId="53493D21">
      <w:pPr>
        <w:rPr>
          <w:rStyle w:val="Nadruk"/>
          <w:rFonts w:eastAsiaTheme="majorEastAsia"/>
          <w:i w:val="0"/>
          <w:iCs w:val="0"/>
          <w:color w:val="000000" w:themeColor="text1"/>
          <w:szCs w:val="24"/>
        </w:rPr>
      </w:pPr>
      <w:r w:rsidRPr="00810B3D">
        <w:rPr>
          <w:rStyle w:val="Nadruk"/>
          <w:rFonts w:eastAsiaTheme="majorEastAsia"/>
          <w:i w:val="0"/>
          <w:iCs w:val="0"/>
          <w:color w:val="000000" w:themeColor="text1"/>
          <w:szCs w:val="24"/>
        </w:rPr>
        <w:t xml:space="preserve">De regering verstaat dus iets heel anders onder “realistisch begroten” dan de ARK en dan in deze initiatiefnota bedoeld wordt. De Kamer is geen detectivebureau en dit soort informatie moet transparant zijn voor de Kamer.    </w:t>
      </w:r>
    </w:p>
    <w:p w:rsidR="00810B3D" w:rsidP="0070413A" w:rsidRDefault="00810B3D" w14:paraId="5330F843" w14:textId="77777777">
      <w:pPr>
        <w:rPr>
          <w:rFonts w:eastAsiaTheme="majorEastAsia"/>
          <w:color w:val="000000" w:themeColor="text1"/>
          <w:szCs w:val="24"/>
        </w:rPr>
      </w:pPr>
    </w:p>
    <w:p w:rsidRPr="00B60C56" w:rsidR="00230D87" w:rsidP="0070413A" w:rsidRDefault="00C17DA9" w14:paraId="413AE137" w14:textId="1D52EEBD">
      <w:pPr>
        <w:rPr>
          <w:rFonts w:eastAsiaTheme="majorEastAsia"/>
          <w:b/>
          <w:bCs/>
          <w:color w:val="000000" w:themeColor="text1"/>
          <w:szCs w:val="24"/>
        </w:rPr>
      </w:pPr>
      <w:r>
        <w:rPr>
          <w:rFonts w:eastAsiaTheme="majorEastAsia"/>
          <w:b/>
          <w:bCs/>
          <w:color w:val="000000" w:themeColor="text1"/>
          <w:szCs w:val="24"/>
        </w:rPr>
        <w:t>6</w:t>
      </w:r>
      <w:r w:rsidRPr="00B60C56" w:rsidR="00B60C56">
        <w:rPr>
          <w:rFonts w:eastAsiaTheme="majorEastAsia"/>
          <w:b/>
          <w:bCs/>
          <w:color w:val="000000" w:themeColor="text1"/>
          <w:szCs w:val="24"/>
        </w:rPr>
        <w:t>. Inkomstenkant</w:t>
      </w:r>
    </w:p>
    <w:p w:rsidR="00230D87" w:rsidP="0070413A" w:rsidRDefault="00230D87" w14:paraId="225AC52B" w14:textId="77777777">
      <w:pPr>
        <w:rPr>
          <w:color w:val="000000" w:themeColor="text1"/>
          <w:szCs w:val="24"/>
        </w:rPr>
      </w:pPr>
    </w:p>
    <w:p w:rsidRPr="00810B3D" w:rsidR="00810B3D" w:rsidP="0070413A" w:rsidRDefault="00512138" w14:paraId="18B1094B" w14:textId="7A961428">
      <w:pPr>
        <w:rPr>
          <w:color w:val="000000" w:themeColor="text1"/>
          <w:szCs w:val="24"/>
        </w:rPr>
      </w:pPr>
      <w:r w:rsidRPr="00810B3D">
        <w:rPr>
          <w:rStyle w:val="Nadruk"/>
          <w:rFonts w:eastAsiaTheme="majorEastAsia"/>
          <w:i w:val="0"/>
          <w:iCs w:val="0"/>
          <w:color w:val="000000" w:themeColor="text1"/>
          <w:szCs w:val="24"/>
        </w:rPr>
        <w:t xml:space="preserve">Wat hiernaast ook opvalt: de politieke discussie is de afgelopen jaren over deze uitgavenkant gegaan. Het grootste probleem zit echter aan de inkomstenkant. </w:t>
      </w:r>
      <w:r w:rsidRPr="00810B3D" w:rsidR="00810B3D">
        <w:rPr>
          <w:color w:val="000000" w:themeColor="text1"/>
          <w:szCs w:val="24"/>
        </w:rPr>
        <w:t>De grootste reden van de ramingsverschillen, zijn de te conservatief geschatte inkomsten. We ramen een nominale groei van het BBP over de afgelopen tien jaar van 4,3% gemiddeld, maar bij de belasting en premie-inkomsten wordt slechts gemiddeld 3,0% nominale endogene groei</w:t>
      </w:r>
      <w:r w:rsidRPr="00810B3D" w:rsidR="00810B3D">
        <w:rPr>
          <w:rStyle w:val="Voetnootmarkering"/>
          <w:color w:val="000000" w:themeColor="text1"/>
          <w:szCs w:val="24"/>
        </w:rPr>
        <w:footnoteReference w:id="9"/>
      </w:r>
      <w:r w:rsidRPr="00810B3D" w:rsidR="00810B3D">
        <w:rPr>
          <w:color w:val="000000" w:themeColor="text1"/>
          <w:szCs w:val="24"/>
        </w:rPr>
        <w:t xml:space="preserve"> geraamd: een verschil van 1,3%. Vooral de afgelopen paar jaar is er een enorme </w:t>
      </w:r>
      <w:proofErr w:type="spellStart"/>
      <w:r w:rsidRPr="00810B3D" w:rsidR="00810B3D">
        <w:rPr>
          <w:color w:val="000000" w:themeColor="text1"/>
          <w:szCs w:val="24"/>
        </w:rPr>
        <w:t>onderraming</w:t>
      </w:r>
      <w:proofErr w:type="spellEnd"/>
      <w:r w:rsidRPr="00810B3D" w:rsidR="00810B3D">
        <w:rPr>
          <w:color w:val="000000" w:themeColor="text1"/>
          <w:szCs w:val="24"/>
        </w:rPr>
        <w:t xml:space="preserve"> geweest van de inkomsten. Deze is tientallen miljarden en beïnvloedt het EMU-saldo zeer substantieel, meer dan de uitgavenkant. Zie figuur 5 en 6 voor de verschillen tussen de geraamde inkomsten en de daadwerkelijke inkomsten in miljarden. </w:t>
      </w:r>
    </w:p>
    <w:p w:rsidRPr="00810B3D" w:rsidR="00810B3D" w:rsidP="0070413A" w:rsidRDefault="00810B3D" w14:paraId="5ABE4BC0" w14:textId="77777777">
      <w:pPr>
        <w:rPr>
          <w:color w:val="000000" w:themeColor="text1"/>
          <w:szCs w:val="24"/>
        </w:rPr>
      </w:pPr>
      <w:r w:rsidRPr="00810B3D">
        <w:rPr>
          <w:color w:val="000000" w:themeColor="text1"/>
          <w:szCs w:val="24"/>
        </w:rPr>
        <w:br/>
        <w:t>Dit betekent dus dat de regering structureel de inkomsten voor het komende jaar te laag inschat:</w:t>
      </w:r>
    </w:p>
    <w:p w:rsidRPr="00810B3D" w:rsidR="00810B3D" w:rsidP="0070413A" w:rsidRDefault="00810B3D" w14:paraId="516CE5DB" w14:textId="77777777">
      <w:pPr>
        <w:rPr>
          <w:color w:val="000000" w:themeColor="text1"/>
          <w:szCs w:val="24"/>
        </w:rPr>
      </w:pPr>
    </w:p>
    <w:tbl>
      <w:tblPr>
        <w:tblStyle w:val="Tabelraster"/>
        <w:tblW w:w="0" w:type="auto"/>
        <w:tblLook w:val="04A0" w:firstRow="1" w:lastRow="0" w:firstColumn="1" w:lastColumn="0" w:noHBand="0" w:noVBand="1"/>
      </w:tblPr>
      <w:tblGrid>
        <w:gridCol w:w="1129"/>
        <w:gridCol w:w="2977"/>
        <w:gridCol w:w="3119"/>
        <w:gridCol w:w="1559"/>
      </w:tblGrid>
      <w:tr w:rsidRPr="00810B3D" w:rsidR="00810B3D" w:rsidTr="009460E2" w14:paraId="43012498" w14:textId="77777777">
        <w:tc>
          <w:tcPr>
            <w:tcW w:w="1129" w:type="dxa"/>
          </w:tcPr>
          <w:p w:rsidRPr="00810B3D" w:rsidR="00810B3D" w:rsidP="0070413A" w:rsidRDefault="00810B3D" w14:paraId="59BAEBFB" w14:textId="77777777">
            <w:pPr>
              <w:rPr>
                <w:b/>
                <w:bCs/>
                <w:color w:val="000000" w:themeColor="text1"/>
                <w:szCs w:val="24"/>
              </w:rPr>
            </w:pPr>
          </w:p>
        </w:tc>
        <w:tc>
          <w:tcPr>
            <w:tcW w:w="2977" w:type="dxa"/>
          </w:tcPr>
          <w:p w:rsidRPr="00810B3D" w:rsidR="00810B3D" w:rsidP="0070413A" w:rsidRDefault="00810B3D" w14:paraId="72FBEBD3" w14:textId="35697986">
            <w:pPr>
              <w:rPr>
                <w:b/>
                <w:bCs/>
                <w:color w:val="000000" w:themeColor="text1"/>
                <w:szCs w:val="24"/>
              </w:rPr>
            </w:pPr>
            <w:r w:rsidRPr="00810B3D">
              <w:rPr>
                <w:b/>
                <w:bCs/>
                <w:color w:val="000000" w:themeColor="text1"/>
                <w:szCs w:val="24"/>
              </w:rPr>
              <w:t>Geraamde inkomsten Miljoenennota (miljard</w:t>
            </w:r>
            <w:r w:rsidR="00B60C56">
              <w:rPr>
                <w:b/>
                <w:bCs/>
                <w:color w:val="000000" w:themeColor="text1"/>
                <w:szCs w:val="24"/>
              </w:rPr>
              <w:t xml:space="preserve"> euro</w:t>
            </w:r>
            <w:r w:rsidRPr="00810B3D">
              <w:rPr>
                <w:b/>
                <w:bCs/>
                <w:color w:val="000000" w:themeColor="text1"/>
                <w:szCs w:val="24"/>
              </w:rPr>
              <w:t>)</w:t>
            </w:r>
          </w:p>
        </w:tc>
        <w:tc>
          <w:tcPr>
            <w:tcW w:w="3119" w:type="dxa"/>
          </w:tcPr>
          <w:p w:rsidRPr="00810B3D" w:rsidR="00810B3D" w:rsidP="0070413A" w:rsidRDefault="00810B3D" w14:paraId="4592F038" w14:textId="6A9034B8">
            <w:pPr>
              <w:rPr>
                <w:b/>
                <w:bCs/>
                <w:color w:val="000000" w:themeColor="text1"/>
                <w:szCs w:val="24"/>
              </w:rPr>
            </w:pPr>
            <w:r w:rsidRPr="00810B3D">
              <w:rPr>
                <w:b/>
                <w:bCs/>
                <w:color w:val="000000" w:themeColor="text1"/>
                <w:szCs w:val="24"/>
              </w:rPr>
              <w:t xml:space="preserve">Feitelijke inkomsten  </w:t>
            </w:r>
            <w:r w:rsidR="008A5DFA">
              <w:rPr>
                <w:b/>
                <w:bCs/>
                <w:color w:val="000000" w:themeColor="text1"/>
                <w:szCs w:val="24"/>
              </w:rPr>
              <w:t>J</w:t>
            </w:r>
            <w:r w:rsidRPr="00810B3D">
              <w:rPr>
                <w:b/>
                <w:bCs/>
                <w:color w:val="000000" w:themeColor="text1"/>
                <w:szCs w:val="24"/>
              </w:rPr>
              <w:t>aarverslag (miljard</w:t>
            </w:r>
            <w:r w:rsidR="00B60C56">
              <w:rPr>
                <w:b/>
                <w:bCs/>
                <w:color w:val="000000" w:themeColor="text1"/>
                <w:szCs w:val="24"/>
              </w:rPr>
              <w:t xml:space="preserve"> euro</w:t>
            </w:r>
            <w:r w:rsidRPr="00810B3D">
              <w:rPr>
                <w:b/>
                <w:bCs/>
                <w:color w:val="000000" w:themeColor="text1"/>
                <w:szCs w:val="24"/>
              </w:rPr>
              <w:t>)</w:t>
            </w:r>
          </w:p>
        </w:tc>
        <w:tc>
          <w:tcPr>
            <w:tcW w:w="1559" w:type="dxa"/>
          </w:tcPr>
          <w:p w:rsidRPr="00810B3D" w:rsidR="00810B3D" w:rsidP="0070413A" w:rsidRDefault="00810B3D" w14:paraId="311663D8" w14:textId="1F77E21D">
            <w:pPr>
              <w:rPr>
                <w:b/>
                <w:bCs/>
                <w:color w:val="000000" w:themeColor="text1"/>
                <w:szCs w:val="24"/>
              </w:rPr>
            </w:pPr>
            <w:r w:rsidRPr="00810B3D">
              <w:rPr>
                <w:b/>
                <w:bCs/>
                <w:color w:val="000000" w:themeColor="text1"/>
                <w:szCs w:val="24"/>
              </w:rPr>
              <w:t>Verschil (miljard</w:t>
            </w:r>
            <w:r w:rsidR="00B60C56">
              <w:rPr>
                <w:b/>
                <w:bCs/>
                <w:color w:val="000000" w:themeColor="text1"/>
                <w:szCs w:val="24"/>
              </w:rPr>
              <w:t xml:space="preserve"> euro</w:t>
            </w:r>
            <w:r w:rsidRPr="00810B3D">
              <w:rPr>
                <w:b/>
                <w:bCs/>
                <w:color w:val="000000" w:themeColor="text1"/>
                <w:szCs w:val="24"/>
              </w:rPr>
              <w:t>)</w:t>
            </w:r>
          </w:p>
        </w:tc>
      </w:tr>
      <w:tr w:rsidRPr="00810B3D" w:rsidR="00810B3D" w:rsidTr="009460E2" w14:paraId="09C56586" w14:textId="77777777">
        <w:tc>
          <w:tcPr>
            <w:tcW w:w="1129" w:type="dxa"/>
          </w:tcPr>
          <w:p w:rsidRPr="00810B3D" w:rsidR="00810B3D" w:rsidP="0070413A" w:rsidRDefault="00810B3D" w14:paraId="1DE5ADDE" w14:textId="77777777">
            <w:pPr>
              <w:rPr>
                <w:b/>
                <w:bCs/>
                <w:color w:val="000000" w:themeColor="text1"/>
                <w:szCs w:val="24"/>
              </w:rPr>
            </w:pPr>
            <w:r w:rsidRPr="00810B3D">
              <w:rPr>
                <w:b/>
                <w:bCs/>
                <w:color w:val="000000" w:themeColor="text1"/>
                <w:szCs w:val="24"/>
              </w:rPr>
              <w:t>2015</w:t>
            </w:r>
          </w:p>
        </w:tc>
        <w:tc>
          <w:tcPr>
            <w:tcW w:w="2977" w:type="dxa"/>
          </w:tcPr>
          <w:p w:rsidRPr="00810B3D" w:rsidR="00810B3D" w:rsidP="0070413A" w:rsidRDefault="00810B3D" w14:paraId="0F4BDE8A" w14:textId="77777777">
            <w:pPr>
              <w:rPr>
                <w:color w:val="000000" w:themeColor="text1"/>
                <w:szCs w:val="24"/>
              </w:rPr>
            </w:pPr>
            <w:r w:rsidRPr="00810B3D">
              <w:rPr>
                <w:color w:val="000000" w:themeColor="text1"/>
                <w:szCs w:val="24"/>
              </w:rPr>
              <w:t>237,7</w:t>
            </w:r>
          </w:p>
        </w:tc>
        <w:tc>
          <w:tcPr>
            <w:tcW w:w="3119" w:type="dxa"/>
          </w:tcPr>
          <w:p w:rsidRPr="00810B3D" w:rsidR="00810B3D" w:rsidP="0070413A" w:rsidRDefault="00810B3D" w14:paraId="6CA51325" w14:textId="77777777">
            <w:pPr>
              <w:rPr>
                <w:color w:val="000000" w:themeColor="text1"/>
                <w:szCs w:val="24"/>
              </w:rPr>
            </w:pPr>
            <w:r w:rsidRPr="00810B3D">
              <w:rPr>
                <w:color w:val="000000" w:themeColor="text1"/>
                <w:szCs w:val="24"/>
              </w:rPr>
              <w:t>243,3</w:t>
            </w:r>
          </w:p>
        </w:tc>
        <w:tc>
          <w:tcPr>
            <w:tcW w:w="1559" w:type="dxa"/>
          </w:tcPr>
          <w:p w:rsidRPr="00810B3D" w:rsidR="00810B3D" w:rsidP="0070413A" w:rsidRDefault="00810B3D" w14:paraId="13DC696E" w14:textId="77777777">
            <w:pPr>
              <w:rPr>
                <w:color w:val="000000" w:themeColor="text1"/>
                <w:szCs w:val="24"/>
              </w:rPr>
            </w:pPr>
            <w:r w:rsidRPr="00810B3D">
              <w:rPr>
                <w:color w:val="000000" w:themeColor="text1"/>
                <w:szCs w:val="24"/>
              </w:rPr>
              <w:t>4,6</w:t>
            </w:r>
          </w:p>
        </w:tc>
      </w:tr>
      <w:tr w:rsidRPr="00810B3D" w:rsidR="00810B3D" w:rsidTr="009460E2" w14:paraId="10876141" w14:textId="77777777">
        <w:tc>
          <w:tcPr>
            <w:tcW w:w="1129" w:type="dxa"/>
          </w:tcPr>
          <w:p w:rsidRPr="00810B3D" w:rsidR="00810B3D" w:rsidP="0070413A" w:rsidRDefault="00810B3D" w14:paraId="74D480DF" w14:textId="77777777">
            <w:pPr>
              <w:rPr>
                <w:b/>
                <w:bCs/>
                <w:color w:val="000000" w:themeColor="text1"/>
                <w:szCs w:val="24"/>
              </w:rPr>
            </w:pPr>
            <w:r w:rsidRPr="00810B3D">
              <w:rPr>
                <w:b/>
                <w:bCs/>
                <w:color w:val="000000" w:themeColor="text1"/>
                <w:szCs w:val="24"/>
              </w:rPr>
              <w:t>2016</w:t>
            </w:r>
          </w:p>
        </w:tc>
        <w:tc>
          <w:tcPr>
            <w:tcW w:w="2977" w:type="dxa"/>
          </w:tcPr>
          <w:p w:rsidRPr="00810B3D" w:rsidR="00810B3D" w:rsidP="0070413A" w:rsidRDefault="00810B3D" w14:paraId="1760D7E3" w14:textId="77777777">
            <w:pPr>
              <w:rPr>
                <w:color w:val="000000" w:themeColor="text1"/>
                <w:szCs w:val="24"/>
              </w:rPr>
            </w:pPr>
            <w:r w:rsidRPr="00810B3D">
              <w:rPr>
                <w:color w:val="000000" w:themeColor="text1"/>
                <w:szCs w:val="24"/>
              </w:rPr>
              <w:t>247,8</w:t>
            </w:r>
          </w:p>
        </w:tc>
        <w:tc>
          <w:tcPr>
            <w:tcW w:w="3119" w:type="dxa"/>
          </w:tcPr>
          <w:p w:rsidRPr="00810B3D" w:rsidR="00810B3D" w:rsidP="0070413A" w:rsidRDefault="00810B3D" w14:paraId="7946D017" w14:textId="77777777">
            <w:pPr>
              <w:rPr>
                <w:color w:val="000000" w:themeColor="text1"/>
                <w:szCs w:val="24"/>
              </w:rPr>
            </w:pPr>
            <w:r w:rsidRPr="00810B3D">
              <w:rPr>
                <w:color w:val="000000" w:themeColor="text1"/>
                <w:szCs w:val="24"/>
              </w:rPr>
              <w:t>258,8</w:t>
            </w:r>
          </w:p>
        </w:tc>
        <w:tc>
          <w:tcPr>
            <w:tcW w:w="1559" w:type="dxa"/>
          </w:tcPr>
          <w:p w:rsidRPr="00810B3D" w:rsidR="00810B3D" w:rsidP="0070413A" w:rsidRDefault="00810B3D" w14:paraId="2CA9FE23" w14:textId="77777777">
            <w:pPr>
              <w:rPr>
                <w:color w:val="000000" w:themeColor="text1"/>
                <w:szCs w:val="24"/>
              </w:rPr>
            </w:pPr>
            <w:r w:rsidRPr="00810B3D">
              <w:rPr>
                <w:color w:val="000000" w:themeColor="text1"/>
                <w:szCs w:val="24"/>
              </w:rPr>
              <w:t>11,0</w:t>
            </w:r>
          </w:p>
        </w:tc>
      </w:tr>
      <w:tr w:rsidRPr="00810B3D" w:rsidR="00810B3D" w:rsidTr="009460E2" w14:paraId="15042F2D" w14:textId="77777777">
        <w:tc>
          <w:tcPr>
            <w:tcW w:w="1129" w:type="dxa"/>
          </w:tcPr>
          <w:p w:rsidRPr="00810B3D" w:rsidR="00810B3D" w:rsidP="0070413A" w:rsidRDefault="00810B3D" w14:paraId="34AABA9A" w14:textId="77777777">
            <w:pPr>
              <w:rPr>
                <w:b/>
                <w:bCs/>
                <w:color w:val="000000" w:themeColor="text1"/>
                <w:szCs w:val="24"/>
              </w:rPr>
            </w:pPr>
            <w:r w:rsidRPr="00810B3D">
              <w:rPr>
                <w:b/>
                <w:bCs/>
                <w:color w:val="000000" w:themeColor="text1"/>
                <w:szCs w:val="24"/>
              </w:rPr>
              <w:t>2017</w:t>
            </w:r>
          </w:p>
        </w:tc>
        <w:tc>
          <w:tcPr>
            <w:tcW w:w="2977" w:type="dxa"/>
          </w:tcPr>
          <w:p w:rsidRPr="00810B3D" w:rsidR="00810B3D" w:rsidP="0070413A" w:rsidRDefault="00810B3D" w14:paraId="14C5846F" w14:textId="77777777">
            <w:pPr>
              <w:rPr>
                <w:color w:val="000000" w:themeColor="text1"/>
                <w:szCs w:val="24"/>
              </w:rPr>
            </w:pPr>
            <w:r w:rsidRPr="00810B3D">
              <w:rPr>
                <w:color w:val="000000" w:themeColor="text1"/>
                <w:szCs w:val="24"/>
              </w:rPr>
              <w:t>260,5</w:t>
            </w:r>
          </w:p>
        </w:tc>
        <w:tc>
          <w:tcPr>
            <w:tcW w:w="3119" w:type="dxa"/>
          </w:tcPr>
          <w:p w:rsidRPr="00810B3D" w:rsidR="00810B3D" w:rsidP="0070413A" w:rsidRDefault="00810B3D" w14:paraId="78764BAC" w14:textId="77777777">
            <w:pPr>
              <w:rPr>
                <w:color w:val="000000" w:themeColor="text1"/>
                <w:szCs w:val="24"/>
              </w:rPr>
            </w:pPr>
            <w:r w:rsidRPr="00810B3D">
              <w:rPr>
                <w:color w:val="000000" w:themeColor="text1"/>
                <w:szCs w:val="24"/>
              </w:rPr>
              <w:t>271,3</w:t>
            </w:r>
          </w:p>
        </w:tc>
        <w:tc>
          <w:tcPr>
            <w:tcW w:w="1559" w:type="dxa"/>
          </w:tcPr>
          <w:p w:rsidRPr="00810B3D" w:rsidR="00810B3D" w:rsidP="0070413A" w:rsidRDefault="00810B3D" w14:paraId="6D41EBE9" w14:textId="77777777">
            <w:pPr>
              <w:rPr>
                <w:color w:val="000000" w:themeColor="text1"/>
                <w:szCs w:val="24"/>
              </w:rPr>
            </w:pPr>
            <w:r w:rsidRPr="00810B3D">
              <w:rPr>
                <w:color w:val="000000" w:themeColor="text1"/>
                <w:szCs w:val="24"/>
              </w:rPr>
              <w:t>10,7</w:t>
            </w:r>
          </w:p>
        </w:tc>
      </w:tr>
      <w:tr w:rsidRPr="00810B3D" w:rsidR="00810B3D" w:rsidTr="009460E2" w14:paraId="1B7C5B86" w14:textId="77777777">
        <w:tc>
          <w:tcPr>
            <w:tcW w:w="1129" w:type="dxa"/>
          </w:tcPr>
          <w:p w:rsidRPr="00810B3D" w:rsidR="00810B3D" w:rsidP="0070413A" w:rsidRDefault="00810B3D" w14:paraId="5C92899E" w14:textId="77777777">
            <w:pPr>
              <w:rPr>
                <w:b/>
                <w:bCs/>
                <w:color w:val="000000" w:themeColor="text1"/>
                <w:szCs w:val="24"/>
              </w:rPr>
            </w:pPr>
            <w:r w:rsidRPr="00810B3D">
              <w:rPr>
                <w:b/>
                <w:bCs/>
                <w:color w:val="000000" w:themeColor="text1"/>
                <w:szCs w:val="24"/>
              </w:rPr>
              <w:t>2018</w:t>
            </w:r>
          </w:p>
        </w:tc>
        <w:tc>
          <w:tcPr>
            <w:tcW w:w="2977" w:type="dxa"/>
          </w:tcPr>
          <w:p w:rsidRPr="00810B3D" w:rsidR="00810B3D" w:rsidP="0070413A" w:rsidRDefault="00810B3D" w14:paraId="7CB65C0B" w14:textId="77777777">
            <w:pPr>
              <w:rPr>
                <w:color w:val="000000" w:themeColor="text1"/>
                <w:szCs w:val="24"/>
              </w:rPr>
            </w:pPr>
            <w:r w:rsidRPr="00810B3D">
              <w:rPr>
                <w:color w:val="000000" w:themeColor="text1"/>
                <w:szCs w:val="24"/>
              </w:rPr>
              <w:t>282,5</w:t>
            </w:r>
          </w:p>
        </w:tc>
        <w:tc>
          <w:tcPr>
            <w:tcW w:w="3119" w:type="dxa"/>
          </w:tcPr>
          <w:p w:rsidRPr="00810B3D" w:rsidR="00810B3D" w:rsidP="0070413A" w:rsidRDefault="00810B3D" w14:paraId="7AF6168A" w14:textId="77777777">
            <w:pPr>
              <w:rPr>
                <w:color w:val="000000" w:themeColor="text1"/>
                <w:szCs w:val="24"/>
              </w:rPr>
            </w:pPr>
            <w:r w:rsidRPr="00810B3D">
              <w:rPr>
                <w:color w:val="000000" w:themeColor="text1"/>
                <w:szCs w:val="24"/>
              </w:rPr>
              <w:t>284,9</w:t>
            </w:r>
          </w:p>
        </w:tc>
        <w:tc>
          <w:tcPr>
            <w:tcW w:w="1559" w:type="dxa"/>
          </w:tcPr>
          <w:p w:rsidRPr="00810B3D" w:rsidR="00810B3D" w:rsidP="0070413A" w:rsidRDefault="00810B3D" w14:paraId="4DCBB8C6" w14:textId="77777777">
            <w:pPr>
              <w:rPr>
                <w:color w:val="000000" w:themeColor="text1"/>
                <w:szCs w:val="24"/>
              </w:rPr>
            </w:pPr>
            <w:r w:rsidRPr="00810B3D">
              <w:rPr>
                <w:color w:val="000000" w:themeColor="text1"/>
                <w:szCs w:val="24"/>
              </w:rPr>
              <w:t>2,4</w:t>
            </w:r>
          </w:p>
        </w:tc>
      </w:tr>
      <w:tr w:rsidRPr="00810B3D" w:rsidR="00810B3D" w:rsidTr="009460E2" w14:paraId="69459930" w14:textId="77777777">
        <w:tc>
          <w:tcPr>
            <w:tcW w:w="1129" w:type="dxa"/>
          </w:tcPr>
          <w:p w:rsidRPr="00810B3D" w:rsidR="00810B3D" w:rsidP="0070413A" w:rsidRDefault="00810B3D" w14:paraId="0CCFE41F" w14:textId="77777777">
            <w:pPr>
              <w:rPr>
                <w:b/>
                <w:bCs/>
                <w:color w:val="000000" w:themeColor="text1"/>
                <w:szCs w:val="24"/>
              </w:rPr>
            </w:pPr>
            <w:r w:rsidRPr="00810B3D">
              <w:rPr>
                <w:b/>
                <w:bCs/>
                <w:color w:val="000000" w:themeColor="text1"/>
                <w:szCs w:val="24"/>
              </w:rPr>
              <w:t>2019</w:t>
            </w:r>
          </w:p>
        </w:tc>
        <w:tc>
          <w:tcPr>
            <w:tcW w:w="2977" w:type="dxa"/>
          </w:tcPr>
          <w:p w:rsidRPr="00810B3D" w:rsidR="00810B3D" w:rsidP="0070413A" w:rsidRDefault="00810B3D" w14:paraId="1E6F34D5" w14:textId="77777777">
            <w:pPr>
              <w:rPr>
                <w:color w:val="000000" w:themeColor="text1"/>
                <w:szCs w:val="24"/>
              </w:rPr>
            </w:pPr>
            <w:r w:rsidRPr="00810B3D">
              <w:rPr>
                <w:color w:val="000000" w:themeColor="text1"/>
                <w:szCs w:val="24"/>
              </w:rPr>
              <w:t>303,1</w:t>
            </w:r>
          </w:p>
        </w:tc>
        <w:tc>
          <w:tcPr>
            <w:tcW w:w="3119" w:type="dxa"/>
          </w:tcPr>
          <w:p w:rsidRPr="00810B3D" w:rsidR="00810B3D" w:rsidP="0070413A" w:rsidRDefault="00810B3D" w14:paraId="2B4A925E" w14:textId="77777777">
            <w:pPr>
              <w:rPr>
                <w:color w:val="000000" w:themeColor="text1"/>
                <w:szCs w:val="24"/>
              </w:rPr>
            </w:pPr>
            <w:r w:rsidRPr="00810B3D">
              <w:rPr>
                <w:color w:val="000000" w:themeColor="text1"/>
                <w:szCs w:val="24"/>
              </w:rPr>
              <w:t>302,4</w:t>
            </w:r>
          </w:p>
        </w:tc>
        <w:tc>
          <w:tcPr>
            <w:tcW w:w="1559" w:type="dxa"/>
          </w:tcPr>
          <w:p w:rsidRPr="00810B3D" w:rsidR="00810B3D" w:rsidP="0070413A" w:rsidRDefault="00810B3D" w14:paraId="66DDE275" w14:textId="77777777">
            <w:pPr>
              <w:rPr>
                <w:color w:val="000000" w:themeColor="text1"/>
                <w:szCs w:val="24"/>
              </w:rPr>
            </w:pPr>
            <w:r w:rsidRPr="00810B3D">
              <w:rPr>
                <w:color w:val="000000" w:themeColor="text1"/>
                <w:szCs w:val="24"/>
              </w:rPr>
              <w:t>-0,7</w:t>
            </w:r>
          </w:p>
        </w:tc>
      </w:tr>
      <w:tr w:rsidRPr="00810B3D" w:rsidR="00810B3D" w:rsidTr="009460E2" w14:paraId="179B5175" w14:textId="77777777">
        <w:tc>
          <w:tcPr>
            <w:tcW w:w="1129" w:type="dxa"/>
          </w:tcPr>
          <w:p w:rsidRPr="00810B3D" w:rsidR="00810B3D" w:rsidP="0070413A" w:rsidRDefault="00810B3D" w14:paraId="2E12BBDA" w14:textId="77777777">
            <w:pPr>
              <w:rPr>
                <w:b/>
                <w:bCs/>
                <w:color w:val="000000" w:themeColor="text1"/>
                <w:szCs w:val="24"/>
              </w:rPr>
            </w:pPr>
            <w:r w:rsidRPr="00810B3D">
              <w:rPr>
                <w:b/>
                <w:bCs/>
                <w:color w:val="000000" w:themeColor="text1"/>
                <w:szCs w:val="24"/>
              </w:rPr>
              <w:lastRenderedPageBreak/>
              <w:t>2020</w:t>
            </w:r>
          </w:p>
        </w:tc>
        <w:tc>
          <w:tcPr>
            <w:tcW w:w="2977" w:type="dxa"/>
          </w:tcPr>
          <w:p w:rsidRPr="00810B3D" w:rsidR="00810B3D" w:rsidP="0070413A" w:rsidRDefault="00810B3D" w14:paraId="1FBD65E0" w14:textId="77777777">
            <w:pPr>
              <w:rPr>
                <w:color w:val="000000" w:themeColor="text1"/>
                <w:szCs w:val="24"/>
              </w:rPr>
            </w:pPr>
            <w:r w:rsidRPr="00810B3D">
              <w:rPr>
                <w:color w:val="000000" w:themeColor="text1"/>
                <w:szCs w:val="24"/>
              </w:rPr>
              <w:t>305,5</w:t>
            </w:r>
          </w:p>
        </w:tc>
        <w:tc>
          <w:tcPr>
            <w:tcW w:w="3119" w:type="dxa"/>
          </w:tcPr>
          <w:p w:rsidRPr="00810B3D" w:rsidR="00810B3D" w:rsidP="0070413A" w:rsidRDefault="00810B3D" w14:paraId="3FFA0762" w14:textId="77777777">
            <w:pPr>
              <w:rPr>
                <w:color w:val="000000" w:themeColor="text1"/>
                <w:szCs w:val="24"/>
              </w:rPr>
            </w:pPr>
            <w:r w:rsidRPr="00810B3D">
              <w:rPr>
                <w:color w:val="000000" w:themeColor="text1"/>
                <w:szCs w:val="24"/>
              </w:rPr>
              <w:t>299,8</w:t>
            </w:r>
          </w:p>
        </w:tc>
        <w:tc>
          <w:tcPr>
            <w:tcW w:w="1559" w:type="dxa"/>
          </w:tcPr>
          <w:p w:rsidRPr="00810B3D" w:rsidR="00810B3D" w:rsidP="0070413A" w:rsidRDefault="00810B3D" w14:paraId="75FA1F9A" w14:textId="77777777">
            <w:pPr>
              <w:rPr>
                <w:color w:val="000000" w:themeColor="text1"/>
                <w:szCs w:val="24"/>
              </w:rPr>
            </w:pPr>
            <w:r w:rsidRPr="00810B3D">
              <w:rPr>
                <w:color w:val="000000" w:themeColor="text1"/>
                <w:szCs w:val="24"/>
              </w:rPr>
              <w:t xml:space="preserve">-5,7 </w:t>
            </w:r>
            <w:r w:rsidRPr="00810B3D">
              <w:rPr>
                <w:color w:val="000000" w:themeColor="text1"/>
                <w:szCs w:val="24"/>
              </w:rPr>
              <w:br/>
              <w:t>(-1,2)</w:t>
            </w:r>
          </w:p>
        </w:tc>
      </w:tr>
      <w:tr w:rsidRPr="00810B3D" w:rsidR="00810B3D" w:rsidTr="009460E2" w14:paraId="364485AA" w14:textId="77777777">
        <w:tc>
          <w:tcPr>
            <w:tcW w:w="1129" w:type="dxa"/>
          </w:tcPr>
          <w:p w:rsidRPr="00810B3D" w:rsidR="00810B3D" w:rsidP="0070413A" w:rsidRDefault="00810B3D" w14:paraId="3C90A861" w14:textId="77777777">
            <w:pPr>
              <w:rPr>
                <w:b/>
                <w:bCs/>
                <w:color w:val="000000" w:themeColor="text1"/>
                <w:szCs w:val="24"/>
              </w:rPr>
            </w:pPr>
            <w:r w:rsidRPr="00810B3D">
              <w:rPr>
                <w:b/>
                <w:bCs/>
                <w:color w:val="000000" w:themeColor="text1"/>
                <w:szCs w:val="24"/>
              </w:rPr>
              <w:t>2021</w:t>
            </w:r>
          </w:p>
        </w:tc>
        <w:tc>
          <w:tcPr>
            <w:tcW w:w="2977" w:type="dxa"/>
          </w:tcPr>
          <w:p w:rsidRPr="00810B3D" w:rsidR="00810B3D" w:rsidP="0070413A" w:rsidRDefault="00810B3D" w14:paraId="149877E5" w14:textId="77777777">
            <w:pPr>
              <w:rPr>
                <w:color w:val="000000" w:themeColor="text1"/>
                <w:szCs w:val="24"/>
              </w:rPr>
            </w:pPr>
            <w:r w:rsidRPr="00810B3D">
              <w:rPr>
                <w:color w:val="000000" w:themeColor="text1"/>
                <w:szCs w:val="24"/>
              </w:rPr>
              <w:t>293,0</w:t>
            </w:r>
          </w:p>
        </w:tc>
        <w:tc>
          <w:tcPr>
            <w:tcW w:w="3119" w:type="dxa"/>
          </w:tcPr>
          <w:p w:rsidRPr="00810B3D" w:rsidR="00810B3D" w:rsidP="0070413A" w:rsidRDefault="00810B3D" w14:paraId="383C39D3" w14:textId="77777777">
            <w:pPr>
              <w:rPr>
                <w:color w:val="000000" w:themeColor="text1"/>
                <w:szCs w:val="24"/>
              </w:rPr>
            </w:pPr>
            <w:r w:rsidRPr="00810B3D">
              <w:rPr>
                <w:color w:val="000000" w:themeColor="text1"/>
                <w:szCs w:val="24"/>
              </w:rPr>
              <w:t>322,4</w:t>
            </w:r>
          </w:p>
        </w:tc>
        <w:tc>
          <w:tcPr>
            <w:tcW w:w="1559" w:type="dxa"/>
          </w:tcPr>
          <w:p w:rsidRPr="00810B3D" w:rsidR="00810B3D" w:rsidP="0070413A" w:rsidRDefault="00810B3D" w14:paraId="79831EE1" w14:textId="77777777">
            <w:pPr>
              <w:rPr>
                <w:color w:val="000000" w:themeColor="text1"/>
                <w:szCs w:val="24"/>
              </w:rPr>
            </w:pPr>
            <w:r w:rsidRPr="00810B3D">
              <w:rPr>
                <w:color w:val="000000" w:themeColor="text1"/>
                <w:szCs w:val="24"/>
              </w:rPr>
              <w:t>29,3</w:t>
            </w:r>
          </w:p>
        </w:tc>
      </w:tr>
      <w:tr w:rsidRPr="00810B3D" w:rsidR="00810B3D" w:rsidTr="009460E2" w14:paraId="6EE152CC" w14:textId="77777777">
        <w:tc>
          <w:tcPr>
            <w:tcW w:w="1129" w:type="dxa"/>
          </w:tcPr>
          <w:p w:rsidRPr="00810B3D" w:rsidR="00810B3D" w:rsidP="0070413A" w:rsidRDefault="00810B3D" w14:paraId="7DC8A232" w14:textId="77777777">
            <w:pPr>
              <w:rPr>
                <w:b/>
                <w:bCs/>
                <w:color w:val="000000" w:themeColor="text1"/>
                <w:szCs w:val="24"/>
              </w:rPr>
            </w:pPr>
            <w:r w:rsidRPr="00810B3D">
              <w:rPr>
                <w:b/>
                <w:bCs/>
                <w:color w:val="000000" w:themeColor="text1"/>
                <w:szCs w:val="24"/>
              </w:rPr>
              <w:t>2022</w:t>
            </w:r>
          </w:p>
        </w:tc>
        <w:tc>
          <w:tcPr>
            <w:tcW w:w="2977" w:type="dxa"/>
          </w:tcPr>
          <w:p w:rsidRPr="00810B3D" w:rsidR="00810B3D" w:rsidP="0070413A" w:rsidRDefault="00810B3D" w14:paraId="15035765" w14:textId="77777777">
            <w:pPr>
              <w:rPr>
                <w:color w:val="000000" w:themeColor="text1"/>
                <w:szCs w:val="24"/>
              </w:rPr>
            </w:pPr>
            <w:r w:rsidRPr="00810B3D">
              <w:rPr>
                <w:color w:val="000000" w:themeColor="text1"/>
                <w:szCs w:val="24"/>
              </w:rPr>
              <w:t>334,1</w:t>
            </w:r>
          </w:p>
        </w:tc>
        <w:tc>
          <w:tcPr>
            <w:tcW w:w="3119" w:type="dxa"/>
          </w:tcPr>
          <w:p w:rsidRPr="00810B3D" w:rsidR="00810B3D" w:rsidP="0070413A" w:rsidRDefault="00810B3D" w14:paraId="3C3C8181" w14:textId="77777777">
            <w:pPr>
              <w:rPr>
                <w:color w:val="000000" w:themeColor="text1"/>
                <w:szCs w:val="24"/>
              </w:rPr>
            </w:pPr>
            <w:r w:rsidRPr="00810B3D">
              <w:rPr>
                <w:color w:val="000000" w:themeColor="text1"/>
                <w:szCs w:val="24"/>
              </w:rPr>
              <w:t>350,5</w:t>
            </w:r>
          </w:p>
        </w:tc>
        <w:tc>
          <w:tcPr>
            <w:tcW w:w="1559" w:type="dxa"/>
          </w:tcPr>
          <w:p w:rsidRPr="00810B3D" w:rsidR="00810B3D" w:rsidP="0070413A" w:rsidRDefault="00810B3D" w14:paraId="7840F419" w14:textId="77777777">
            <w:pPr>
              <w:rPr>
                <w:color w:val="000000" w:themeColor="text1"/>
                <w:szCs w:val="24"/>
              </w:rPr>
            </w:pPr>
            <w:r w:rsidRPr="00810B3D">
              <w:rPr>
                <w:color w:val="000000" w:themeColor="text1"/>
                <w:szCs w:val="24"/>
              </w:rPr>
              <w:t>16,3</w:t>
            </w:r>
          </w:p>
        </w:tc>
      </w:tr>
      <w:tr w:rsidRPr="00810B3D" w:rsidR="00810B3D" w:rsidTr="009460E2" w14:paraId="5F9823D1" w14:textId="77777777">
        <w:tc>
          <w:tcPr>
            <w:tcW w:w="1129" w:type="dxa"/>
          </w:tcPr>
          <w:p w:rsidRPr="00810B3D" w:rsidR="00810B3D" w:rsidP="0070413A" w:rsidRDefault="00810B3D" w14:paraId="553255B8" w14:textId="77777777">
            <w:pPr>
              <w:rPr>
                <w:b/>
                <w:bCs/>
                <w:color w:val="000000" w:themeColor="text1"/>
                <w:szCs w:val="24"/>
              </w:rPr>
            </w:pPr>
            <w:r w:rsidRPr="00810B3D">
              <w:rPr>
                <w:b/>
                <w:bCs/>
                <w:color w:val="000000" w:themeColor="text1"/>
                <w:szCs w:val="24"/>
              </w:rPr>
              <w:t>2023</w:t>
            </w:r>
          </w:p>
        </w:tc>
        <w:tc>
          <w:tcPr>
            <w:tcW w:w="2977" w:type="dxa"/>
          </w:tcPr>
          <w:p w:rsidRPr="00810B3D" w:rsidR="00810B3D" w:rsidP="0070413A" w:rsidRDefault="00810B3D" w14:paraId="070F4632" w14:textId="77777777">
            <w:pPr>
              <w:rPr>
                <w:color w:val="000000" w:themeColor="text1"/>
                <w:szCs w:val="24"/>
              </w:rPr>
            </w:pPr>
            <w:r w:rsidRPr="00810B3D">
              <w:rPr>
                <w:color w:val="000000" w:themeColor="text1"/>
                <w:szCs w:val="24"/>
              </w:rPr>
              <w:t>366,4</w:t>
            </w:r>
          </w:p>
        </w:tc>
        <w:tc>
          <w:tcPr>
            <w:tcW w:w="3119" w:type="dxa"/>
          </w:tcPr>
          <w:p w:rsidRPr="00810B3D" w:rsidR="00810B3D" w:rsidP="0070413A" w:rsidRDefault="00810B3D" w14:paraId="7004912D" w14:textId="77777777">
            <w:pPr>
              <w:rPr>
                <w:color w:val="000000" w:themeColor="text1"/>
                <w:szCs w:val="24"/>
              </w:rPr>
            </w:pPr>
            <w:r w:rsidRPr="00810B3D">
              <w:rPr>
                <w:color w:val="000000" w:themeColor="text1"/>
                <w:szCs w:val="24"/>
              </w:rPr>
              <w:t>385,5</w:t>
            </w:r>
          </w:p>
        </w:tc>
        <w:tc>
          <w:tcPr>
            <w:tcW w:w="1559" w:type="dxa"/>
          </w:tcPr>
          <w:p w:rsidRPr="00810B3D" w:rsidR="00810B3D" w:rsidP="0070413A" w:rsidRDefault="00810B3D" w14:paraId="7A426135" w14:textId="77777777">
            <w:pPr>
              <w:rPr>
                <w:color w:val="000000" w:themeColor="text1"/>
                <w:szCs w:val="24"/>
              </w:rPr>
            </w:pPr>
            <w:r w:rsidRPr="00810B3D">
              <w:rPr>
                <w:color w:val="000000" w:themeColor="text1"/>
                <w:szCs w:val="24"/>
              </w:rPr>
              <w:t>19,1</w:t>
            </w:r>
          </w:p>
        </w:tc>
      </w:tr>
      <w:tr w:rsidRPr="00810B3D" w:rsidR="00810B3D" w:rsidTr="009460E2" w14:paraId="45CA9DFA" w14:textId="77777777">
        <w:tc>
          <w:tcPr>
            <w:tcW w:w="1129" w:type="dxa"/>
          </w:tcPr>
          <w:p w:rsidRPr="00810B3D" w:rsidR="00810B3D" w:rsidP="0070413A" w:rsidRDefault="00810B3D" w14:paraId="6AA2E29D" w14:textId="77777777">
            <w:pPr>
              <w:rPr>
                <w:b/>
                <w:bCs/>
                <w:color w:val="000000" w:themeColor="text1"/>
                <w:szCs w:val="24"/>
              </w:rPr>
            </w:pPr>
            <w:r w:rsidRPr="00810B3D">
              <w:rPr>
                <w:b/>
                <w:bCs/>
                <w:color w:val="000000" w:themeColor="text1"/>
                <w:szCs w:val="24"/>
              </w:rPr>
              <w:t>2024</w:t>
            </w:r>
          </w:p>
        </w:tc>
        <w:tc>
          <w:tcPr>
            <w:tcW w:w="2977" w:type="dxa"/>
          </w:tcPr>
          <w:p w:rsidRPr="00810B3D" w:rsidR="00810B3D" w:rsidP="0070413A" w:rsidRDefault="00810B3D" w14:paraId="05DC8B23" w14:textId="77777777">
            <w:pPr>
              <w:rPr>
                <w:color w:val="000000" w:themeColor="text1"/>
                <w:szCs w:val="24"/>
              </w:rPr>
            </w:pPr>
            <w:r w:rsidRPr="00810B3D">
              <w:rPr>
                <w:color w:val="000000" w:themeColor="text1"/>
                <w:szCs w:val="24"/>
              </w:rPr>
              <w:t>402,9</w:t>
            </w:r>
          </w:p>
        </w:tc>
        <w:tc>
          <w:tcPr>
            <w:tcW w:w="3119" w:type="dxa"/>
          </w:tcPr>
          <w:p w:rsidRPr="00810B3D" w:rsidR="00810B3D" w:rsidP="0070413A" w:rsidRDefault="00810B3D" w14:paraId="78D278FB" w14:textId="77777777">
            <w:pPr>
              <w:rPr>
                <w:color w:val="000000" w:themeColor="text1"/>
                <w:szCs w:val="24"/>
              </w:rPr>
            </w:pPr>
          </w:p>
        </w:tc>
        <w:tc>
          <w:tcPr>
            <w:tcW w:w="1559" w:type="dxa"/>
          </w:tcPr>
          <w:p w:rsidRPr="00810B3D" w:rsidR="00810B3D" w:rsidP="0070413A" w:rsidRDefault="00810B3D" w14:paraId="3D782906" w14:textId="77777777">
            <w:pPr>
              <w:rPr>
                <w:color w:val="000000" w:themeColor="text1"/>
                <w:szCs w:val="24"/>
              </w:rPr>
            </w:pPr>
          </w:p>
        </w:tc>
      </w:tr>
      <w:tr w:rsidRPr="00810B3D" w:rsidR="00810B3D" w:rsidTr="009460E2" w14:paraId="23FFD56E" w14:textId="77777777">
        <w:tc>
          <w:tcPr>
            <w:tcW w:w="1129" w:type="dxa"/>
          </w:tcPr>
          <w:p w:rsidRPr="00810B3D" w:rsidR="00810B3D" w:rsidP="0070413A" w:rsidRDefault="00810B3D" w14:paraId="091B4EA6" w14:textId="77777777">
            <w:pPr>
              <w:rPr>
                <w:b/>
                <w:bCs/>
                <w:color w:val="000000" w:themeColor="text1"/>
                <w:szCs w:val="24"/>
              </w:rPr>
            </w:pPr>
            <w:r w:rsidRPr="00810B3D">
              <w:rPr>
                <w:b/>
                <w:bCs/>
                <w:color w:val="000000" w:themeColor="text1"/>
                <w:szCs w:val="24"/>
              </w:rPr>
              <w:t>2025</w:t>
            </w:r>
          </w:p>
        </w:tc>
        <w:tc>
          <w:tcPr>
            <w:tcW w:w="2977" w:type="dxa"/>
          </w:tcPr>
          <w:p w:rsidRPr="00810B3D" w:rsidR="00810B3D" w:rsidP="0070413A" w:rsidRDefault="00810B3D" w14:paraId="77A4ED13" w14:textId="77777777">
            <w:pPr>
              <w:rPr>
                <w:color w:val="000000" w:themeColor="text1"/>
                <w:szCs w:val="24"/>
              </w:rPr>
            </w:pPr>
            <w:r w:rsidRPr="00810B3D">
              <w:rPr>
                <w:color w:val="000000" w:themeColor="text1"/>
                <w:szCs w:val="24"/>
              </w:rPr>
              <w:t>425,1</w:t>
            </w:r>
          </w:p>
        </w:tc>
        <w:tc>
          <w:tcPr>
            <w:tcW w:w="3119" w:type="dxa"/>
          </w:tcPr>
          <w:p w:rsidRPr="00810B3D" w:rsidR="00810B3D" w:rsidP="0070413A" w:rsidRDefault="00810B3D" w14:paraId="0D27E9A4" w14:textId="77777777">
            <w:pPr>
              <w:rPr>
                <w:color w:val="000000" w:themeColor="text1"/>
                <w:szCs w:val="24"/>
              </w:rPr>
            </w:pPr>
          </w:p>
        </w:tc>
        <w:tc>
          <w:tcPr>
            <w:tcW w:w="1559" w:type="dxa"/>
          </w:tcPr>
          <w:p w:rsidRPr="00810B3D" w:rsidR="00810B3D" w:rsidP="0070413A" w:rsidRDefault="00810B3D" w14:paraId="4F3AF618" w14:textId="77777777">
            <w:pPr>
              <w:rPr>
                <w:color w:val="000000" w:themeColor="text1"/>
                <w:szCs w:val="24"/>
              </w:rPr>
            </w:pPr>
          </w:p>
        </w:tc>
      </w:tr>
    </w:tbl>
    <w:p w:rsidRPr="00810B3D" w:rsidR="00810B3D" w:rsidP="0070413A" w:rsidRDefault="00810B3D" w14:paraId="28ABA737" w14:textId="77777777">
      <w:pPr>
        <w:jc w:val="right"/>
        <w:rPr>
          <w:i/>
          <w:iCs/>
          <w:color w:val="000000" w:themeColor="text1"/>
          <w:szCs w:val="24"/>
        </w:rPr>
      </w:pPr>
      <w:r w:rsidRPr="00810B3D">
        <w:rPr>
          <w:i/>
          <w:iCs/>
          <w:color w:val="000000" w:themeColor="text1"/>
          <w:szCs w:val="24"/>
        </w:rPr>
        <w:t>Figuur 5</w:t>
      </w:r>
    </w:p>
    <w:p w:rsidRPr="00810B3D" w:rsidR="00810B3D" w:rsidP="0070413A" w:rsidRDefault="00810B3D" w14:paraId="5C3AC30B" w14:textId="77777777">
      <w:pPr>
        <w:rPr>
          <w:i/>
          <w:iCs/>
          <w:color w:val="000000" w:themeColor="text1"/>
          <w:szCs w:val="24"/>
        </w:rPr>
      </w:pPr>
      <w:r w:rsidRPr="00810B3D">
        <w:rPr>
          <w:color w:val="000000" w:themeColor="text1"/>
          <w:szCs w:val="24"/>
        </w:rPr>
        <w:br/>
      </w:r>
      <w:r w:rsidRPr="00810B3D">
        <w:rPr>
          <w:noProof/>
          <w:color w:val="000000" w:themeColor="text1"/>
          <w:szCs w:val="24"/>
        </w:rPr>
        <w:drawing>
          <wp:inline distT="0" distB="0" distL="0" distR="0" wp14:anchorId="4CCEDADC" wp14:editId="4CC5D8F7">
            <wp:extent cx="3105343" cy="3533775"/>
            <wp:effectExtent l="0" t="0" r="0" b="0"/>
            <wp:docPr id="2006961949" name="Afbeelding 1"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961949" name="Afbeelding 1" descr="Afbeelding met tekst, schermopname, Lettertype, nummer&#10;&#10;Automatisch gegenereerde beschrijv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33164" cy="3565434"/>
                    </a:xfrm>
                    <a:prstGeom prst="rect">
                      <a:avLst/>
                    </a:prstGeom>
                    <a:noFill/>
                  </pic:spPr>
                </pic:pic>
              </a:graphicData>
            </a:graphic>
          </wp:inline>
        </w:drawing>
      </w:r>
      <w:r w:rsidRPr="00810B3D">
        <w:rPr>
          <w:color w:val="000000" w:themeColor="text1"/>
          <w:szCs w:val="24"/>
        </w:rPr>
        <w:br/>
      </w:r>
      <w:r w:rsidRPr="00810B3D">
        <w:rPr>
          <w:i/>
          <w:iCs/>
          <w:color w:val="000000" w:themeColor="text1"/>
          <w:szCs w:val="24"/>
        </w:rPr>
        <w:t>Figuur 6</w:t>
      </w:r>
    </w:p>
    <w:p w:rsidRPr="00810B3D" w:rsidR="00810B3D" w:rsidP="0070413A" w:rsidRDefault="00810B3D" w14:paraId="55596392" w14:textId="77777777">
      <w:pPr>
        <w:rPr>
          <w:i/>
          <w:iCs/>
          <w:color w:val="000000" w:themeColor="text1"/>
          <w:szCs w:val="24"/>
        </w:rPr>
      </w:pPr>
    </w:p>
    <w:p w:rsidRPr="00810B3D" w:rsidR="00810B3D" w:rsidP="0070413A" w:rsidRDefault="00810B3D" w14:paraId="614DCB6D" w14:textId="77777777">
      <w:pPr>
        <w:rPr>
          <w:color w:val="000000" w:themeColor="text1"/>
          <w:szCs w:val="24"/>
        </w:rPr>
      </w:pPr>
      <w:r w:rsidRPr="00810B3D">
        <w:rPr>
          <w:color w:val="000000" w:themeColor="text1"/>
          <w:szCs w:val="24"/>
        </w:rPr>
        <w:t>Het jaar 2020, het eerste coronajaar, is zeer speciaal. De economie kromp met 3,7% terwijl een groei van 1,5% voorspeld was. Toch bleven de inkomsten maar 5,7 miljard achter bij de ramingen. En zelfs dat is een overschatting, want om de economie te stutten verlaagde de overheid de belastingen met 4,5 miljard gedurende het jaar</w:t>
      </w:r>
      <w:r w:rsidRPr="00810B3D">
        <w:rPr>
          <w:rStyle w:val="Voetnootmarkering"/>
          <w:color w:val="000000" w:themeColor="text1"/>
          <w:szCs w:val="24"/>
        </w:rPr>
        <w:footnoteReference w:id="10"/>
      </w:r>
      <w:r w:rsidRPr="00810B3D">
        <w:rPr>
          <w:color w:val="000000" w:themeColor="text1"/>
          <w:szCs w:val="24"/>
        </w:rPr>
        <w:t xml:space="preserve">. Het gevolg is dat de echte tegenvaller aan de inkomstenkant maar 1,2 miljard bedroeg. Dat is bijna een afrondingsverschil. </w:t>
      </w:r>
    </w:p>
    <w:p w:rsidRPr="002612C2" w:rsidR="00465A8D" w:rsidP="0070413A" w:rsidRDefault="00465A8D" w14:paraId="7C15B0D7" w14:textId="5B3ABB07">
      <w:pPr>
        <w:rPr>
          <w:color w:val="000000" w:themeColor="text1"/>
          <w:szCs w:val="24"/>
        </w:rPr>
      </w:pPr>
    </w:p>
    <w:p w:rsidRPr="00810B3D" w:rsidR="00810B3D" w:rsidP="0070413A" w:rsidRDefault="00810B3D" w14:paraId="7CC35223" w14:textId="77777777">
      <w:pPr>
        <w:rPr>
          <w:color w:val="000000" w:themeColor="text1"/>
          <w:szCs w:val="24"/>
        </w:rPr>
      </w:pPr>
      <w:r w:rsidRPr="00810B3D">
        <w:rPr>
          <w:color w:val="000000" w:themeColor="text1"/>
          <w:szCs w:val="24"/>
        </w:rPr>
        <w:t>Op de vraag hoe het komt dat de inkomsten structureel te laag worden ingeschat, is het simpele antwoord: dit komt door de onderschatting van de belasting- en premie-inkomsten op grote schaal.</w:t>
      </w:r>
    </w:p>
    <w:p w:rsidRPr="00810B3D" w:rsidR="00810B3D" w:rsidP="0070413A" w:rsidRDefault="00810B3D" w14:paraId="6C32FAB7" w14:textId="77777777">
      <w:pPr>
        <w:rPr>
          <w:color w:val="000000" w:themeColor="text1"/>
          <w:szCs w:val="24"/>
        </w:rPr>
      </w:pPr>
    </w:p>
    <w:p w:rsidRPr="00810B3D" w:rsidR="00810B3D" w:rsidP="0070413A" w:rsidRDefault="00810B3D" w14:paraId="7AC93996" w14:textId="77777777">
      <w:pPr>
        <w:rPr>
          <w:color w:val="000000" w:themeColor="text1"/>
          <w:szCs w:val="24"/>
        </w:rPr>
      </w:pPr>
      <w:r w:rsidRPr="00810B3D">
        <w:rPr>
          <w:color w:val="000000" w:themeColor="text1"/>
          <w:szCs w:val="24"/>
        </w:rPr>
        <w:t xml:space="preserve">Als de nominale groeivoorspelling 5% bedraagt, verwacht je ook 5% extra belastinginkomsten gemiddeld. Een vereenvoudigd voorbeeld: als de enige belasting de btw is, dan is de omzet 5% hoger en over die 5% hogere omzet heb je 5% meer btw-inkomsten. Het kan lager zijn, als mensen vooral meer goederen in het lagere btw-tarief kopen, of hoger, als ze meer luxe goederen gaan kopen. Maar het is zeer redelijk om te verwachten dat geraamde groei van de belastingen net zo hoog is als de groei van het bbp. </w:t>
      </w:r>
    </w:p>
    <w:p w:rsidRPr="00810B3D" w:rsidR="00810B3D" w:rsidP="0070413A" w:rsidRDefault="00810B3D" w14:paraId="14B31A1E" w14:textId="77777777">
      <w:pPr>
        <w:rPr>
          <w:color w:val="000000" w:themeColor="text1"/>
          <w:szCs w:val="24"/>
        </w:rPr>
      </w:pPr>
    </w:p>
    <w:p w:rsidRPr="00810B3D" w:rsidR="00810B3D" w:rsidP="0070413A" w:rsidRDefault="00810B3D" w14:paraId="35FDB6A8" w14:textId="77777777">
      <w:pPr>
        <w:rPr>
          <w:color w:val="000000" w:themeColor="text1"/>
          <w:szCs w:val="24"/>
        </w:rPr>
      </w:pPr>
      <w:r w:rsidRPr="00810B3D">
        <w:rPr>
          <w:color w:val="000000" w:themeColor="text1"/>
          <w:szCs w:val="24"/>
        </w:rPr>
        <w:t xml:space="preserve">De afgelopen jaren heeft de regering echter structureel een lagere groei geraamd voor de belastinginkomsten dan voor de economie. Zie figuur 7. </w:t>
      </w:r>
    </w:p>
    <w:p w:rsidRPr="00810B3D" w:rsidR="00810B3D" w:rsidP="0070413A" w:rsidRDefault="00810B3D" w14:paraId="389B670D" w14:textId="77777777">
      <w:pPr>
        <w:rPr>
          <w:color w:val="000000" w:themeColor="text1"/>
          <w:szCs w:val="24"/>
        </w:rPr>
      </w:pPr>
    </w:p>
    <w:tbl>
      <w:tblPr>
        <w:tblStyle w:val="Tabelraster"/>
        <w:tblW w:w="0" w:type="auto"/>
        <w:tblLook w:val="04A0" w:firstRow="1" w:lastRow="0" w:firstColumn="1" w:lastColumn="0" w:noHBand="0" w:noVBand="1"/>
      </w:tblPr>
      <w:tblGrid>
        <w:gridCol w:w="1510"/>
        <w:gridCol w:w="2454"/>
        <w:gridCol w:w="2552"/>
        <w:gridCol w:w="2268"/>
      </w:tblGrid>
      <w:tr w:rsidRPr="00810B3D" w:rsidR="00810B3D" w:rsidTr="009460E2" w14:paraId="53FF36A3" w14:textId="77777777">
        <w:tc>
          <w:tcPr>
            <w:tcW w:w="1510" w:type="dxa"/>
          </w:tcPr>
          <w:p w:rsidRPr="00810B3D" w:rsidR="00810B3D" w:rsidP="0070413A" w:rsidRDefault="00810B3D" w14:paraId="3CCD3B4F" w14:textId="77777777">
            <w:pPr>
              <w:rPr>
                <w:b/>
                <w:bCs/>
                <w:color w:val="000000" w:themeColor="text1"/>
                <w:szCs w:val="24"/>
              </w:rPr>
            </w:pPr>
          </w:p>
        </w:tc>
        <w:tc>
          <w:tcPr>
            <w:tcW w:w="2454" w:type="dxa"/>
          </w:tcPr>
          <w:p w:rsidRPr="00810B3D" w:rsidR="00810B3D" w:rsidP="0070413A" w:rsidRDefault="00810B3D" w14:paraId="28691A85" w14:textId="77777777">
            <w:pPr>
              <w:rPr>
                <w:b/>
                <w:bCs/>
                <w:color w:val="000000" w:themeColor="text1"/>
                <w:szCs w:val="24"/>
              </w:rPr>
            </w:pPr>
            <w:r w:rsidRPr="00810B3D">
              <w:rPr>
                <w:b/>
                <w:bCs/>
                <w:color w:val="000000" w:themeColor="text1"/>
                <w:szCs w:val="24"/>
              </w:rPr>
              <w:t>Geraamde</w:t>
            </w:r>
          </w:p>
          <w:p w:rsidRPr="00810B3D" w:rsidR="00810B3D" w:rsidP="0070413A" w:rsidRDefault="00810B3D" w14:paraId="632B2B78" w14:textId="77777777">
            <w:pPr>
              <w:rPr>
                <w:b/>
                <w:bCs/>
                <w:color w:val="000000" w:themeColor="text1"/>
                <w:szCs w:val="24"/>
              </w:rPr>
            </w:pPr>
            <w:r w:rsidRPr="00810B3D">
              <w:rPr>
                <w:b/>
                <w:bCs/>
                <w:color w:val="000000" w:themeColor="text1"/>
                <w:szCs w:val="24"/>
              </w:rPr>
              <w:t>Nominale BBP Groei</w:t>
            </w:r>
          </w:p>
        </w:tc>
        <w:tc>
          <w:tcPr>
            <w:tcW w:w="2552" w:type="dxa"/>
          </w:tcPr>
          <w:p w:rsidRPr="00810B3D" w:rsidR="00810B3D" w:rsidP="0070413A" w:rsidRDefault="00810B3D" w14:paraId="0A2F7B8E" w14:textId="77777777">
            <w:pPr>
              <w:rPr>
                <w:b/>
                <w:bCs/>
                <w:color w:val="000000" w:themeColor="text1"/>
                <w:szCs w:val="24"/>
              </w:rPr>
            </w:pPr>
            <w:r w:rsidRPr="00810B3D">
              <w:rPr>
                <w:b/>
                <w:bCs/>
                <w:color w:val="000000" w:themeColor="text1"/>
                <w:szCs w:val="24"/>
              </w:rPr>
              <w:t>Geraamde Endogene groei belastinginkomsten</w:t>
            </w:r>
          </w:p>
        </w:tc>
        <w:tc>
          <w:tcPr>
            <w:tcW w:w="2268" w:type="dxa"/>
          </w:tcPr>
          <w:p w:rsidRPr="00810B3D" w:rsidR="00810B3D" w:rsidP="0070413A" w:rsidRDefault="00810B3D" w14:paraId="5AA3ABB5" w14:textId="77777777">
            <w:pPr>
              <w:rPr>
                <w:b/>
                <w:bCs/>
                <w:color w:val="000000" w:themeColor="text1"/>
                <w:szCs w:val="24"/>
              </w:rPr>
            </w:pPr>
            <w:r w:rsidRPr="00810B3D">
              <w:rPr>
                <w:b/>
                <w:bCs/>
                <w:color w:val="000000" w:themeColor="text1"/>
                <w:szCs w:val="24"/>
              </w:rPr>
              <w:t>Verschil</w:t>
            </w:r>
          </w:p>
        </w:tc>
      </w:tr>
      <w:tr w:rsidRPr="00810B3D" w:rsidR="00810B3D" w:rsidTr="009460E2" w14:paraId="2FCD6365" w14:textId="77777777">
        <w:tc>
          <w:tcPr>
            <w:tcW w:w="1510" w:type="dxa"/>
          </w:tcPr>
          <w:p w:rsidRPr="00810B3D" w:rsidR="00810B3D" w:rsidP="0070413A" w:rsidRDefault="00810B3D" w14:paraId="00DFFD09" w14:textId="77777777">
            <w:pPr>
              <w:rPr>
                <w:b/>
                <w:bCs/>
                <w:color w:val="000000" w:themeColor="text1"/>
                <w:szCs w:val="24"/>
              </w:rPr>
            </w:pPr>
            <w:r w:rsidRPr="00810B3D">
              <w:rPr>
                <w:b/>
                <w:bCs/>
                <w:color w:val="000000" w:themeColor="text1"/>
                <w:szCs w:val="24"/>
              </w:rPr>
              <w:t>2015</w:t>
            </w:r>
          </w:p>
        </w:tc>
        <w:tc>
          <w:tcPr>
            <w:tcW w:w="2454" w:type="dxa"/>
          </w:tcPr>
          <w:p w:rsidRPr="00810B3D" w:rsidR="00810B3D" w:rsidP="0070413A" w:rsidRDefault="00810B3D" w14:paraId="2BFAF260" w14:textId="77777777">
            <w:pPr>
              <w:rPr>
                <w:color w:val="000000" w:themeColor="text1"/>
                <w:szCs w:val="24"/>
              </w:rPr>
            </w:pPr>
            <w:r w:rsidRPr="00810B3D">
              <w:rPr>
                <w:color w:val="000000" w:themeColor="text1"/>
                <w:szCs w:val="24"/>
              </w:rPr>
              <w:t>2,6%</w:t>
            </w:r>
          </w:p>
        </w:tc>
        <w:tc>
          <w:tcPr>
            <w:tcW w:w="2552" w:type="dxa"/>
          </w:tcPr>
          <w:p w:rsidRPr="00810B3D" w:rsidR="00810B3D" w:rsidP="0070413A" w:rsidRDefault="00810B3D" w14:paraId="553117E1" w14:textId="77777777">
            <w:pPr>
              <w:rPr>
                <w:color w:val="000000" w:themeColor="text1"/>
                <w:szCs w:val="24"/>
              </w:rPr>
            </w:pPr>
            <w:r w:rsidRPr="00810B3D">
              <w:rPr>
                <w:color w:val="000000" w:themeColor="text1"/>
                <w:szCs w:val="24"/>
              </w:rPr>
              <w:t>1,5%</w:t>
            </w:r>
          </w:p>
        </w:tc>
        <w:tc>
          <w:tcPr>
            <w:tcW w:w="2268" w:type="dxa"/>
          </w:tcPr>
          <w:p w:rsidRPr="00810B3D" w:rsidR="00810B3D" w:rsidP="0070413A" w:rsidRDefault="00810B3D" w14:paraId="576DF142" w14:textId="77777777">
            <w:pPr>
              <w:rPr>
                <w:color w:val="000000" w:themeColor="text1"/>
                <w:szCs w:val="24"/>
              </w:rPr>
            </w:pPr>
            <w:r w:rsidRPr="00810B3D">
              <w:rPr>
                <w:color w:val="000000" w:themeColor="text1"/>
                <w:szCs w:val="24"/>
              </w:rPr>
              <w:t>-1,1%</w:t>
            </w:r>
          </w:p>
        </w:tc>
      </w:tr>
      <w:tr w:rsidRPr="00810B3D" w:rsidR="00810B3D" w:rsidTr="009460E2" w14:paraId="7DB5D7B1" w14:textId="77777777">
        <w:tc>
          <w:tcPr>
            <w:tcW w:w="1510" w:type="dxa"/>
          </w:tcPr>
          <w:p w:rsidRPr="00810B3D" w:rsidR="00810B3D" w:rsidP="0070413A" w:rsidRDefault="00810B3D" w14:paraId="756ADB2D" w14:textId="77777777">
            <w:pPr>
              <w:rPr>
                <w:b/>
                <w:bCs/>
                <w:color w:val="000000" w:themeColor="text1"/>
                <w:szCs w:val="24"/>
              </w:rPr>
            </w:pPr>
            <w:r w:rsidRPr="00810B3D">
              <w:rPr>
                <w:b/>
                <w:bCs/>
                <w:color w:val="000000" w:themeColor="text1"/>
                <w:szCs w:val="24"/>
              </w:rPr>
              <w:t>2016</w:t>
            </w:r>
          </w:p>
        </w:tc>
        <w:tc>
          <w:tcPr>
            <w:tcW w:w="2454" w:type="dxa"/>
          </w:tcPr>
          <w:p w:rsidRPr="00810B3D" w:rsidR="00810B3D" w:rsidP="0070413A" w:rsidRDefault="00810B3D" w14:paraId="1F67441C" w14:textId="77777777">
            <w:pPr>
              <w:rPr>
                <w:color w:val="000000" w:themeColor="text1"/>
                <w:szCs w:val="24"/>
              </w:rPr>
            </w:pPr>
            <w:r w:rsidRPr="00810B3D">
              <w:rPr>
                <w:color w:val="000000" w:themeColor="text1"/>
                <w:szCs w:val="24"/>
              </w:rPr>
              <w:t>3,3%</w:t>
            </w:r>
          </w:p>
        </w:tc>
        <w:tc>
          <w:tcPr>
            <w:tcW w:w="2552" w:type="dxa"/>
          </w:tcPr>
          <w:p w:rsidRPr="00810B3D" w:rsidR="00810B3D" w:rsidP="0070413A" w:rsidRDefault="00810B3D" w14:paraId="57ACBC43" w14:textId="77777777">
            <w:pPr>
              <w:rPr>
                <w:color w:val="000000" w:themeColor="text1"/>
                <w:szCs w:val="24"/>
              </w:rPr>
            </w:pPr>
            <w:r w:rsidRPr="00810B3D">
              <w:rPr>
                <w:color w:val="000000" w:themeColor="text1"/>
                <w:szCs w:val="24"/>
              </w:rPr>
              <w:t>3,3%</w:t>
            </w:r>
          </w:p>
        </w:tc>
        <w:tc>
          <w:tcPr>
            <w:tcW w:w="2268" w:type="dxa"/>
          </w:tcPr>
          <w:p w:rsidRPr="00810B3D" w:rsidR="00810B3D" w:rsidP="0070413A" w:rsidRDefault="00810B3D" w14:paraId="18BF4B3B" w14:textId="77777777">
            <w:pPr>
              <w:rPr>
                <w:color w:val="000000" w:themeColor="text1"/>
                <w:szCs w:val="24"/>
              </w:rPr>
            </w:pPr>
            <w:r w:rsidRPr="00810B3D">
              <w:rPr>
                <w:color w:val="000000" w:themeColor="text1"/>
                <w:szCs w:val="24"/>
              </w:rPr>
              <w:t xml:space="preserve"> 0,0%</w:t>
            </w:r>
          </w:p>
        </w:tc>
      </w:tr>
      <w:tr w:rsidRPr="00810B3D" w:rsidR="00810B3D" w:rsidTr="009460E2" w14:paraId="2DCD1480" w14:textId="77777777">
        <w:tc>
          <w:tcPr>
            <w:tcW w:w="1510" w:type="dxa"/>
          </w:tcPr>
          <w:p w:rsidRPr="00810B3D" w:rsidR="00810B3D" w:rsidP="0070413A" w:rsidRDefault="00810B3D" w14:paraId="4420A985" w14:textId="77777777">
            <w:pPr>
              <w:rPr>
                <w:b/>
                <w:bCs/>
                <w:color w:val="000000" w:themeColor="text1"/>
                <w:szCs w:val="24"/>
              </w:rPr>
            </w:pPr>
            <w:r w:rsidRPr="00810B3D">
              <w:rPr>
                <w:b/>
                <w:bCs/>
                <w:color w:val="000000" w:themeColor="text1"/>
                <w:szCs w:val="24"/>
              </w:rPr>
              <w:t>2017</w:t>
            </w:r>
          </w:p>
        </w:tc>
        <w:tc>
          <w:tcPr>
            <w:tcW w:w="2454" w:type="dxa"/>
          </w:tcPr>
          <w:p w:rsidRPr="00810B3D" w:rsidR="00810B3D" w:rsidP="0070413A" w:rsidRDefault="00810B3D" w14:paraId="341435B3" w14:textId="77777777">
            <w:pPr>
              <w:rPr>
                <w:color w:val="000000" w:themeColor="text1"/>
                <w:szCs w:val="24"/>
              </w:rPr>
            </w:pPr>
            <w:r w:rsidRPr="00810B3D">
              <w:rPr>
                <w:color w:val="000000" w:themeColor="text1"/>
                <w:szCs w:val="24"/>
              </w:rPr>
              <w:t>2,5%</w:t>
            </w:r>
          </w:p>
        </w:tc>
        <w:tc>
          <w:tcPr>
            <w:tcW w:w="2552" w:type="dxa"/>
          </w:tcPr>
          <w:p w:rsidRPr="00810B3D" w:rsidR="00810B3D" w:rsidP="0070413A" w:rsidRDefault="00810B3D" w14:paraId="065CDA77" w14:textId="77777777">
            <w:pPr>
              <w:rPr>
                <w:color w:val="000000" w:themeColor="text1"/>
                <w:szCs w:val="24"/>
              </w:rPr>
            </w:pPr>
            <w:r w:rsidRPr="00810B3D">
              <w:rPr>
                <w:color w:val="000000" w:themeColor="text1"/>
                <w:szCs w:val="24"/>
              </w:rPr>
              <w:t>2,3%</w:t>
            </w:r>
          </w:p>
        </w:tc>
        <w:tc>
          <w:tcPr>
            <w:tcW w:w="2268" w:type="dxa"/>
          </w:tcPr>
          <w:p w:rsidRPr="00810B3D" w:rsidR="00810B3D" w:rsidP="0070413A" w:rsidRDefault="00810B3D" w14:paraId="3335B0D1" w14:textId="77777777">
            <w:pPr>
              <w:rPr>
                <w:color w:val="000000" w:themeColor="text1"/>
                <w:szCs w:val="24"/>
              </w:rPr>
            </w:pPr>
            <w:r w:rsidRPr="00810B3D">
              <w:rPr>
                <w:color w:val="000000" w:themeColor="text1"/>
                <w:szCs w:val="24"/>
              </w:rPr>
              <w:t>-0,2%</w:t>
            </w:r>
          </w:p>
        </w:tc>
      </w:tr>
      <w:tr w:rsidRPr="00810B3D" w:rsidR="00810B3D" w:rsidTr="009460E2" w14:paraId="191E1F68" w14:textId="77777777">
        <w:tc>
          <w:tcPr>
            <w:tcW w:w="1510" w:type="dxa"/>
          </w:tcPr>
          <w:p w:rsidRPr="00810B3D" w:rsidR="00810B3D" w:rsidP="0070413A" w:rsidRDefault="00810B3D" w14:paraId="2F982C6C" w14:textId="77777777">
            <w:pPr>
              <w:rPr>
                <w:b/>
                <w:bCs/>
                <w:color w:val="000000" w:themeColor="text1"/>
                <w:szCs w:val="24"/>
              </w:rPr>
            </w:pPr>
            <w:r w:rsidRPr="00810B3D">
              <w:rPr>
                <w:b/>
                <w:bCs/>
                <w:color w:val="000000" w:themeColor="text1"/>
                <w:szCs w:val="24"/>
              </w:rPr>
              <w:t>2018</w:t>
            </w:r>
          </w:p>
        </w:tc>
        <w:tc>
          <w:tcPr>
            <w:tcW w:w="2454" w:type="dxa"/>
          </w:tcPr>
          <w:p w:rsidRPr="00810B3D" w:rsidR="00810B3D" w:rsidP="0070413A" w:rsidRDefault="00810B3D" w14:paraId="7BECEE5E" w14:textId="77777777">
            <w:pPr>
              <w:rPr>
                <w:color w:val="000000" w:themeColor="text1"/>
                <w:szCs w:val="24"/>
              </w:rPr>
            </w:pPr>
            <w:r w:rsidRPr="00810B3D">
              <w:rPr>
                <w:color w:val="000000" w:themeColor="text1"/>
                <w:szCs w:val="24"/>
              </w:rPr>
              <w:t>4,2%</w:t>
            </w:r>
          </w:p>
        </w:tc>
        <w:tc>
          <w:tcPr>
            <w:tcW w:w="2552" w:type="dxa"/>
          </w:tcPr>
          <w:p w:rsidRPr="00810B3D" w:rsidR="00810B3D" w:rsidP="0070413A" w:rsidRDefault="00810B3D" w14:paraId="4B8182C2" w14:textId="77777777">
            <w:pPr>
              <w:rPr>
                <w:color w:val="000000" w:themeColor="text1"/>
                <w:szCs w:val="24"/>
              </w:rPr>
            </w:pPr>
            <w:r w:rsidRPr="00810B3D">
              <w:rPr>
                <w:color w:val="000000" w:themeColor="text1"/>
                <w:szCs w:val="24"/>
              </w:rPr>
              <w:t>4,3%</w:t>
            </w:r>
          </w:p>
        </w:tc>
        <w:tc>
          <w:tcPr>
            <w:tcW w:w="2268" w:type="dxa"/>
          </w:tcPr>
          <w:p w:rsidRPr="00810B3D" w:rsidR="00810B3D" w:rsidP="0070413A" w:rsidRDefault="00810B3D" w14:paraId="42823AFF" w14:textId="77777777">
            <w:pPr>
              <w:rPr>
                <w:color w:val="000000" w:themeColor="text1"/>
                <w:szCs w:val="24"/>
              </w:rPr>
            </w:pPr>
            <w:r w:rsidRPr="00810B3D">
              <w:rPr>
                <w:color w:val="000000" w:themeColor="text1"/>
                <w:szCs w:val="24"/>
              </w:rPr>
              <w:t>+0,1%</w:t>
            </w:r>
          </w:p>
        </w:tc>
      </w:tr>
      <w:tr w:rsidRPr="00810B3D" w:rsidR="00810B3D" w:rsidTr="009460E2" w14:paraId="101EC0CA" w14:textId="77777777">
        <w:tc>
          <w:tcPr>
            <w:tcW w:w="1510" w:type="dxa"/>
          </w:tcPr>
          <w:p w:rsidRPr="00810B3D" w:rsidR="00810B3D" w:rsidP="0070413A" w:rsidRDefault="00810B3D" w14:paraId="33A7994C" w14:textId="77777777">
            <w:pPr>
              <w:rPr>
                <w:b/>
                <w:bCs/>
                <w:color w:val="000000" w:themeColor="text1"/>
                <w:szCs w:val="24"/>
              </w:rPr>
            </w:pPr>
            <w:r w:rsidRPr="00810B3D">
              <w:rPr>
                <w:b/>
                <w:bCs/>
                <w:color w:val="000000" w:themeColor="text1"/>
                <w:szCs w:val="24"/>
              </w:rPr>
              <w:t>2019</w:t>
            </w:r>
          </w:p>
        </w:tc>
        <w:tc>
          <w:tcPr>
            <w:tcW w:w="2454" w:type="dxa"/>
          </w:tcPr>
          <w:p w:rsidRPr="00810B3D" w:rsidR="00810B3D" w:rsidP="0070413A" w:rsidRDefault="00810B3D" w14:paraId="3FB0BB25" w14:textId="77777777">
            <w:pPr>
              <w:rPr>
                <w:color w:val="000000" w:themeColor="text1"/>
                <w:szCs w:val="24"/>
              </w:rPr>
            </w:pPr>
            <w:r w:rsidRPr="00810B3D">
              <w:rPr>
                <w:color w:val="000000" w:themeColor="text1"/>
                <w:szCs w:val="24"/>
              </w:rPr>
              <w:t>5,2%</w:t>
            </w:r>
          </w:p>
        </w:tc>
        <w:tc>
          <w:tcPr>
            <w:tcW w:w="2552" w:type="dxa"/>
          </w:tcPr>
          <w:p w:rsidRPr="00810B3D" w:rsidR="00810B3D" w:rsidP="0070413A" w:rsidRDefault="00810B3D" w14:paraId="7A085FAB" w14:textId="77777777">
            <w:pPr>
              <w:rPr>
                <w:color w:val="000000" w:themeColor="text1"/>
                <w:szCs w:val="24"/>
              </w:rPr>
            </w:pPr>
            <w:r w:rsidRPr="00810B3D">
              <w:rPr>
                <w:color w:val="000000" w:themeColor="text1"/>
                <w:szCs w:val="24"/>
              </w:rPr>
              <w:t>4,7%</w:t>
            </w:r>
          </w:p>
        </w:tc>
        <w:tc>
          <w:tcPr>
            <w:tcW w:w="2268" w:type="dxa"/>
          </w:tcPr>
          <w:p w:rsidRPr="00810B3D" w:rsidR="00810B3D" w:rsidP="0070413A" w:rsidRDefault="00810B3D" w14:paraId="2E4B0C2C" w14:textId="77777777">
            <w:pPr>
              <w:rPr>
                <w:color w:val="000000" w:themeColor="text1"/>
                <w:szCs w:val="24"/>
              </w:rPr>
            </w:pPr>
            <w:r w:rsidRPr="00810B3D">
              <w:rPr>
                <w:color w:val="000000" w:themeColor="text1"/>
                <w:szCs w:val="24"/>
              </w:rPr>
              <w:t>-0,5%</w:t>
            </w:r>
          </w:p>
        </w:tc>
      </w:tr>
      <w:tr w:rsidRPr="00810B3D" w:rsidR="00810B3D" w:rsidTr="009460E2" w14:paraId="2BEFFBA1" w14:textId="77777777">
        <w:tc>
          <w:tcPr>
            <w:tcW w:w="1510" w:type="dxa"/>
          </w:tcPr>
          <w:p w:rsidRPr="00810B3D" w:rsidR="00810B3D" w:rsidP="0070413A" w:rsidRDefault="00810B3D" w14:paraId="06D6BFD5" w14:textId="77777777">
            <w:pPr>
              <w:rPr>
                <w:b/>
                <w:bCs/>
                <w:color w:val="000000" w:themeColor="text1"/>
                <w:szCs w:val="24"/>
              </w:rPr>
            </w:pPr>
            <w:r w:rsidRPr="00810B3D">
              <w:rPr>
                <w:b/>
                <w:bCs/>
                <w:color w:val="000000" w:themeColor="text1"/>
                <w:szCs w:val="24"/>
              </w:rPr>
              <w:t>2020</w:t>
            </w:r>
          </w:p>
        </w:tc>
        <w:tc>
          <w:tcPr>
            <w:tcW w:w="2454" w:type="dxa"/>
          </w:tcPr>
          <w:p w:rsidRPr="00810B3D" w:rsidR="00810B3D" w:rsidP="0070413A" w:rsidRDefault="00810B3D" w14:paraId="7789F590" w14:textId="77777777">
            <w:pPr>
              <w:rPr>
                <w:color w:val="000000" w:themeColor="text1"/>
                <w:szCs w:val="24"/>
              </w:rPr>
            </w:pPr>
            <w:r w:rsidRPr="00810B3D">
              <w:rPr>
                <w:color w:val="000000" w:themeColor="text1"/>
                <w:szCs w:val="24"/>
              </w:rPr>
              <w:t>3,1%</w:t>
            </w:r>
          </w:p>
        </w:tc>
        <w:tc>
          <w:tcPr>
            <w:tcW w:w="2552" w:type="dxa"/>
          </w:tcPr>
          <w:p w:rsidRPr="00810B3D" w:rsidR="00810B3D" w:rsidP="0070413A" w:rsidRDefault="00810B3D" w14:paraId="029E9572" w14:textId="77777777">
            <w:pPr>
              <w:rPr>
                <w:color w:val="000000" w:themeColor="text1"/>
                <w:szCs w:val="24"/>
              </w:rPr>
            </w:pPr>
            <w:r w:rsidRPr="00810B3D">
              <w:rPr>
                <w:color w:val="000000" w:themeColor="text1"/>
                <w:szCs w:val="24"/>
              </w:rPr>
              <w:t>3,1%</w:t>
            </w:r>
          </w:p>
        </w:tc>
        <w:tc>
          <w:tcPr>
            <w:tcW w:w="2268" w:type="dxa"/>
          </w:tcPr>
          <w:p w:rsidRPr="00810B3D" w:rsidR="00810B3D" w:rsidP="0070413A" w:rsidRDefault="00810B3D" w14:paraId="18D7DAC2" w14:textId="77777777">
            <w:pPr>
              <w:rPr>
                <w:color w:val="000000" w:themeColor="text1"/>
                <w:szCs w:val="24"/>
              </w:rPr>
            </w:pPr>
            <w:r w:rsidRPr="00810B3D">
              <w:rPr>
                <w:color w:val="000000" w:themeColor="text1"/>
                <w:szCs w:val="24"/>
              </w:rPr>
              <w:t xml:space="preserve"> 0,0%</w:t>
            </w:r>
          </w:p>
        </w:tc>
      </w:tr>
      <w:tr w:rsidRPr="00810B3D" w:rsidR="00810B3D" w:rsidTr="009460E2" w14:paraId="0EE8C699" w14:textId="77777777">
        <w:tc>
          <w:tcPr>
            <w:tcW w:w="1510" w:type="dxa"/>
          </w:tcPr>
          <w:p w:rsidRPr="00810B3D" w:rsidR="00810B3D" w:rsidP="0070413A" w:rsidRDefault="00810B3D" w14:paraId="30950DFB" w14:textId="77777777">
            <w:pPr>
              <w:rPr>
                <w:b/>
                <w:bCs/>
                <w:color w:val="000000" w:themeColor="text1"/>
                <w:szCs w:val="24"/>
              </w:rPr>
            </w:pPr>
            <w:r w:rsidRPr="00810B3D">
              <w:rPr>
                <w:b/>
                <w:bCs/>
                <w:color w:val="000000" w:themeColor="text1"/>
                <w:szCs w:val="24"/>
              </w:rPr>
              <w:t>2021</w:t>
            </w:r>
          </w:p>
        </w:tc>
        <w:tc>
          <w:tcPr>
            <w:tcW w:w="2454" w:type="dxa"/>
          </w:tcPr>
          <w:p w:rsidRPr="00810B3D" w:rsidR="00810B3D" w:rsidP="0070413A" w:rsidRDefault="00810B3D" w14:paraId="61461C64" w14:textId="77777777">
            <w:pPr>
              <w:rPr>
                <w:color w:val="000000" w:themeColor="text1"/>
                <w:szCs w:val="24"/>
              </w:rPr>
            </w:pPr>
            <w:r w:rsidRPr="00810B3D">
              <w:rPr>
                <w:color w:val="000000" w:themeColor="text1"/>
                <w:szCs w:val="24"/>
              </w:rPr>
              <w:t>5,0%</w:t>
            </w:r>
          </w:p>
        </w:tc>
        <w:tc>
          <w:tcPr>
            <w:tcW w:w="2552" w:type="dxa"/>
          </w:tcPr>
          <w:p w:rsidRPr="00810B3D" w:rsidR="00810B3D" w:rsidP="0070413A" w:rsidRDefault="00810B3D" w14:paraId="59BC09BC" w14:textId="77777777">
            <w:pPr>
              <w:rPr>
                <w:color w:val="000000" w:themeColor="text1"/>
                <w:szCs w:val="24"/>
              </w:rPr>
            </w:pPr>
            <w:r w:rsidRPr="00810B3D">
              <w:rPr>
                <w:color w:val="000000" w:themeColor="text1"/>
                <w:szCs w:val="24"/>
              </w:rPr>
              <w:t>-0,6%</w:t>
            </w:r>
          </w:p>
        </w:tc>
        <w:tc>
          <w:tcPr>
            <w:tcW w:w="2268" w:type="dxa"/>
          </w:tcPr>
          <w:p w:rsidRPr="00810B3D" w:rsidR="00810B3D" w:rsidP="0070413A" w:rsidRDefault="00810B3D" w14:paraId="1DCE503C" w14:textId="77777777">
            <w:pPr>
              <w:rPr>
                <w:color w:val="000000" w:themeColor="text1"/>
                <w:szCs w:val="24"/>
              </w:rPr>
            </w:pPr>
            <w:r w:rsidRPr="00810B3D">
              <w:rPr>
                <w:color w:val="000000" w:themeColor="text1"/>
                <w:szCs w:val="24"/>
              </w:rPr>
              <w:t>-5,6%</w:t>
            </w:r>
          </w:p>
        </w:tc>
      </w:tr>
      <w:tr w:rsidRPr="00810B3D" w:rsidR="00810B3D" w:rsidTr="009460E2" w14:paraId="50B6D92A" w14:textId="77777777">
        <w:tc>
          <w:tcPr>
            <w:tcW w:w="1510" w:type="dxa"/>
          </w:tcPr>
          <w:p w:rsidRPr="00810B3D" w:rsidR="00810B3D" w:rsidP="0070413A" w:rsidRDefault="00810B3D" w14:paraId="131782EC" w14:textId="77777777">
            <w:pPr>
              <w:rPr>
                <w:b/>
                <w:bCs/>
                <w:color w:val="000000" w:themeColor="text1"/>
                <w:szCs w:val="24"/>
              </w:rPr>
            </w:pPr>
            <w:r w:rsidRPr="00810B3D">
              <w:rPr>
                <w:b/>
                <w:bCs/>
                <w:color w:val="000000" w:themeColor="text1"/>
                <w:szCs w:val="24"/>
              </w:rPr>
              <w:t>2022</w:t>
            </w:r>
          </w:p>
        </w:tc>
        <w:tc>
          <w:tcPr>
            <w:tcW w:w="2454" w:type="dxa"/>
          </w:tcPr>
          <w:p w:rsidRPr="00810B3D" w:rsidR="00810B3D" w:rsidP="0070413A" w:rsidRDefault="00810B3D" w14:paraId="08065913" w14:textId="77777777">
            <w:pPr>
              <w:rPr>
                <w:color w:val="000000" w:themeColor="text1"/>
                <w:szCs w:val="24"/>
              </w:rPr>
            </w:pPr>
            <w:r w:rsidRPr="00810B3D">
              <w:rPr>
                <w:color w:val="000000" w:themeColor="text1"/>
                <w:szCs w:val="24"/>
              </w:rPr>
              <w:t>5,3%</w:t>
            </w:r>
          </w:p>
        </w:tc>
        <w:tc>
          <w:tcPr>
            <w:tcW w:w="2552" w:type="dxa"/>
          </w:tcPr>
          <w:p w:rsidRPr="00810B3D" w:rsidR="00810B3D" w:rsidP="0070413A" w:rsidRDefault="00810B3D" w14:paraId="7693F05C" w14:textId="77777777">
            <w:pPr>
              <w:rPr>
                <w:color w:val="000000" w:themeColor="text1"/>
                <w:szCs w:val="24"/>
              </w:rPr>
            </w:pPr>
            <w:r w:rsidRPr="00810B3D">
              <w:rPr>
                <w:color w:val="000000" w:themeColor="text1"/>
                <w:szCs w:val="24"/>
              </w:rPr>
              <w:t>4,2%</w:t>
            </w:r>
          </w:p>
        </w:tc>
        <w:tc>
          <w:tcPr>
            <w:tcW w:w="2268" w:type="dxa"/>
          </w:tcPr>
          <w:p w:rsidRPr="00810B3D" w:rsidR="00810B3D" w:rsidP="0070413A" w:rsidRDefault="00810B3D" w14:paraId="2478FE0C" w14:textId="77777777">
            <w:pPr>
              <w:rPr>
                <w:color w:val="000000" w:themeColor="text1"/>
                <w:szCs w:val="24"/>
              </w:rPr>
            </w:pPr>
            <w:r w:rsidRPr="00810B3D">
              <w:rPr>
                <w:color w:val="000000" w:themeColor="text1"/>
                <w:szCs w:val="24"/>
              </w:rPr>
              <w:t>-1,1%</w:t>
            </w:r>
          </w:p>
        </w:tc>
      </w:tr>
      <w:tr w:rsidRPr="00810B3D" w:rsidR="00810B3D" w:rsidTr="009460E2" w14:paraId="145DB1FD" w14:textId="77777777">
        <w:tc>
          <w:tcPr>
            <w:tcW w:w="1510" w:type="dxa"/>
          </w:tcPr>
          <w:p w:rsidRPr="00810B3D" w:rsidR="00810B3D" w:rsidP="0070413A" w:rsidRDefault="00810B3D" w14:paraId="11B6130D" w14:textId="77777777">
            <w:pPr>
              <w:rPr>
                <w:b/>
                <w:bCs/>
                <w:color w:val="000000" w:themeColor="text1"/>
                <w:szCs w:val="24"/>
              </w:rPr>
            </w:pPr>
            <w:r w:rsidRPr="00810B3D">
              <w:rPr>
                <w:b/>
                <w:bCs/>
                <w:color w:val="000000" w:themeColor="text1"/>
                <w:szCs w:val="24"/>
              </w:rPr>
              <w:t>2023</w:t>
            </w:r>
          </w:p>
        </w:tc>
        <w:tc>
          <w:tcPr>
            <w:tcW w:w="2454" w:type="dxa"/>
          </w:tcPr>
          <w:p w:rsidRPr="00810B3D" w:rsidR="00810B3D" w:rsidP="0070413A" w:rsidRDefault="00810B3D" w14:paraId="110597B1" w14:textId="77777777">
            <w:pPr>
              <w:rPr>
                <w:color w:val="000000" w:themeColor="text1"/>
                <w:szCs w:val="24"/>
              </w:rPr>
            </w:pPr>
            <w:r w:rsidRPr="00810B3D">
              <w:rPr>
                <w:color w:val="000000" w:themeColor="text1"/>
                <w:szCs w:val="24"/>
              </w:rPr>
              <w:t>6,5%</w:t>
            </w:r>
          </w:p>
        </w:tc>
        <w:tc>
          <w:tcPr>
            <w:tcW w:w="2552" w:type="dxa"/>
          </w:tcPr>
          <w:p w:rsidRPr="00810B3D" w:rsidR="00810B3D" w:rsidP="0070413A" w:rsidRDefault="00810B3D" w14:paraId="1E991D19" w14:textId="77777777">
            <w:pPr>
              <w:rPr>
                <w:color w:val="000000" w:themeColor="text1"/>
                <w:szCs w:val="24"/>
              </w:rPr>
            </w:pPr>
            <w:r w:rsidRPr="00810B3D">
              <w:rPr>
                <w:color w:val="000000" w:themeColor="text1"/>
                <w:szCs w:val="24"/>
              </w:rPr>
              <w:t>3,4%</w:t>
            </w:r>
          </w:p>
        </w:tc>
        <w:tc>
          <w:tcPr>
            <w:tcW w:w="2268" w:type="dxa"/>
          </w:tcPr>
          <w:p w:rsidRPr="00810B3D" w:rsidR="00810B3D" w:rsidP="0070413A" w:rsidRDefault="00810B3D" w14:paraId="72FDF99B" w14:textId="77777777">
            <w:pPr>
              <w:rPr>
                <w:color w:val="000000" w:themeColor="text1"/>
                <w:szCs w:val="24"/>
              </w:rPr>
            </w:pPr>
            <w:r w:rsidRPr="00810B3D">
              <w:rPr>
                <w:color w:val="000000" w:themeColor="text1"/>
                <w:szCs w:val="24"/>
              </w:rPr>
              <w:t>-3,1%</w:t>
            </w:r>
          </w:p>
        </w:tc>
      </w:tr>
      <w:tr w:rsidRPr="00810B3D" w:rsidR="00810B3D" w:rsidTr="009460E2" w14:paraId="68344531" w14:textId="77777777">
        <w:tc>
          <w:tcPr>
            <w:tcW w:w="1510" w:type="dxa"/>
          </w:tcPr>
          <w:p w:rsidRPr="00810B3D" w:rsidR="00810B3D" w:rsidP="0070413A" w:rsidRDefault="00810B3D" w14:paraId="6981E1FE" w14:textId="77777777">
            <w:pPr>
              <w:rPr>
                <w:b/>
                <w:bCs/>
                <w:color w:val="000000" w:themeColor="text1"/>
                <w:szCs w:val="24"/>
              </w:rPr>
            </w:pPr>
            <w:r w:rsidRPr="00810B3D">
              <w:rPr>
                <w:b/>
                <w:bCs/>
                <w:color w:val="000000" w:themeColor="text1"/>
                <w:szCs w:val="24"/>
              </w:rPr>
              <w:t>2024</w:t>
            </w:r>
          </w:p>
        </w:tc>
        <w:tc>
          <w:tcPr>
            <w:tcW w:w="2454" w:type="dxa"/>
          </w:tcPr>
          <w:p w:rsidRPr="00810B3D" w:rsidR="00810B3D" w:rsidP="0070413A" w:rsidRDefault="00810B3D" w14:paraId="36C7B81F" w14:textId="77777777">
            <w:pPr>
              <w:rPr>
                <w:color w:val="000000" w:themeColor="text1"/>
                <w:szCs w:val="24"/>
              </w:rPr>
            </w:pPr>
            <w:r w:rsidRPr="00810B3D">
              <w:rPr>
                <w:color w:val="000000" w:themeColor="text1"/>
                <w:szCs w:val="24"/>
              </w:rPr>
              <w:t>4,9%</w:t>
            </w:r>
          </w:p>
        </w:tc>
        <w:tc>
          <w:tcPr>
            <w:tcW w:w="2552" w:type="dxa"/>
          </w:tcPr>
          <w:p w:rsidRPr="00810B3D" w:rsidR="00810B3D" w:rsidP="0070413A" w:rsidRDefault="00810B3D" w14:paraId="26EF57DA" w14:textId="77777777">
            <w:pPr>
              <w:rPr>
                <w:color w:val="000000" w:themeColor="text1"/>
                <w:szCs w:val="24"/>
              </w:rPr>
            </w:pPr>
            <w:r w:rsidRPr="00810B3D">
              <w:rPr>
                <w:color w:val="000000" w:themeColor="text1"/>
                <w:szCs w:val="24"/>
              </w:rPr>
              <w:t>3,2%</w:t>
            </w:r>
          </w:p>
        </w:tc>
        <w:tc>
          <w:tcPr>
            <w:tcW w:w="2268" w:type="dxa"/>
          </w:tcPr>
          <w:p w:rsidRPr="00810B3D" w:rsidR="00810B3D" w:rsidP="0070413A" w:rsidRDefault="00810B3D" w14:paraId="470A10D3" w14:textId="77777777">
            <w:pPr>
              <w:rPr>
                <w:color w:val="000000" w:themeColor="text1"/>
                <w:szCs w:val="24"/>
              </w:rPr>
            </w:pPr>
            <w:r w:rsidRPr="00810B3D">
              <w:rPr>
                <w:color w:val="000000" w:themeColor="text1"/>
                <w:szCs w:val="24"/>
              </w:rPr>
              <w:t>-1,7%</w:t>
            </w:r>
          </w:p>
        </w:tc>
      </w:tr>
      <w:tr w:rsidRPr="00810B3D" w:rsidR="00810B3D" w:rsidTr="009460E2" w14:paraId="0D1019C6" w14:textId="77777777">
        <w:tc>
          <w:tcPr>
            <w:tcW w:w="1510" w:type="dxa"/>
          </w:tcPr>
          <w:p w:rsidRPr="00810B3D" w:rsidR="00810B3D" w:rsidP="0070413A" w:rsidRDefault="00810B3D" w14:paraId="384F6123" w14:textId="77777777">
            <w:pPr>
              <w:rPr>
                <w:b/>
                <w:bCs/>
                <w:color w:val="000000" w:themeColor="text1"/>
                <w:szCs w:val="24"/>
              </w:rPr>
            </w:pPr>
            <w:r w:rsidRPr="00810B3D">
              <w:rPr>
                <w:b/>
                <w:bCs/>
                <w:color w:val="000000" w:themeColor="text1"/>
                <w:szCs w:val="24"/>
              </w:rPr>
              <w:t>2025</w:t>
            </w:r>
          </w:p>
        </w:tc>
        <w:tc>
          <w:tcPr>
            <w:tcW w:w="2454" w:type="dxa"/>
          </w:tcPr>
          <w:p w:rsidRPr="00810B3D" w:rsidR="00810B3D" w:rsidP="0070413A" w:rsidRDefault="00810B3D" w14:paraId="584E4A9D" w14:textId="77777777">
            <w:pPr>
              <w:rPr>
                <w:color w:val="000000" w:themeColor="text1"/>
                <w:szCs w:val="24"/>
              </w:rPr>
            </w:pPr>
            <w:r w:rsidRPr="00810B3D">
              <w:rPr>
                <w:color w:val="000000" w:themeColor="text1"/>
                <w:szCs w:val="24"/>
              </w:rPr>
              <w:t>4,3%</w:t>
            </w:r>
          </w:p>
        </w:tc>
        <w:tc>
          <w:tcPr>
            <w:tcW w:w="2552" w:type="dxa"/>
          </w:tcPr>
          <w:p w:rsidRPr="00810B3D" w:rsidR="00810B3D" w:rsidP="0070413A" w:rsidRDefault="00810B3D" w14:paraId="4E914D24" w14:textId="77777777">
            <w:pPr>
              <w:rPr>
                <w:color w:val="000000" w:themeColor="text1"/>
                <w:szCs w:val="24"/>
              </w:rPr>
            </w:pPr>
            <w:r w:rsidRPr="00810B3D">
              <w:rPr>
                <w:color w:val="000000" w:themeColor="text1"/>
                <w:szCs w:val="24"/>
              </w:rPr>
              <w:t>3,6%</w:t>
            </w:r>
          </w:p>
        </w:tc>
        <w:tc>
          <w:tcPr>
            <w:tcW w:w="2268" w:type="dxa"/>
          </w:tcPr>
          <w:p w:rsidRPr="00810B3D" w:rsidR="00810B3D" w:rsidP="0070413A" w:rsidRDefault="00810B3D" w14:paraId="37492B54" w14:textId="77777777">
            <w:pPr>
              <w:rPr>
                <w:color w:val="000000" w:themeColor="text1"/>
                <w:szCs w:val="24"/>
              </w:rPr>
            </w:pPr>
            <w:r w:rsidRPr="00810B3D">
              <w:rPr>
                <w:color w:val="000000" w:themeColor="text1"/>
                <w:szCs w:val="24"/>
              </w:rPr>
              <w:t>-0,7%</w:t>
            </w:r>
          </w:p>
        </w:tc>
      </w:tr>
    </w:tbl>
    <w:p w:rsidRPr="00810B3D" w:rsidR="00810B3D" w:rsidP="0070413A" w:rsidRDefault="00810B3D" w14:paraId="3DB975C1" w14:textId="77777777">
      <w:pPr>
        <w:rPr>
          <w:i/>
          <w:iCs/>
          <w:color w:val="000000" w:themeColor="text1"/>
          <w:szCs w:val="24"/>
        </w:rPr>
      </w:pPr>
    </w:p>
    <w:p w:rsidRPr="00810B3D" w:rsidR="00810B3D" w:rsidP="0070413A" w:rsidRDefault="00810B3D" w14:paraId="0EE74921" w14:textId="77777777">
      <w:pPr>
        <w:jc w:val="right"/>
        <w:rPr>
          <w:i/>
          <w:iCs/>
          <w:color w:val="000000" w:themeColor="text1"/>
          <w:szCs w:val="24"/>
        </w:rPr>
      </w:pPr>
      <w:r w:rsidRPr="00810B3D">
        <w:rPr>
          <w:i/>
          <w:iCs/>
          <w:color w:val="000000" w:themeColor="text1"/>
          <w:szCs w:val="24"/>
        </w:rPr>
        <w:t xml:space="preserve">Figuur 7 </w:t>
      </w:r>
    </w:p>
    <w:p w:rsidRPr="00810B3D" w:rsidR="00810B3D" w:rsidP="0070413A" w:rsidRDefault="00810B3D" w14:paraId="59ED2C90" w14:textId="77777777">
      <w:pPr>
        <w:rPr>
          <w:color w:val="000000" w:themeColor="text1"/>
          <w:szCs w:val="24"/>
        </w:rPr>
      </w:pPr>
      <w:r w:rsidRPr="00810B3D">
        <w:rPr>
          <w:color w:val="000000" w:themeColor="text1"/>
          <w:szCs w:val="24"/>
        </w:rPr>
        <w:br/>
        <w:t xml:space="preserve">Als 3% minder belasting- en premiestijging wordt geraamd (zoals in 2023) dan de nominale groei van het BBP, dan betekent dat al een meevaller van meer dan 10 miljard als de belastingopbrengsten parallel lopen aan de BBP-groei. De verwachte endogene groei wordt jaarlijks in de miljoenennota gepresenteerd, maar we hebben de realisatie achteraf niet kunnen vinden. De endogene groei is de verwachte groei van de belasting- en premie-inkomsten zonder beleidswijzigingen. Dus de effecten van een btw-verhoging zitten niet in de endogene groei omdat een belastingverhoging of verlaging een beleidswijziging is. </w:t>
      </w:r>
    </w:p>
    <w:p w:rsidRPr="00810B3D" w:rsidR="00810B3D" w:rsidP="0070413A" w:rsidRDefault="00810B3D" w14:paraId="7AD36547" w14:textId="77777777">
      <w:pPr>
        <w:rPr>
          <w:color w:val="000000" w:themeColor="text1"/>
          <w:szCs w:val="24"/>
        </w:rPr>
      </w:pPr>
    </w:p>
    <w:p w:rsidRPr="00810B3D" w:rsidR="00810B3D" w:rsidP="0070413A" w:rsidRDefault="00810B3D" w14:paraId="1AE15440" w14:textId="77777777">
      <w:pPr>
        <w:rPr>
          <w:color w:val="000000" w:themeColor="text1"/>
          <w:szCs w:val="24"/>
        </w:rPr>
      </w:pPr>
      <w:r w:rsidRPr="00810B3D">
        <w:rPr>
          <w:color w:val="000000" w:themeColor="text1"/>
          <w:szCs w:val="24"/>
        </w:rPr>
        <w:t>In werkelijkheid is het effect nog veel groter dan het verschil van een jaar. Dit illustreren we met een voorbeeld. Als wordt gekeken naar de voorspelling van de inkomsten over 2025, dan is deze gebaseerd op de geschatte inkomsten van de belastingen in 2024, vermeerderd met de endogene groeivoet. De geschatte inkomsten over 2024 zijn nog nauwelijks bijgesteld, terwijl ze volgens het CBS door het dak gaan. Er zit dus een dubbele onderschatting van de inkomsten in 2025. En dat geldt eigenlijk voor alle jaren vanaf 2022.</w:t>
      </w:r>
    </w:p>
    <w:p w:rsidRPr="00810B3D" w:rsidR="00810B3D" w:rsidP="0070413A" w:rsidRDefault="00810B3D" w14:paraId="5169CDAD" w14:textId="77777777">
      <w:pPr>
        <w:rPr>
          <w:color w:val="000000" w:themeColor="text1"/>
          <w:szCs w:val="24"/>
        </w:rPr>
      </w:pPr>
    </w:p>
    <w:p w:rsidRPr="00810B3D" w:rsidR="00810B3D" w:rsidP="0070413A" w:rsidRDefault="00810B3D" w14:paraId="6304490D" w14:textId="77777777">
      <w:pPr>
        <w:rPr>
          <w:color w:val="000000" w:themeColor="text1"/>
          <w:szCs w:val="24"/>
        </w:rPr>
      </w:pPr>
      <w:r w:rsidRPr="00810B3D">
        <w:rPr>
          <w:color w:val="000000" w:themeColor="text1"/>
          <w:szCs w:val="24"/>
        </w:rPr>
        <w:t xml:space="preserve">Merk op dat er ook hier een cesuur zit in 2020. Na 2020 wijkt de geraamde endogene groei van de belastinginkomsten meer af van de geraamde nominale groei van de belastinginkomsten. We zien dat juist in de afgelopen paar jaar er grote verborgen meevallers in het systeem gebakken lijken te worden. </w:t>
      </w:r>
    </w:p>
    <w:p w:rsidRPr="00810B3D" w:rsidR="00810B3D" w:rsidP="0070413A" w:rsidRDefault="00810B3D" w14:paraId="36736472" w14:textId="77777777">
      <w:pPr>
        <w:rPr>
          <w:color w:val="000000" w:themeColor="text1"/>
          <w:szCs w:val="24"/>
        </w:rPr>
      </w:pPr>
    </w:p>
    <w:p w:rsidRPr="00810B3D" w:rsidR="00810B3D" w:rsidP="0070413A" w:rsidRDefault="00810B3D" w14:paraId="03E13266" w14:textId="77777777">
      <w:pPr>
        <w:rPr>
          <w:color w:val="000000" w:themeColor="text1"/>
          <w:szCs w:val="24"/>
        </w:rPr>
      </w:pPr>
      <w:r w:rsidRPr="00810B3D">
        <w:rPr>
          <w:color w:val="000000" w:themeColor="text1"/>
          <w:szCs w:val="24"/>
        </w:rPr>
        <w:t xml:space="preserve">Een nadere uitsplitsing naar belastingsoorten leert dat het vooral de directe belastingen (zoals de IB en de VPB) zijn die stelselmatig hoger uitvallen. En de mate waarin lijkt de laatste jaren ook te stijgen. </w:t>
      </w:r>
    </w:p>
    <w:p w:rsidRPr="00810B3D" w:rsidR="00810B3D" w:rsidP="0070413A" w:rsidRDefault="00810B3D" w14:paraId="71572361" w14:textId="77777777">
      <w:pPr>
        <w:rPr>
          <w:color w:val="000000" w:themeColor="text1"/>
          <w:szCs w:val="24"/>
        </w:rPr>
      </w:pPr>
    </w:p>
    <w:p w:rsidRPr="00810B3D" w:rsidR="00810B3D" w:rsidP="0070413A" w:rsidRDefault="00810B3D" w14:paraId="36F54683" w14:textId="77777777">
      <w:pPr>
        <w:rPr>
          <w:color w:val="000000" w:themeColor="text1"/>
          <w:szCs w:val="24"/>
        </w:rPr>
      </w:pPr>
      <w:r w:rsidRPr="00810B3D">
        <w:rPr>
          <w:color w:val="000000" w:themeColor="text1"/>
          <w:szCs w:val="24"/>
        </w:rPr>
        <w:t xml:space="preserve">Hiernaast verdient nog de volgende zaak aandacht: elke bijstelling van de nationale rekeningen door het CBS leidt tot de ontdekking dat de economie toch weer tientallen miljarden groter is dan eerder gedacht. De overgang naar een diensteconomie die zich grotendeels online ontwikkelt, maakt het meten van de economie ook vele malen moeilijker dan bij fabrieken waar de productie goed te meten is en goed toe te rekenen is aan een </w:t>
      </w:r>
      <w:r w:rsidRPr="00810B3D">
        <w:rPr>
          <w:color w:val="000000" w:themeColor="text1"/>
          <w:szCs w:val="24"/>
        </w:rPr>
        <w:lastRenderedPageBreak/>
        <w:t>bepaalde jurisdictie. Zowel het meten van de omvang van de economie als de plek waar de waarde wordt toegevoegd is in het digitale tijdsperk toegenomen.</w:t>
      </w:r>
    </w:p>
    <w:p w:rsidRPr="00810B3D" w:rsidR="00810B3D" w:rsidP="0070413A" w:rsidRDefault="00810B3D" w14:paraId="7A9ED63E" w14:textId="77777777">
      <w:pPr>
        <w:rPr>
          <w:color w:val="000000" w:themeColor="text1"/>
          <w:szCs w:val="24"/>
        </w:rPr>
      </w:pPr>
      <w:r w:rsidRPr="00810B3D">
        <w:rPr>
          <w:color w:val="000000" w:themeColor="text1"/>
          <w:szCs w:val="24"/>
        </w:rPr>
        <w:br/>
        <w:t>Gevolg hiervan is dat de groei van de economie structureel een stukje onderschat wordt en pas later wordt bijgesteld. De belastingen en premies zijn echter wel degelijk verschuldigd over de stukken van de economie die pas later door het CBS gemeten worden. Dit leidt ook tot structurele belastingmeevallers.</w:t>
      </w:r>
    </w:p>
    <w:p w:rsidRPr="00D80612" w:rsidR="00810B3D" w:rsidP="0070413A" w:rsidRDefault="00810B3D" w14:paraId="7798263A" w14:textId="689A66EE">
      <w:pPr>
        <w:rPr>
          <w:rFonts w:eastAsiaTheme="majorEastAsia"/>
          <w:color w:val="000000" w:themeColor="text1"/>
          <w:szCs w:val="24"/>
        </w:rPr>
      </w:pPr>
    </w:p>
    <w:p w:rsidRPr="00D80612" w:rsidR="00810B3D" w:rsidP="0070413A" w:rsidRDefault="00C17DA9" w14:paraId="22FF86D8" w14:textId="665626D8">
      <w:pPr>
        <w:pStyle w:val="Geenafstand"/>
        <w:spacing w:line="240" w:lineRule="auto"/>
        <w:rPr>
          <w:rFonts w:ascii="Times New Roman" w:hAnsi="Times New Roman" w:cs="Times New Roman"/>
          <w:b/>
          <w:bCs/>
          <w:color w:val="000000" w:themeColor="text1"/>
        </w:rPr>
      </w:pPr>
      <w:r>
        <w:rPr>
          <w:rFonts w:ascii="Times New Roman" w:hAnsi="Times New Roman" w:cs="Times New Roman"/>
          <w:b/>
          <w:bCs/>
          <w:color w:val="000000" w:themeColor="text1"/>
        </w:rPr>
        <w:t>7</w:t>
      </w:r>
      <w:r w:rsidRPr="00D80612" w:rsidR="00D80612">
        <w:rPr>
          <w:rFonts w:ascii="Times New Roman" w:hAnsi="Times New Roman" w:cs="Times New Roman"/>
          <w:b/>
          <w:bCs/>
          <w:color w:val="000000" w:themeColor="text1"/>
        </w:rPr>
        <w:t>. Toekomst en beslispunten</w:t>
      </w:r>
    </w:p>
    <w:p w:rsidRPr="00810B3D" w:rsidR="00D80612" w:rsidP="0070413A" w:rsidRDefault="00D80612" w14:paraId="69BE2FC9" w14:textId="77777777">
      <w:pPr>
        <w:pStyle w:val="Geenafstand"/>
        <w:spacing w:line="240" w:lineRule="auto"/>
        <w:rPr>
          <w:rFonts w:ascii="Times New Roman" w:hAnsi="Times New Roman" w:cs="Times New Roman"/>
          <w:color w:val="000000" w:themeColor="text1"/>
        </w:rPr>
      </w:pPr>
    </w:p>
    <w:p w:rsidRPr="00810B3D" w:rsidR="00810B3D" w:rsidP="0070413A" w:rsidRDefault="00810B3D" w14:paraId="3FE4C50A" w14:textId="77777777">
      <w:pPr>
        <w:pStyle w:val="Geenafstand"/>
        <w:spacing w:line="240" w:lineRule="auto"/>
        <w:rPr>
          <w:rFonts w:ascii="Times New Roman" w:hAnsi="Times New Roman" w:cs="Times New Roman"/>
          <w:color w:val="000000" w:themeColor="text1"/>
        </w:rPr>
      </w:pPr>
      <w:r w:rsidRPr="00810B3D">
        <w:rPr>
          <w:rFonts w:ascii="Times New Roman" w:hAnsi="Times New Roman" w:cs="Times New Roman"/>
          <w:color w:val="000000" w:themeColor="text1"/>
        </w:rPr>
        <w:t xml:space="preserve">Bovenstaande laat zien dat de kwaliteit van de tekort- en schuldramingen fors omhoog moet. De ramingen zijn nu zo conservatief, dat het bijna altijd enorm blijkt mee te vallen. Overigens, een beetje conservatief ramen is fijn, omdat meevallers net iets prettiger zijn dan tegenvallers. Maar nu neemt de politiek pijnlijke besluiten waarin bezuinigd wordt of waarin bepaalde uitgaven en investeringen niet worden gedaan, terwijl er achteraf gezien wel ruimte voor bleek te zijn. Niet-realistische ramingen leiden dus tot verkeerde aannames over de feiten, op basis waarvan cruciale besluiten genomen worden. Hierdoor wordt de rol van de Kamer, en dus het democratische gehalte van deze beslissingen, beperkt. </w:t>
      </w:r>
    </w:p>
    <w:p w:rsidRPr="00810B3D" w:rsidR="00810B3D" w:rsidP="0070413A" w:rsidRDefault="00810B3D" w14:paraId="4667EFCB" w14:textId="77777777">
      <w:pPr>
        <w:pStyle w:val="Geenafstand"/>
        <w:spacing w:line="240" w:lineRule="auto"/>
        <w:rPr>
          <w:rFonts w:ascii="Times New Roman" w:hAnsi="Times New Roman" w:cs="Times New Roman"/>
          <w:color w:val="000000" w:themeColor="text1"/>
        </w:rPr>
      </w:pPr>
    </w:p>
    <w:p w:rsidRPr="00810B3D" w:rsidR="00810B3D" w:rsidP="0070413A" w:rsidRDefault="00810B3D" w14:paraId="1C670C73" w14:textId="0952694A">
      <w:pPr>
        <w:pStyle w:val="Geenafstand"/>
        <w:spacing w:line="240" w:lineRule="auto"/>
        <w:rPr>
          <w:rFonts w:ascii="Times New Roman" w:hAnsi="Times New Roman" w:cs="Times New Roman"/>
          <w:color w:val="000000" w:themeColor="text1"/>
        </w:rPr>
      </w:pPr>
      <w:r w:rsidRPr="00810B3D">
        <w:rPr>
          <w:rFonts w:ascii="Times New Roman" w:hAnsi="Times New Roman" w:cs="Times New Roman"/>
          <w:color w:val="000000" w:themeColor="text1"/>
        </w:rPr>
        <w:t xml:space="preserve">We zien ook dat de kwaliteit van de ramingen na 2020 fors is afgenomen. Vanaf dat moment zijn de ramingen veel te somber. Zelfs aan het eind van het jaar zitten de ramingen er dan nog enorm naast en zijn ze veel te pessimistisch. </w:t>
      </w:r>
      <w:r w:rsidRPr="00810B3D">
        <w:rPr>
          <w:rFonts w:ascii="Times New Roman" w:hAnsi="Times New Roman" w:cs="Times New Roman"/>
          <w:color w:val="000000" w:themeColor="text1"/>
        </w:rPr>
        <w:br/>
        <w:t>Dat valt samen met het moment dat de regering structureel de groei van de belastinginkomsten fors lager inschat dan de groei van de economie. Waarom die groei lager geschat wordt, wordt nooit duidelijk. Wel wordt duidelijk dat het jaar op jaar niet klopt.</w:t>
      </w:r>
      <w:r w:rsidRPr="00810B3D">
        <w:rPr>
          <w:rFonts w:ascii="Times New Roman" w:hAnsi="Times New Roman" w:cs="Times New Roman"/>
          <w:color w:val="000000" w:themeColor="text1"/>
        </w:rPr>
        <w:br/>
      </w:r>
      <w:r w:rsidRPr="00810B3D">
        <w:rPr>
          <w:rFonts w:ascii="Times New Roman" w:hAnsi="Times New Roman" w:cs="Times New Roman"/>
          <w:color w:val="000000" w:themeColor="text1"/>
        </w:rPr>
        <w:br/>
        <w:t xml:space="preserve">Als er een verkeerd beeld van de staatsfinanciën is, dan worden besluiten over belastingen, over uitgaven en over noodzakelijke investeringen gemaakt op basis van verkeerde aannames en leidt dat automatisch tot fouten. Daarom </w:t>
      </w:r>
      <w:r w:rsidR="00456AAE">
        <w:rPr>
          <w:rFonts w:ascii="Times New Roman" w:hAnsi="Times New Roman" w:cs="Times New Roman"/>
          <w:color w:val="000000" w:themeColor="text1"/>
        </w:rPr>
        <w:t xml:space="preserve">komt deze </w:t>
      </w:r>
      <w:r w:rsidR="00774E94">
        <w:rPr>
          <w:rFonts w:ascii="Times New Roman" w:hAnsi="Times New Roman" w:cs="Times New Roman"/>
          <w:color w:val="000000" w:themeColor="text1"/>
        </w:rPr>
        <w:t>initiatief</w:t>
      </w:r>
      <w:r w:rsidR="00456AAE">
        <w:rPr>
          <w:rFonts w:ascii="Times New Roman" w:hAnsi="Times New Roman" w:cs="Times New Roman"/>
          <w:color w:val="000000" w:themeColor="text1"/>
        </w:rPr>
        <w:t>nota met</w:t>
      </w:r>
      <w:r w:rsidRPr="00810B3D">
        <w:rPr>
          <w:rFonts w:ascii="Times New Roman" w:hAnsi="Times New Roman" w:cs="Times New Roman"/>
          <w:color w:val="000000" w:themeColor="text1"/>
        </w:rPr>
        <w:t xml:space="preserve"> </w:t>
      </w:r>
      <w:r w:rsidR="00774E94">
        <w:rPr>
          <w:rFonts w:ascii="Times New Roman" w:hAnsi="Times New Roman" w:cs="Times New Roman"/>
          <w:color w:val="000000" w:themeColor="text1"/>
        </w:rPr>
        <w:t xml:space="preserve">aantal </w:t>
      </w:r>
      <w:r w:rsidRPr="00810B3D">
        <w:rPr>
          <w:rFonts w:ascii="Times New Roman" w:hAnsi="Times New Roman" w:cs="Times New Roman"/>
          <w:color w:val="000000" w:themeColor="text1"/>
        </w:rPr>
        <w:t>voorstellen om deze ramingen te verbeteren.</w:t>
      </w:r>
      <w:r w:rsidR="0058091A">
        <w:rPr>
          <w:rFonts w:ascii="Times New Roman" w:hAnsi="Times New Roman" w:cs="Times New Roman"/>
          <w:color w:val="000000" w:themeColor="text1"/>
        </w:rPr>
        <w:t xml:space="preserve"> </w:t>
      </w:r>
      <w:r w:rsidR="00676F91">
        <w:rPr>
          <w:rFonts w:ascii="Times New Roman" w:hAnsi="Times New Roman" w:cs="Times New Roman"/>
          <w:color w:val="000000" w:themeColor="text1"/>
        </w:rPr>
        <w:t>Daartoe stellen de initiatief</w:t>
      </w:r>
      <w:r w:rsidR="00006708">
        <w:rPr>
          <w:rFonts w:ascii="Times New Roman" w:hAnsi="Times New Roman" w:cs="Times New Roman"/>
          <w:color w:val="000000" w:themeColor="text1"/>
        </w:rPr>
        <w:t>nemers de Kamer voor ermee in te stemmen de betrokken bewindspersoon te verzoeken om de volgende</w:t>
      </w:r>
      <w:r w:rsidR="00336FEA">
        <w:rPr>
          <w:rFonts w:ascii="Times New Roman" w:hAnsi="Times New Roman" w:cs="Times New Roman"/>
          <w:color w:val="000000" w:themeColor="text1"/>
        </w:rPr>
        <w:t xml:space="preserve"> voorstellen uit te voeren.</w:t>
      </w:r>
    </w:p>
    <w:p w:rsidRPr="00810B3D" w:rsidR="00810B3D" w:rsidP="0070413A" w:rsidRDefault="00810B3D" w14:paraId="3855591E" w14:textId="77777777">
      <w:pPr>
        <w:pStyle w:val="Geenafstand"/>
        <w:spacing w:line="240" w:lineRule="auto"/>
        <w:rPr>
          <w:rFonts w:ascii="Times New Roman" w:hAnsi="Times New Roman" w:cs="Times New Roman"/>
          <w:color w:val="000000" w:themeColor="text1"/>
        </w:rPr>
      </w:pPr>
    </w:p>
    <w:p w:rsidR="00F0073F" w:rsidP="0070413A" w:rsidRDefault="00DE176F" w14:paraId="7680C76D" w14:textId="44E37F45">
      <w:pPr>
        <w:pStyle w:val="Geenafstand"/>
        <w:spacing w:line="240" w:lineRule="auto"/>
        <w:rPr>
          <w:rFonts w:ascii="Times New Roman" w:hAnsi="Times New Roman" w:cs="Times New Roman"/>
          <w:color w:val="000000" w:themeColor="text1"/>
        </w:rPr>
      </w:pPr>
      <w:r w:rsidRPr="00931C94">
        <w:rPr>
          <w:rFonts w:ascii="Times New Roman" w:hAnsi="Times New Roman" w:cs="Times New Roman"/>
          <w:color w:val="000000" w:themeColor="text1"/>
        </w:rPr>
        <w:t>Beslispunt</w:t>
      </w:r>
      <w:r w:rsidR="00A62847">
        <w:rPr>
          <w:rFonts w:ascii="Times New Roman" w:hAnsi="Times New Roman" w:cs="Times New Roman"/>
          <w:color w:val="000000" w:themeColor="text1"/>
        </w:rPr>
        <w:t xml:space="preserve"> 1</w:t>
      </w:r>
    </w:p>
    <w:p w:rsidR="00A62847" w:rsidP="0070413A" w:rsidRDefault="00A62847" w14:paraId="2FBEE139" w14:textId="77777777">
      <w:pPr>
        <w:pStyle w:val="Geenafstand"/>
        <w:spacing w:line="240" w:lineRule="auto"/>
        <w:rPr>
          <w:rFonts w:ascii="Times New Roman" w:hAnsi="Times New Roman" w:cs="Times New Roman"/>
          <w:color w:val="000000" w:themeColor="text1"/>
        </w:rPr>
      </w:pPr>
    </w:p>
    <w:p w:rsidRPr="00810B3D" w:rsidR="00A62847" w:rsidP="0070413A" w:rsidRDefault="00A62847" w14:paraId="17245CFA" w14:textId="6B3264ED">
      <w:pPr>
        <w:pStyle w:val="Geenafstand"/>
        <w:spacing w:line="240" w:lineRule="auto"/>
        <w:rPr>
          <w:rFonts w:ascii="Times New Roman" w:hAnsi="Times New Roman" w:cs="Times New Roman"/>
          <w:color w:val="000000" w:themeColor="text1"/>
        </w:rPr>
      </w:pPr>
      <w:r w:rsidRPr="00810B3D">
        <w:rPr>
          <w:rFonts w:ascii="Times New Roman" w:hAnsi="Times New Roman" w:cs="Times New Roman"/>
          <w:color w:val="000000" w:themeColor="text1"/>
        </w:rPr>
        <w:t xml:space="preserve">De </w:t>
      </w:r>
      <w:r w:rsidR="00B816D1">
        <w:rPr>
          <w:rFonts w:ascii="Times New Roman" w:hAnsi="Times New Roman" w:cs="Times New Roman"/>
          <w:color w:val="000000" w:themeColor="text1"/>
        </w:rPr>
        <w:t>Expert</w:t>
      </w:r>
      <w:r w:rsidRPr="00810B3D">
        <w:rPr>
          <w:rFonts w:ascii="Times New Roman" w:hAnsi="Times New Roman" w:cs="Times New Roman"/>
          <w:color w:val="000000" w:themeColor="text1"/>
        </w:rPr>
        <w:t>groep ramingen, die na vragen van Nieuw Sociaal Contract, is ingesteld</w:t>
      </w:r>
      <w:r w:rsidR="00810E8B">
        <w:rPr>
          <w:rFonts w:ascii="Times New Roman" w:hAnsi="Times New Roman" w:cs="Times New Roman"/>
          <w:color w:val="000000" w:themeColor="text1"/>
        </w:rPr>
        <w:t xml:space="preserve"> naar aanleiding van de </w:t>
      </w:r>
      <w:r w:rsidR="006E7CB9">
        <w:rPr>
          <w:rFonts w:ascii="Times New Roman" w:hAnsi="Times New Roman" w:cs="Times New Roman"/>
          <w:color w:val="000000" w:themeColor="text1"/>
        </w:rPr>
        <w:t>Algemene Financiële Beschouwingen</w:t>
      </w:r>
      <w:r w:rsidRPr="00810B3D">
        <w:rPr>
          <w:rFonts w:ascii="Times New Roman" w:hAnsi="Times New Roman" w:cs="Times New Roman"/>
          <w:color w:val="000000" w:themeColor="text1"/>
        </w:rPr>
        <w:t>, wordt gevraagd om openbaar te rapporteren vóór 15 maart en de Kamer organiseert een uitgebreide hoorzitting met de adviesgroep, de Algemene Rekenkamer en internationaal experts in de tweede helft van maart 2025.</w:t>
      </w:r>
    </w:p>
    <w:p w:rsidR="00A62847" w:rsidP="0070413A" w:rsidRDefault="00A62847" w14:paraId="6E88F4CD" w14:textId="77777777">
      <w:pPr>
        <w:pStyle w:val="Geenafstand"/>
        <w:spacing w:line="240" w:lineRule="auto"/>
        <w:rPr>
          <w:rFonts w:ascii="Times New Roman" w:hAnsi="Times New Roman" w:cs="Times New Roman"/>
          <w:color w:val="000000" w:themeColor="text1"/>
        </w:rPr>
      </w:pPr>
    </w:p>
    <w:p w:rsidR="00A26C63" w:rsidP="0070413A" w:rsidRDefault="00A26C63" w14:paraId="293E9EB2" w14:textId="77777777">
      <w:pPr>
        <w:pStyle w:val="Geenafstand"/>
        <w:spacing w:line="240" w:lineRule="auto"/>
        <w:rPr>
          <w:rFonts w:ascii="Times New Roman" w:hAnsi="Times New Roman" w:cs="Times New Roman"/>
          <w:color w:val="000000" w:themeColor="text1"/>
        </w:rPr>
      </w:pPr>
      <w:r>
        <w:rPr>
          <w:rFonts w:ascii="Times New Roman" w:hAnsi="Times New Roman" w:cs="Times New Roman"/>
          <w:color w:val="000000" w:themeColor="text1"/>
        </w:rPr>
        <w:t>Beslispunt 2</w:t>
      </w:r>
    </w:p>
    <w:p w:rsidR="00810B3D" w:rsidP="0070413A" w:rsidRDefault="00810B3D" w14:paraId="075B7163" w14:textId="7FB3A144">
      <w:pPr>
        <w:pStyle w:val="Geenafstand"/>
        <w:spacing w:line="240" w:lineRule="auto"/>
        <w:rPr>
          <w:rFonts w:ascii="Times New Roman" w:hAnsi="Times New Roman" w:cs="Times New Roman"/>
          <w:color w:val="000000" w:themeColor="text1"/>
        </w:rPr>
      </w:pPr>
      <w:r w:rsidRPr="00810B3D">
        <w:rPr>
          <w:rFonts w:ascii="Times New Roman" w:hAnsi="Times New Roman" w:cs="Times New Roman"/>
          <w:color w:val="000000" w:themeColor="text1"/>
        </w:rPr>
        <w:t>De Algemene Rekenkamer wordt vriendelijk verzocht de aangenomen motie-Van Oostenbruggen c</w:t>
      </w:r>
      <w:r w:rsidR="00816F66">
        <w:rPr>
          <w:rFonts w:ascii="Times New Roman" w:hAnsi="Times New Roman" w:cs="Times New Roman"/>
          <w:color w:val="000000" w:themeColor="text1"/>
        </w:rPr>
        <w:t>.</w:t>
      </w:r>
      <w:r w:rsidRPr="00810B3D">
        <w:rPr>
          <w:rFonts w:ascii="Times New Roman" w:hAnsi="Times New Roman" w:cs="Times New Roman"/>
          <w:color w:val="000000" w:themeColor="text1"/>
        </w:rPr>
        <w:t>s</w:t>
      </w:r>
      <w:r w:rsidR="00816F66">
        <w:rPr>
          <w:rFonts w:ascii="Times New Roman" w:hAnsi="Times New Roman" w:cs="Times New Roman"/>
          <w:color w:val="000000" w:themeColor="text1"/>
        </w:rPr>
        <w:t>.</w:t>
      </w:r>
      <w:r w:rsidRPr="00810B3D">
        <w:rPr>
          <w:rFonts w:ascii="Times New Roman" w:hAnsi="Times New Roman" w:cs="Times New Roman"/>
          <w:color w:val="000000" w:themeColor="text1"/>
        </w:rPr>
        <w:t xml:space="preserve"> (Kamerstuk 36.600 IX nr. 13) over een onderzoek door de Algemene Rekenkamer naar de oorzaken van de grote verschillen tussen de ramingen van het begrotingstekort en de uitkomsten voor half maart uit te voeren.</w:t>
      </w:r>
    </w:p>
    <w:p w:rsidR="008A7DD8" w:rsidP="0070413A" w:rsidRDefault="008A7DD8" w14:paraId="6FCD1087" w14:textId="77777777">
      <w:pPr>
        <w:pStyle w:val="Geenafstand"/>
        <w:spacing w:line="240" w:lineRule="auto"/>
        <w:rPr>
          <w:rFonts w:ascii="Times New Roman" w:hAnsi="Times New Roman" w:cs="Times New Roman"/>
          <w:color w:val="000000" w:themeColor="text1"/>
        </w:rPr>
      </w:pPr>
    </w:p>
    <w:p w:rsidR="008A7DD8" w:rsidP="0070413A" w:rsidRDefault="008A7DD8" w14:paraId="0015B493" w14:textId="3DA05975">
      <w:pPr>
        <w:pStyle w:val="Geenafstand"/>
        <w:spacing w:line="240" w:lineRule="auto"/>
        <w:rPr>
          <w:rFonts w:ascii="Times New Roman" w:hAnsi="Times New Roman" w:cs="Times New Roman"/>
          <w:color w:val="000000" w:themeColor="text1"/>
        </w:rPr>
      </w:pPr>
      <w:r>
        <w:rPr>
          <w:rFonts w:ascii="Times New Roman" w:hAnsi="Times New Roman" w:cs="Times New Roman"/>
          <w:color w:val="000000" w:themeColor="text1"/>
        </w:rPr>
        <w:t>Beslispunt 3</w:t>
      </w:r>
    </w:p>
    <w:p w:rsidRPr="00810B3D" w:rsidR="008A7DD8" w:rsidP="0070413A" w:rsidRDefault="008A7DD8" w14:paraId="1A01861A" w14:textId="77777777">
      <w:pPr>
        <w:pStyle w:val="Geenafstand"/>
        <w:spacing w:line="240" w:lineRule="auto"/>
        <w:rPr>
          <w:rFonts w:ascii="Times New Roman" w:hAnsi="Times New Roman" w:cs="Times New Roman"/>
          <w:color w:val="000000" w:themeColor="text1"/>
        </w:rPr>
      </w:pPr>
    </w:p>
    <w:p w:rsidR="00810B3D" w:rsidP="0070413A" w:rsidRDefault="00810B3D" w14:paraId="5A198907" w14:textId="77777777">
      <w:pPr>
        <w:pStyle w:val="Geenafstand"/>
        <w:spacing w:line="240" w:lineRule="auto"/>
        <w:rPr>
          <w:rFonts w:ascii="Times New Roman" w:hAnsi="Times New Roman" w:cs="Times New Roman"/>
          <w:color w:val="000000" w:themeColor="text1"/>
        </w:rPr>
      </w:pPr>
      <w:r w:rsidRPr="00810B3D">
        <w:rPr>
          <w:rFonts w:ascii="Times New Roman" w:hAnsi="Times New Roman" w:cs="Times New Roman"/>
          <w:color w:val="000000" w:themeColor="text1"/>
        </w:rPr>
        <w:lastRenderedPageBreak/>
        <w:t>Er wordt onderzoek gedaan naar een meer doeltreffende bijstelling van de ramingen gedurende het jaar en de begrotingscyclus. Dat kan een aanvullende opdracht zijn aan de adviesgroep.</w:t>
      </w:r>
    </w:p>
    <w:p w:rsidR="008A7DD8" w:rsidP="0070413A" w:rsidRDefault="008A7DD8" w14:paraId="4C3A0177" w14:textId="77777777">
      <w:pPr>
        <w:pStyle w:val="Geenafstand"/>
        <w:spacing w:line="240" w:lineRule="auto"/>
        <w:rPr>
          <w:rFonts w:ascii="Times New Roman" w:hAnsi="Times New Roman" w:cs="Times New Roman"/>
          <w:color w:val="000000" w:themeColor="text1"/>
        </w:rPr>
      </w:pPr>
    </w:p>
    <w:p w:rsidR="008A7DD8" w:rsidP="0070413A" w:rsidRDefault="008A7DD8" w14:paraId="6EF27AA6" w14:textId="2AA851F2">
      <w:pPr>
        <w:pStyle w:val="Geenafstand"/>
        <w:spacing w:line="240" w:lineRule="auto"/>
        <w:rPr>
          <w:rFonts w:ascii="Times New Roman" w:hAnsi="Times New Roman" w:cs="Times New Roman"/>
          <w:color w:val="000000" w:themeColor="text1"/>
        </w:rPr>
      </w:pPr>
      <w:r>
        <w:rPr>
          <w:rFonts w:ascii="Times New Roman" w:hAnsi="Times New Roman" w:cs="Times New Roman"/>
          <w:color w:val="000000" w:themeColor="text1"/>
        </w:rPr>
        <w:t>Beslispunt 4</w:t>
      </w:r>
    </w:p>
    <w:p w:rsidRPr="00810B3D" w:rsidR="008A7DD8" w:rsidP="0070413A" w:rsidRDefault="008A7DD8" w14:paraId="2FEC2013" w14:textId="77777777">
      <w:pPr>
        <w:pStyle w:val="Geenafstand"/>
        <w:spacing w:line="240" w:lineRule="auto"/>
        <w:rPr>
          <w:rFonts w:ascii="Times New Roman" w:hAnsi="Times New Roman" w:cs="Times New Roman"/>
          <w:color w:val="000000" w:themeColor="text1"/>
        </w:rPr>
      </w:pPr>
    </w:p>
    <w:p w:rsidR="00810B3D" w:rsidP="0070413A" w:rsidRDefault="00810B3D" w14:paraId="20AAB5E0" w14:textId="0756D35C">
      <w:pPr>
        <w:pStyle w:val="Geenafstand"/>
        <w:spacing w:line="240" w:lineRule="auto"/>
        <w:rPr>
          <w:rFonts w:ascii="Times New Roman" w:hAnsi="Times New Roman" w:cs="Times New Roman"/>
          <w:color w:val="000000" w:themeColor="text1"/>
        </w:rPr>
      </w:pPr>
      <w:r w:rsidRPr="00810B3D">
        <w:rPr>
          <w:rFonts w:ascii="Times New Roman" w:hAnsi="Times New Roman" w:cs="Times New Roman"/>
          <w:color w:val="000000" w:themeColor="text1"/>
        </w:rPr>
        <w:t>De regering (</w:t>
      </w:r>
      <w:r w:rsidR="001D72D9">
        <w:rPr>
          <w:rFonts w:ascii="Times New Roman" w:hAnsi="Times New Roman" w:cs="Times New Roman"/>
          <w:color w:val="000000" w:themeColor="text1"/>
        </w:rPr>
        <w:t xml:space="preserve">of de </w:t>
      </w:r>
      <w:r w:rsidRPr="00810B3D">
        <w:rPr>
          <w:rFonts w:ascii="Times New Roman" w:hAnsi="Times New Roman" w:cs="Times New Roman"/>
          <w:color w:val="000000" w:themeColor="text1"/>
        </w:rPr>
        <w:t>Belastingdienst) rapporteert openlijk ten minste elke drie maanden over de verwachte en gerealiseerde belasting- en premieopbrengsten in het lopende begrotingsjaar. Indien mogelijk is er gewoon een week of maandrapportage op de site.</w:t>
      </w:r>
      <w:r w:rsidRPr="00810B3D">
        <w:rPr>
          <w:rStyle w:val="Voetnootmarkering"/>
          <w:rFonts w:ascii="Times New Roman" w:hAnsi="Times New Roman" w:cs="Times New Roman"/>
          <w:b/>
          <w:bCs/>
          <w:color w:val="000000" w:themeColor="text1"/>
        </w:rPr>
        <w:footnoteReference w:id="11"/>
      </w:r>
    </w:p>
    <w:p w:rsidR="00BA447E" w:rsidP="0070413A" w:rsidRDefault="00BA447E" w14:paraId="6B812D0C" w14:textId="77777777">
      <w:pPr>
        <w:pStyle w:val="Geenafstand"/>
        <w:spacing w:line="240" w:lineRule="auto"/>
        <w:rPr>
          <w:rFonts w:ascii="Times New Roman" w:hAnsi="Times New Roman" w:cs="Times New Roman"/>
          <w:color w:val="000000" w:themeColor="text1"/>
        </w:rPr>
      </w:pPr>
    </w:p>
    <w:p w:rsidR="00BA447E" w:rsidP="0070413A" w:rsidRDefault="00BA447E" w14:paraId="77006A11" w14:textId="5DAB8662">
      <w:pPr>
        <w:pStyle w:val="Geenafstand"/>
        <w:spacing w:line="240" w:lineRule="auto"/>
        <w:rPr>
          <w:rFonts w:ascii="Times New Roman" w:hAnsi="Times New Roman" w:cs="Times New Roman"/>
          <w:color w:val="000000" w:themeColor="text1"/>
        </w:rPr>
      </w:pPr>
      <w:r>
        <w:rPr>
          <w:rFonts w:ascii="Times New Roman" w:hAnsi="Times New Roman" w:cs="Times New Roman"/>
          <w:color w:val="000000" w:themeColor="text1"/>
        </w:rPr>
        <w:t>Beslispunt 5</w:t>
      </w:r>
    </w:p>
    <w:p w:rsidR="00BA447E" w:rsidP="0070413A" w:rsidRDefault="00BA447E" w14:paraId="018D3F47" w14:textId="77777777">
      <w:pPr>
        <w:pStyle w:val="Geenafstand"/>
        <w:spacing w:line="240" w:lineRule="auto"/>
        <w:rPr>
          <w:rFonts w:ascii="Times New Roman" w:hAnsi="Times New Roman" w:cs="Times New Roman"/>
          <w:color w:val="000000" w:themeColor="text1"/>
        </w:rPr>
      </w:pPr>
    </w:p>
    <w:p w:rsidR="00810B3D" w:rsidP="0070413A" w:rsidRDefault="00810B3D" w14:paraId="50100E2B" w14:textId="55AA07F7">
      <w:pPr>
        <w:pStyle w:val="Geenafstand"/>
        <w:spacing w:line="240" w:lineRule="auto"/>
        <w:rPr>
          <w:rFonts w:ascii="Times New Roman" w:hAnsi="Times New Roman" w:cs="Times New Roman"/>
          <w:color w:val="000000" w:themeColor="text1"/>
        </w:rPr>
      </w:pPr>
      <w:r w:rsidRPr="00810B3D">
        <w:rPr>
          <w:rFonts w:ascii="Times New Roman" w:hAnsi="Times New Roman" w:cs="Times New Roman"/>
          <w:color w:val="000000" w:themeColor="text1"/>
        </w:rPr>
        <w:t xml:space="preserve">De inkomstenraming dient gelijk te zijn aan de groeiraming van het nominale BBP. Indien de regering bij de raming van de inkomsten wil afwijken van de nominale groeiraming van het CPB, treedt zij hierover vooraf met de Tweede Kamer in debat. </w:t>
      </w:r>
    </w:p>
    <w:p w:rsidR="00BA447E" w:rsidP="0070413A" w:rsidRDefault="00BA447E" w14:paraId="31A46082" w14:textId="77777777">
      <w:pPr>
        <w:pStyle w:val="Geenafstand"/>
        <w:spacing w:line="240" w:lineRule="auto"/>
        <w:rPr>
          <w:rFonts w:ascii="Times New Roman" w:hAnsi="Times New Roman" w:cs="Times New Roman"/>
          <w:color w:val="000000" w:themeColor="text1"/>
        </w:rPr>
      </w:pPr>
    </w:p>
    <w:p w:rsidRPr="00810B3D" w:rsidR="00BA447E" w:rsidP="0070413A" w:rsidRDefault="00BA447E" w14:paraId="3725014E" w14:textId="53DF5232">
      <w:pPr>
        <w:pStyle w:val="Geenafstand"/>
        <w:spacing w:line="240" w:lineRule="auto"/>
        <w:rPr>
          <w:rFonts w:ascii="Times New Roman" w:hAnsi="Times New Roman" w:cs="Times New Roman"/>
          <w:color w:val="000000" w:themeColor="text1"/>
        </w:rPr>
      </w:pPr>
      <w:r>
        <w:rPr>
          <w:rFonts w:ascii="Times New Roman" w:hAnsi="Times New Roman" w:cs="Times New Roman"/>
          <w:color w:val="000000" w:themeColor="text1"/>
        </w:rPr>
        <w:t>Beslispunt 6</w:t>
      </w:r>
    </w:p>
    <w:p w:rsidR="00BA447E" w:rsidP="0070413A" w:rsidRDefault="00BA447E" w14:paraId="3C75AA6E" w14:textId="77777777">
      <w:pPr>
        <w:pStyle w:val="Geenafstand"/>
        <w:spacing w:line="240" w:lineRule="auto"/>
        <w:rPr>
          <w:rFonts w:ascii="Times New Roman" w:hAnsi="Times New Roman" w:cs="Times New Roman"/>
          <w:color w:val="000000" w:themeColor="text1"/>
        </w:rPr>
      </w:pPr>
    </w:p>
    <w:p w:rsidR="00810B3D" w:rsidP="0070413A" w:rsidRDefault="00810B3D" w14:paraId="12FC5F84" w14:textId="28F71C42">
      <w:pPr>
        <w:pStyle w:val="Geenafstand"/>
        <w:spacing w:line="240" w:lineRule="auto"/>
        <w:rPr>
          <w:rFonts w:ascii="Times New Roman" w:hAnsi="Times New Roman" w:cs="Times New Roman"/>
          <w:color w:val="000000" w:themeColor="text1"/>
        </w:rPr>
      </w:pPr>
      <w:r w:rsidRPr="00810B3D">
        <w:rPr>
          <w:rFonts w:ascii="Times New Roman" w:hAnsi="Times New Roman" w:cs="Times New Roman"/>
          <w:color w:val="000000" w:themeColor="text1"/>
        </w:rPr>
        <w:t xml:space="preserve">Een groep onafhankelijke experts evalueert de midden-en lange termijnramingen van zowel het ministerie van Financiën als het CPB, waarop bijvoorbeeld regeerakkoorden </w:t>
      </w:r>
      <w:r w:rsidRPr="00810B3D" w:rsidR="001D72D9">
        <w:rPr>
          <w:rFonts w:ascii="Times New Roman" w:hAnsi="Times New Roman" w:cs="Times New Roman"/>
          <w:color w:val="000000" w:themeColor="text1"/>
        </w:rPr>
        <w:t xml:space="preserve">en schuldhoudbaarheidsanalyses </w:t>
      </w:r>
      <w:r w:rsidRPr="00810B3D">
        <w:rPr>
          <w:rFonts w:ascii="Times New Roman" w:hAnsi="Times New Roman" w:cs="Times New Roman"/>
          <w:color w:val="000000" w:themeColor="text1"/>
        </w:rPr>
        <w:t>gebaseerd zijn. Deze groep analyseert ook de schuldhoudbaarheidsanalyses van de afgelopen jaren en de redenen waarom de voorspelde explosie van de staatsschuld zich niet voordeed.</w:t>
      </w:r>
    </w:p>
    <w:p w:rsidR="00BA447E" w:rsidP="0070413A" w:rsidRDefault="00BA447E" w14:paraId="5D655D6A" w14:textId="77777777">
      <w:pPr>
        <w:pStyle w:val="Geenafstand"/>
        <w:spacing w:line="240" w:lineRule="auto"/>
        <w:rPr>
          <w:rFonts w:ascii="Times New Roman" w:hAnsi="Times New Roman" w:cs="Times New Roman"/>
          <w:color w:val="000000" w:themeColor="text1"/>
        </w:rPr>
      </w:pPr>
    </w:p>
    <w:p w:rsidR="00BA447E" w:rsidP="0070413A" w:rsidRDefault="00BA447E" w14:paraId="483B1BC7" w14:textId="5110FA90">
      <w:pPr>
        <w:pStyle w:val="Geenafstand"/>
        <w:spacing w:line="240" w:lineRule="auto"/>
        <w:rPr>
          <w:rFonts w:ascii="Times New Roman" w:hAnsi="Times New Roman" w:cs="Times New Roman"/>
          <w:color w:val="000000" w:themeColor="text1"/>
        </w:rPr>
      </w:pPr>
      <w:r>
        <w:rPr>
          <w:rFonts w:ascii="Times New Roman" w:hAnsi="Times New Roman" w:cs="Times New Roman"/>
          <w:color w:val="000000" w:themeColor="text1"/>
        </w:rPr>
        <w:t>Beslispunt 7</w:t>
      </w:r>
    </w:p>
    <w:p w:rsidRPr="00810B3D" w:rsidR="00BA447E" w:rsidP="0070413A" w:rsidRDefault="00BA447E" w14:paraId="4BC82C2A" w14:textId="77777777">
      <w:pPr>
        <w:pStyle w:val="Geenafstand"/>
        <w:spacing w:line="240" w:lineRule="auto"/>
        <w:rPr>
          <w:rFonts w:ascii="Times New Roman" w:hAnsi="Times New Roman" w:cs="Times New Roman"/>
          <w:color w:val="000000" w:themeColor="text1"/>
        </w:rPr>
      </w:pPr>
    </w:p>
    <w:p w:rsidR="00810B3D" w:rsidP="0070413A" w:rsidRDefault="00810B3D" w14:paraId="76E900E6" w14:textId="77777777">
      <w:pPr>
        <w:pStyle w:val="Geenafstand"/>
        <w:spacing w:line="240" w:lineRule="auto"/>
        <w:rPr>
          <w:rFonts w:ascii="Times New Roman" w:hAnsi="Times New Roman" w:cs="Times New Roman"/>
          <w:color w:val="000000" w:themeColor="text1"/>
        </w:rPr>
      </w:pPr>
      <w:r w:rsidRPr="00810B3D">
        <w:rPr>
          <w:rFonts w:ascii="Times New Roman" w:hAnsi="Times New Roman" w:cs="Times New Roman"/>
          <w:color w:val="000000" w:themeColor="text1"/>
        </w:rPr>
        <w:t>Er wordt jaarlijks achteraf een trefzekerheidsanalyse gemaakt van de ramingen van het CPB, door een onafhankelijke partij zoals de Algemene Rekenkamer. Dit draait standaard mee in de begrotingscyclus.</w:t>
      </w:r>
    </w:p>
    <w:p w:rsidR="00BA447E" w:rsidP="0070413A" w:rsidRDefault="00BA447E" w14:paraId="1C6B4944" w14:textId="77777777">
      <w:pPr>
        <w:pStyle w:val="Geenafstand"/>
        <w:spacing w:line="240" w:lineRule="auto"/>
        <w:rPr>
          <w:rFonts w:ascii="Times New Roman" w:hAnsi="Times New Roman" w:cs="Times New Roman"/>
          <w:color w:val="000000" w:themeColor="text1"/>
        </w:rPr>
      </w:pPr>
    </w:p>
    <w:p w:rsidR="00BA447E" w:rsidP="0070413A" w:rsidRDefault="00BA447E" w14:paraId="5543D109" w14:textId="72FC5B48">
      <w:pPr>
        <w:pStyle w:val="Geenafstand"/>
        <w:spacing w:line="240" w:lineRule="auto"/>
        <w:rPr>
          <w:rFonts w:ascii="Times New Roman" w:hAnsi="Times New Roman" w:cs="Times New Roman"/>
          <w:color w:val="000000" w:themeColor="text1"/>
        </w:rPr>
      </w:pPr>
      <w:r>
        <w:rPr>
          <w:rFonts w:ascii="Times New Roman" w:hAnsi="Times New Roman" w:cs="Times New Roman"/>
          <w:color w:val="000000" w:themeColor="text1"/>
        </w:rPr>
        <w:t>Beslispunt 8</w:t>
      </w:r>
    </w:p>
    <w:p w:rsidRPr="00810B3D" w:rsidR="00BA447E" w:rsidP="0070413A" w:rsidRDefault="00BA447E" w14:paraId="74C30A8C" w14:textId="77777777">
      <w:pPr>
        <w:pStyle w:val="Geenafstand"/>
        <w:spacing w:line="240" w:lineRule="auto"/>
        <w:rPr>
          <w:rFonts w:ascii="Times New Roman" w:hAnsi="Times New Roman" w:cs="Times New Roman"/>
          <w:color w:val="000000" w:themeColor="text1"/>
        </w:rPr>
      </w:pPr>
    </w:p>
    <w:p w:rsidR="00810B3D" w:rsidP="0070413A" w:rsidRDefault="00810B3D" w14:paraId="63D46F5D" w14:textId="4536AA69">
      <w:pPr>
        <w:pStyle w:val="Geenafstand"/>
        <w:spacing w:line="240" w:lineRule="auto"/>
        <w:rPr>
          <w:rFonts w:ascii="Times New Roman" w:hAnsi="Times New Roman" w:cs="Times New Roman"/>
          <w:color w:val="000000" w:themeColor="text1"/>
        </w:rPr>
      </w:pPr>
      <w:r w:rsidRPr="00810B3D">
        <w:rPr>
          <w:rFonts w:ascii="Times New Roman" w:hAnsi="Times New Roman" w:cs="Times New Roman"/>
          <w:color w:val="000000" w:themeColor="text1"/>
        </w:rPr>
        <w:t xml:space="preserve">Er vindt een betere rapportage van budgetflexibiliteit plaats. De regering rapporteert budgetflexibiliteit </w:t>
      </w:r>
      <w:r w:rsidR="001D72D9">
        <w:rPr>
          <w:rFonts w:ascii="Times New Roman" w:hAnsi="Times New Roman" w:cs="Times New Roman"/>
          <w:color w:val="000000" w:themeColor="text1"/>
        </w:rPr>
        <w:t xml:space="preserve">ook </w:t>
      </w:r>
      <w:r w:rsidRPr="00810B3D">
        <w:rPr>
          <w:rFonts w:ascii="Times New Roman" w:hAnsi="Times New Roman" w:cs="Times New Roman"/>
          <w:color w:val="000000" w:themeColor="text1"/>
        </w:rPr>
        <w:t xml:space="preserve">in de </w:t>
      </w:r>
      <w:r w:rsidR="001D72D9">
        <w:rPr>
          <w:rFonts w:ascii="Times New Roman" w:hAnsi="Times New Roman" w:cs="Times New Roman"/>
          <w:color w:val="000000" w:themeColor="text1"/>
        </w:rPr>
        <w:t>V</w:t>
      </w:r>
      <w:r w:rsidRPr="00810B3D">
        <w:rPr>
          <w:rFonts w:ascii="Times New Roman" w:hAnsi="Times New Roman" w:cs="Times New Roman"/>
          <w:color w:val="000000" w:themeColor="text1"/>
        </w:rPr>
        <w:t xml:space="preserve">oorjaarsnota en </w:t>
      </w:r>
      <w:r w:rsidR="001D72D9">
        <w:rPr>
          <w:rFonts w:ascii="Times New Roman" w:hAnsi="Times New Roman" w:cs="Times New Roman"/>
          <w:color w:val="000000" w:themeColor="text1"/>
        </w:rPr>
        <w:t>N</w:t>
      </w:r>
      <w:r w:rsidRPr="00810B3D">
        <w:rPr>
          <w:rFonts w:ascii="Times New Roman" w:hAnsi="Times New Roman" w:cs="Times New Roman"/>
          <w:color w:val="000000" w:themeColor="text1"/>
        </w:rPr>
        <w:t xml:space="preserve">ajaarsnota. Verder rapporteert de regering wanneer en waarom juridisch verplichte uitgaven niet tot uitkering zijn gekomen. </w:t>
      </w:r>
      <w:r w:rsidRPr="00810B3D">
        <w:rPr>
          <w:rFonts w:ascii="Times New Roman" w:hAnsi="Times New Roman" w:cs="Times New Roman"/>
          <w:color w:val="000000" w:themeColor="text1"/>
        </w:rPr>
        <w:br/>
        <w:t xml:space="preserve">Op die manier kan het parlement zijn grondwettelijke budgetrecht (art. 105 GW) waarmaken. </w:t>
      </w:r>
    </w:p>
    <w:p w:rsidR="00BA447E" w:rsidP="0070413A" w:rsidRDefault="00BA447E" w14:paraId="424E9A81" w14:textId="77777777">
      <w:pPr>
        <w:pStyle w:val="Geenafstand"/>
        <w:spacing w:line="240" w:lineRule="auto"/>
        <w:rPr>
          <w:rFonts w:ascii="Times New Roman" w:hAnsi="Times New Roman" w:cs="Times New Roman"/>
          <w:color w:val="000000" w:themeColor="text1"/>
        </w:rPr>
      </w:pPr>
    </w:p>
    <w:p w:rsidR="00BA447E" w:rsidP="0070413A" w:rsidRDefault="00BA447E" w14:paraId="3A6027B3" w14:textId="7004B93D">
      <w:pPr>
        <w:pStyle w:val="Geenafstand"/>
        <w:spacing w:line="240" w:lineRule="auto"/>
        <w:rPr>
          <w:rFonts w:ascii="Times New Roman" w:hAnsi="Times New Roman" w:cs="Times New Roman"/>
          <w:color w:val="000000" w:themeColor="text1"/>
        </w:rPr>
      </w:pPr>
      <w:r>
        <w:rPr>
          <w:rFonts w:ascii="Times New Roman" w:hAnsi="Times New Roman" w:cs="Times New Roman"/>
          <w:color w:val="000000" w:themeColor="text1"/>
        </w:rPr>
        <w:t>Beslispunt 9</w:t>
      </w:r>
    </w:p>
    <w:p w:rsidRPr="00810B3D" w:rsidR="00BA447E" w:rsidP="0070413A" w:rsidRDefault="00BA447E" w14:paraId="4888A463" w14:textId="77777777">
      <w:pPr>
        <w:pStyle w:val="Geenafstand"/>
        <w:spacing w:line="240" w:lineRule="auto"/>
        <w:rPr>
          <w:rFonts w:ascii="Times New Roman" w:hAnsi="Times New Roman" w:cs="Times New Roman"/>
          <w:color w:val="000000" w:themeColor="text1"/>
        </w:rPr>
      </w:pPr>
    </w:p>
    <w:p w:rsidRPr="00810B3D" w:rsidR="00810B3D" w:rsidP="0070413A" w:rsidRDefault="00810B3D" w14:paraId="67C12DB5" w14:textId="5D59D9F3">
      <w:pPr>
        <w:pStyle w:val="Geenafstand"/>
        <w:spacing w:line="240" w:lineRule="auto"/>
        <w:rPr>
          <w:rFonts w:ascii="Times New Roman" w:hAnsi="Times New Roman" w:cs="Times New Roman"/>
          <w:color w:val="000000" w:themeColor="text1"/>
        </w:rPr>
      </w:pPr>
      <w:r w:rsidRPr="00810B3D">
        <w:rPr>
          <w:rFonts w:ascii="Times New Roman" w:hAnsi="Times New Roman" w:cs="Times New Roman"/>
          <w:color w:val="000000" w:themeColor="text1"/>
        </w:rPr>
        <w:t xml:space="preserve">De Kamer richt het Bureau Begroting en Verantwoording op conform het onderzoek van de aangenomen motie-van Hijum (36560, nr. 22) en verankert dit in het </w:t>
      </w:r>
      <w:r w:rsidR="001D72D9">
        <w:rPr>
          <w:rFonts w:ascii="Times New Roman" w:hAnsi="Times New Roman" w:cs="Times New Roman"/>
          <w:color w:val="000000" w:themeColor="text1"/>
        </w:rPr>
        <w:t>R</w:t>
      </w:r>
      <w:r w:rsidRPr="00810B3D">
        <w:rPr>
          <w:rFonts w:ascii="Times New Roman" w:hAnsi="Times New Roman" w:cs="Times New Roman"/>
          <w:color w:val="000000" w:themeColor="text1"/>
        </w:rPr>
        <w:t xml:space="preserve">eglement van </w:t>
      </w:r>
      <w:r w:rsidR="007D4769">
        <w:rPr>
          <w:rFonts w:ascii="Times New Roman" w:hAnsi="Times New Roman" w:cs="Times New Roman"/>
          <w:color w:val="000000" w:themeColor="text1"/>
        </w:rPr>
        <w:t>O</w:t>
      </w:r>
      <w:r w:rsidRPr="00810B3D">
        <w:rPr>
          <w:rFonts w:ascii="Times New Roman" w:hAnsi="Times New Roman" w:cs="Times New Roman"/>
          <w:color w:val="000000" w:themeColor="text1"/>
        </w:rPr>
        <w:t>rde</w:t>
      </w:r>
      <w:r w:rsidR="007D4769">
        <w:rPr>
          <w:rFonts w:ascii="Times New Roman" w:hAnsi="Times New Roman" w:cs="Times New Roman"/>
          <w:color w:val="000000" w:themeColor="text1"/>
        </w:rPr>
        <w:t xml:space="preserve"> van de Tweede Kamer van de Staten-Generaal.</w:t>
      </w:r>
    </w:p>
    <w:p w:rsidRPr="00810B3D" w:rsidR="00810B3D" w:rsidP="0070413A" w:rsidRDefault="00810B3D" w14:paraId="79035A4F" w14:textId="77777777">
      <w:pPr>
        <w:pStyle w:val="Geenafstand"/>
        <w:spacing w:line="240" w:lineRule="auto"/>
        <w:rPr>
          <w:rFonts w:ascii="Times New Roman" w:hAnsi="Times New Roman" w:cs="Times New Roman"/>
          <w:b/>
          <w:bCs/>
          <w:color w:val="000000" w:themeColor="text1"/>
        </w:rPr>
      </w:pPr>
    </w:p>
    <w:p w:rsidRPr="00810B3D" w:rsidR="00810B3D" w:rsidP="0070413A" w:rsidRDefault="00C17DA9" w14:paraId="10AC7593" w14:textId="017EB43C">
      <w:pPr>
        <w:pStyle w:val="Geenafstand"/>
        <w:spacing w:line="240" w:lineRule="auto"/>
        <w:rPr>
          <w:rFonts w:ascii="Times New Roman" w:hAnsi="Times New Roman" w:cs="Times New Roman"/>
          <w:b/>
          <w:bCs/>
          <w:color w:val="000000" w:themeColor="text1"/>
        </w:rPr>
      </w:pPr>
      <w:r>
        <w:rPr>
          <w:rFonts w:ascii="Times New Roman" w:hAnsi="Times New Roman" w:cs="Times New Roman"/>
          <w:b/>
          <w:bCs/>
          <w:color w:val="000000" w:themeColor="text1"/>
        </w:rPr>
        <w:t>7</w:t>
      </w:r>
      <w:r w:rsidR="00474253">
        <w:rPr>
          <w:rFonts w:ascii="Times New Roman" w:hAnsi="Times New Roman" w:cs="Times New Roman"/>
          <w:b/>
          <w:bCs/>
          <w:color w:val="000000" w:themeColor="text1"/>
        </w:rPr>
        <w:t xml:space="preserve">. </w:t>
      </w:r>
      <w:r w:rsidRPr="00810B3D" w:rsidR="00810B3D">
        <w:rPr>
          <w:rFonts w:ascii="Times New Roman" w:hAnsi="Times New Roman" w:cs="Times New Roman"/>
          <w:b/>
          <w:bCs/>
          <w:color w:val="000000" w:themeColor="text1"/>
        </w:rPr>
        <w:t>Kosten</w:t>
      </w:r>
    </w:p>
    <w:p w:rsidR="007D4769" w:rsidP="0070413A" w:rsidRDefault="007D4769" w14:paraId="29685CFC" w14:textId="77777777">
      <w:pPr>
        <w:pStyle w:val="Geenafstand"/>
        <w:spacing w:line="240" w:lineRule="auto"/>
        <w:rPr>
          <w:rFonts w:ascii="Times New Roman" w:hAnsi="Times New Roman" w:cs="Times New Roman"/>
          <w:color w:val="000000" w:themeColor="text1"/>
        </w:rPr>
      </w:pPr>
    </w:p>
    <w:p w:rsidRPr="00810B3D" w:rsidR="00810B3D" w:rsidP="0070413A" w:rsidRDefault="00810B3D" w14:paraId="43273908" w14:textId="65EBFD7C">
      <w:pPr>
        <w:pStyle w:val="Geenafstand"/>
        <w:spacing w:line="240" w:lineRule="auto"/>
        <w:rPr>
          <w:rFonts w:ascii="Times New Roman" w:hAnsi="Times New Roman" w:cs="Times New Roman"/>
          <w:color w:val="000000" w:themeColor="text1"/>
        </w:rPr>
      </w:pPr>
      <w:r w:rsidRPr="00810B3D">
        <w:rPr>
          <w:rFonts w:ascii="Times New Roman" w:hAnsi="Times New Roman" w:cs="Times New Roman"/>
          <w:color w:val="000000" w:themeColor="text1"/>
        </w:rPr>
        <w:t xml:space="preserve">De Tweede Kamer heeft het recht om een verzoek aan de Rekenkamer te doen, die het kan honoreren of niet. De kosten van het interne onderzoek zijn gering. De cijfers onder </w:t>
      </w:r>
      <w:r w:rsidR="001541A0">
        <w:rPr>
          <w:rFonts w:ascii="Times New Roman" w:hAnsi="Times New Roman" w:cs="Times New Roman"/>
          <w:color w:val="000000" w:themeColor="text1"/>
        </w:rPr>
        <w:lastRenderedPageBreak/>
        <w:t>beslispunt</w:t>
      </w:r>
      <w:r w:rsidRPr="00810B3D">
        <w:rPr>
          <w:rFonts w:ascii="Times New Roman" w:hAnsi="Times New Roman" w:cs="Times New Roman"/>
          <w:color w:val="000000" w:themeColor="text1"/>
        </w:rPr>
        <w:t xml:space="preserve"> 3 zijn beschikbaar en die onder 4 zijn met een geringe inspanning te geven.</w:t>
      </w:r>
      <w:r w:rsidRPr="00810B3D">
        <w:rPr>
          <w:rFonts w:ascii="Times New Roman" w:hAnsi="Times New Roman" w:cs="Times New Roman"/>
          <w:color w:val="000000" w:themeColor="text1"/>
        </w:rPr>
        <w:br/>
        <w:t xml:space="preserve">Voor </w:t>
      </w:r>
      <w:r w:rsidR="00191F27">
        <w:rPr>
          <w:rFonts w:ascii="Times New Roman" w:hAnsi="Times New Roman" w:cs="Times New Roman"/>
          <w:color w:val="000000" w:themeColor="text1"/>
        </w:rPr>
        <w:t>beslispunt</w:t>
      </w:r>
      <w:r w:rsidRPr="00810B3D">
        <w:rPr>
          <w:rFonts w:ascii="Times New Roman" w:hAnsi="Times New Roman" w:cs="Times New Roman"/>
          <w:color w:val="000000" w:themeColor="text1"/>
        </w:rPr>
        <w:t xml:space="preserve"> 9 worden de middelen van goed bestuur in het hoofdlijnenakkoord ingezet.  </w:t>
      </w:r>
    </w:p>
    <w:p w:rsidRPr="00810B3D" w:rsidR="00810B3D" w:rsidP="0070413A" w:rsidRDefault="00810B3D" w14:paraId="7D83485A" w14:textId="52FA6AAE">
      <w:pPr>
        <w:rPr>
          <w:color w:val="000000" w:themeColor="text1"/>
          <w:szCs w:val="24"/>
        </w:rPr>
      </w:pPr>
    </w:p>
    <w:p w:rsidRPr="00810B3D" w:rsidR="00810B3D" w:rsidP="0070413A" w:rsidRDefault="00810B3D" w14:paraId="5B3D6308" w14:textId="56B7E39D">
      <w:pPr>
        <w:rPr>
          <w:color w:val="000000" w:themeColor="text1"/>
          <w:szCs w:val="24"/>
        </w:rPr>
      </w:pPr>
      <w:r w:rsidRPr="00810B3D">
        <w:rPr>
          <w:color w:val="000000" w:themeColor="text1"/>
          <w:szCs w:val="24"/>
        </w:rPr>
        <w:t>Omtzigt</w:t>
      </w:r>
    </w:p>
    <w:p w:rsidRPr="00810B3D" w:rsidR="00810B3D" w:rsidP="0070413A" w:rsidRDefault="00810B3D" w14:paraId="1757D31D" w14:textId="1F948D2E">
      <w:pPr>
        <w:rPr>
          <w:color w:val="000000" w:themeColor="text1"/>
          <w:szCs w:val="24"/>
        </w:rPr>
      </w:pPr>
      <w:r w:rsidRPr="00810B3D">
        <w:rPr>
          <w:color w:val="000000" w:themeColor="text1"/>
          <w:szCs w:val="24"/>
        </w:rPr>
        <w:t>Idsinga</w:t>
      </w:r>
    </w:p>
    <w:p w:rsidRPr="00810B3D" w:rsidR="00810B3D" w:rsidP="0070413A" w:rsidRDefault="00810B3D" w14:paraId="307B9923" w14:textId="77777777">
      <w:pPr>
        <w:rPr>
          <w:color w:val="000000" w:themeColor="text1"/>
          <w:szCs w:val="24"/>
        </w:rPr>
      </w:pPr>
    </w:p>
    <w:p w:rsidRPr="00810B3D" w:rsidR="00454045" w:rsidP="0070413A" w:rsidRDefault="00454045" w14:paraId="7046E8AF" w14:textId="77777777">
      <w:pPr>
        <w:rPr>
          <w:color w:val="000000" w:themeColor="text1"/>
          <w:szCs w:val="24"/>
        </w:rPr>
      </w:pPr>
    </w:p>
    <w:sectPr w:rsidRPr="00810B3D" w:rsidR="00454045" w:rsidSect="00810B3D">
      <w:footerReference w:type="even" r:id="rId11"/>
      <w:footerReference w:type="default" r:id="rId12"/>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3799B" w14:textId="77777777" w:rsidR="002174FA" w:rsidRDefault="002174FA" w:rsidP="00810B3D">
      <w:r>
        <w:separator/>
      </w:r>
    </w:p>
  </w:endnote>
  <w:endnote w:type="continuationSeparator" w:id="0">
    <w:p w14:paraId="7A64CEA0" w14:textId="77777777" w:rsidR="002174FA" w:rsidRDefault="002174FA" w:rsidP="00810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E9189" w14:textId="77777777" w:rsidR="005E0A6E" w:rsidRDefault="007D4769">
    <w:pPr>
      <w:pStyle w:val="Voettekst"/>
      <w:framePr w:wrap="around" w:vAnchor="text" w:hAnchor="margin" w:xAlign="right" w:y="1"/>
      <w:rPr>
        <w:rStyle w:val="Paginanummer"/>
        <w:rFonts w:eastAsiaTheme="majorEastAsia"/>
      </w:rPr>
    </w:pPr>
    <w:r>
      <w:rPr>
        <w:rStyle w:val="Paginanummer"/>
        <w:rFonts w:eastAsiaTheme="majorEastAsia"/>
      </w:rPr>
      <w:fldChar w:fldCharType="begin"/>
    </w:r>
    <w:r>
      <w:rPr>
        <w:rStyle w:val="Paginanummer"/>
        <w:rFonts w:eastAsiaTheme="majorEastAsia"/>
      </w:rPr>
      <w:instrText xml:space="preserve">PAGE  </w:instrText>
    </w:r>
    <w:r>
      <w:rPr>
        <w:rStyle w:val="Paginanummer"/>
        <w:rFonts w:eastAsiaTheme="majorEastAsia"/>
      </w:rPr>
      <w:fldChar w:fldCharType="end"/>
    </w:r>
  </w:p>
  <w:p w14:paraId="1411E2A1" w14:textId="77777777" w:rsidR="005E0A6E" w:rsidRDefault="005E0A6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97DA0" w14:textId="77777777" w:rsidR="005E0A6E" w:rsidRDefault="005E0A6E">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0F707" w14:textId="77777777" w:rsidR="002174FA" w:rsidRDefault="002174FA" w:rsidP="00810B3D">
      <w:r>
        <w:separator/>
      </w:r>
    </w:p>
  </w:footnote>
  <w:footnote w:type="continuationSeparator" w:id="0">
    <w:p w14:paraId="5D76EBB9" w14:textId="77777777" w:rsidR="002174FA" w:rsidRDefault="002174FA" w:rsidP="00810B3D">
      <w:r>
        <w:continuationSeparator/>
      </w:r>
    </w:p>
  </w:footnote>
  <w:footnote w:id="1">
    <w:p w14:paraId="73E5395C" w14:textId="77777777" w:rsidR="00810B3D" w:rsidRPr="00D240BB" w:rsidRDefault="00810B3D" w:rsidP="00810B3D">
      <w:pPr>
        <w:pStyle w:val="Voetnoottekst"/>
        <w:rPr>
          <w:rFonts w:ascii="Times New Roman" w:hAnsi="Times New Roman" w:cs="Times New Roman"/>
        </w:rPr>
      </w:pPr>
      <w:r w:rsidRPr="00D240BB">
        <w:rPr>
          <w:rStyle w:val="Voetnootmarkering"/>
          <w:rFonts w:ascii="Times New Roman" w:hAnsi="Times New Roman" w:cs="Times New Roman"/>
        </w:rPr>
        <w:footnoteRef/>
      </w:r>
      <w:r w:rsidRPr="00D240BB">
        <w:rPr>
          <w:rFonts w:ascii="Times New Roman" w:hAnsi="Times New Roman" w:cs="Times New Roman"/>
        </w:rPr>
        <w:t xml:space="preserve"> </w:t>
      </w:r>
      <w:r w:rsidRPr="00D240BB">
        <w:rPr>
          <w:rFonts w:ascii="Times New Roman" w:hAnsi="Times New Roman" w:cs="Times New Roman"/>
          <w:shd w:val="clear" w:color="auto" w:fill="FFFFFF"/>
        </w:rPr>
        <w:t xml:space="preserve">Van Sonsbeek, Jan-Maarten </w:t>
      </w:r>
      <w:proofErr w:type="spellStart"/>
      <w:r w:rsidRPr="00D240BB">
        <w:rPr>
          <w:rFonts w:ascii="Times New Roman" w:hAnsi="Times New Roman" w:cs="Times New Roman"/>
          <w:shd w:val="clear" w:color="auto" w:fill="FFFFFF"/>
        </w:rPr>
        <w:t>and</w:t>
      </w:r>
      <w:proofErr w:type="spellEnd"/>
      <w:r w:rsidRPr="00D240BB">
        <w:rPr>
          <w:rFonts w:ascii="Times New Roman" w:hAnsi="Times New Roman" w:cs="Times New Roman"/>
          <w:shd w:val="clear" w:color="auto" w:fill="FFFFFF"/>
        </w:rPr>
        <w:t xml:space="preserve"> Bos, Frits </w:t>
      </w:r>
      <w:proofErr w:type="spellStart"/>
      <w:r w:rsidRPr="00D240BB">
        <w:rPr>
          <w:rFonts w:ascii="Times New Roman" w:hAnsi="Times New Roman" w:cs="Times New Roman"/>
          <w:shd w:val="clear" w:color="auto" w:fill="FFFFFF"/>
        </w:rPr>
        <w:t>and</w:t>
      </w:r>
      <w:proofErr w:type="spellEnd"/>
      <w:r w:rsidRPr="00D240BB">
        <w:rPr>
          <w:rFonts w:ascii="Times New Roman" w:hAnsi="Times New Roman" w:cs="Times New Roman"/>
          <w:shd w:val="clear" w:color="auto" w:fill="FFFFFF"/>
        </w:rPr>
        <w:t xml:space="preserve"> Verkade, Eugene, </w:t>
      </w:r>
      <w:r w:rsidRPr="00D240BB">
        <w:rPr>
          <w:rFonts w:ascii="Times New Roman" w:hAnsi="Times New Roman" w:cs="Times New Roman"/>
          <w:i/>
          <w:iCs/>
          <w:shd w:val="clear" w:color="auto" w:fill="FFFFFF"/>
        </w:rPr>
        <w:t>De Nederlandse Economie in Historisch Perspectief</w:t>
      </w:r>
      <w:r w:rsidRPr="00D240BB">
        <w:rPr>
          <w:rFonts w:ascii="Times New Roman" w:hAnsi="Times New Roman" w:cs="Times New Roman"/>
          <w:shd w:val="clear" w:color="auto" w:fill="FFFFFF"/>
        </w:rPr>
        <w:t xml:space="preserve"> (</w:t>
      </w:r>
      <w:proofErr w:type="spellStart"/>
      <w:r w:rsidRPr="00D240BB">
        <w:rPr>
          <w:rFonts w:ascii="Times New Roman" w:hAnsi="Times New Roman" w:cs="Times New Roman"/>
          <w:shd w:val="clear" w:color="auto" w:fill="FFFFFF"/>
        </w:rPr>
        <w:t>July</w:t>
      </w:r>
      <w:proofErr w:type="spellEnd"/>
      <w:r w:rsidRPr="00D240BB">
        <w:rPr>
          <w:rFonts w:ascii="Times New Roman" w:hAnsi="Times New Roman" w:cs="Times New Roman"/>
          <w:shd w:val="clear" w:color="auto" w:fill="FFFFFF"/>
        </w:rPr>
        <w:t xml:space="preserve"> 26, 2023). </w:t>
      </w:r>
      <w:r w:rsidRPr="00D240BB">
        <w:rPr>
          <w:rFonts w:ascii="Times New Roman" w:hAnsi="Times New Roman" w:cs="Times New Roman"/>
        </w:rPr>
        <w:t xml:space="preserve">https://www.cpb.nl/de-nederlandse-economie-in-historisch-perspectief-inkomsten-en-uitgaven-van-de-overheid </w:t>
      </w:r>
    </w:p>
  </w:footnote>
  <w:footnote w:id="2">
    <w:p w14:paraId="3BD68717" w14:textId="6EBCCCCE" w:rsidR="00810B3D" w:rsidRPr="00D240BB" w:rsidRDefault="00810B3D" w:rsidP="00810B3D">
      <w:pPr>
        <w:pStyle w:val="Voetnoottekst"/>
        <w:rPr>
          <w:rFonts w:ascii="Times New Roman" w:hAnsi="Times New Roman" w:cs="Times New Roman"/>
        </w:rPr>
      </w:pPr>
      <w:r w:rsidRPr="00D240BB">
        <w:rPr>
          <w:rStyle w:val="Voetnootmarkering"/>
          <w:rFonts w:ascii="Times New Roman" w:hAnsi="Times New Roman" w:cs="Times New Roman"/>
        </w:rPr>
        <w:footnoteRef/>
      </w:r>
      <w:r w:rsidRPr="00D240BB">
        <w:rPr>
          <w:rFonts w:ascii="Times New Roman" w:hAnsi="Times New Roman" w:cs="Times New Roman"/>
        </w:rPr>
        <w:t xml:space="preserve"> </w:t>
      </w:r>
      <w:r w:rsidR="007D4769">
        <w:rPr>
          <w:rFonts w:ascii="Times New Roman" w:hAnsi="Times New Roman" w:cs="Times New Roman"/>
        </w:rPr>
        <w:t>“</w:t>
      </w:r>
      <w:r w:rsidRPr="00D240BB">
        <w:rPr>
          <w:rFonts w:ascii="Times New Roman" w:hAnsi="Times New Roman" w:cs="Times New Roman"/>
        </w:rPr>
        <w:t>CBS: Schuld overheid eerste halfjaar 2024 verder gedaald</w:t>
      </w:r>
      <w:r w:rsidR="007D4769">
        <w:rPr>
          <w:rFonts w:ascii="Times New Roman" w:hAnsi="Times New Roman" w:cs="Times New Roman"/>
        </w:rPr>
        <w:t>”,</w:t>
      </w:r>
      <w:r w:rsidRPr="00D240BB">
        <w:rPr>
          <w:rFonts w:ascii="Times New Roman" w:hAnsi="Times New Roman" w:cs="Times New Roman"/>
        </w:rPr>
        <w:t xml:space="preserve"> https://www.cbs.nl/nl-nl/nieuws/2024/39/schuld-overheid-eerste-halfjaar-2024-verder-gedaald</w:t>
      </w:r>
    </w:p>
  </w:footnote>
  <w:footnote w:id="3">
    <w:p w14:paraId="3009632F" w14:textId="77777777" w:rsidR="00810B3D" w:rsidRPr="00D240BB" w:rsidRDefault="00810B3D" w:rsidP="00810B3D">
      <w:pPr>
        <w:pStyle w:val="Voetnoottekst"/>
        <w:rPr>
          <w:rFonts w:ascii="Times New Roman" w:hAnsi="Times New Roman" w:cs="Times New Roman"/>
        </w:rPr>
      </w:pPr>
      <w:r w:rsidRPr="00D240BB">
        <w:rPr>
          <w:rStyle w:val="Voetnootmarkering"/>
          <w:rFonts w:ascii="Times New Roman" w:hAnsi="Times New Roman" w:cs="Times New Roman"/>
        </w:rPr>
        <w:footnoteRef/>
      </w:r>
      <w:r w:rsidRPr="00D240BB">
        <w:rPr>
          <w:rFonts w:ascii="Times New Roman" w:hAnsi="Times New Roman" w:cs="Times New Roman"/>
        </w:rPr>
        <w:t xml:space="preserve"> Zie: https://economy-finance.ec.europa.eu/economic-surveillance-eu-economies/netherlands/economic-forecast-netherlands_en</w:t>
      </w:r>
    </w:p>
  </w:footnote>
  <w:footnote w:id="4">
    <w:p w14:paraId="732ED624" w14:textId="5B0B331D" w:rsidR="00810B3D" w:rsidRPr="00D240BB" w:rsidRDefault="00810B3D" w:rsidP="00810B3D">
      <w:pPr>
        <w:pStyle w:val="Voetnoottekst"/>
        <w:rPr>
          <w:rFonts w:ascii="Times New Roman" w:hAnsi="Times New Roman" w:cs="Times New Roman"/>
        </w:rPr>
      </w:pPr>
      <w:r w:rsidRPr="00D240BB">
        <w:rPr>
          <w:rStyle w:val="Voetnootmarkering"/>
          <w:rFonts w:ascii="Times New Roman" w:hAnsi="Times New Roman" w:cs="Times New Roman"/>
        </w:rPr>
        <w:footnoteRef/>
      </w:r>
      <w:r w:rsidRPr="00D240BB">
        <w:rPr>
          <w:rFonts w:ascii="Times New Roman" w:hAnsi="Times New Roman" w:cs="Times New Roman"/>
        </w:rPr>
        <w:t xml:space="preserve"> Kamerstuk 21 501-03, nr. 186 en de bijlage bij dat Kamerstuk</w:t>
      </w:r>
      <w:r w:rsidR="007D4769">
        <w:rPr>
          <w:rFonts w:ascii="Times New Roman" w:hAnsi="Times New Roman" w:cs="Times New Roman"/>
        </w:rPr>
        <w:t>.</w:t>
      </w:r>
    </w:p>
  </w:footnote>
  <w:footnote w:id="5">
    <w:p w14:paraId="66DA1BA3" w14:textId="217041D6" w:rsidR="00810B3D" w:rsidRPr="00D240BB" w:rsidRDefault="00810B3D" w:rsidP="00810B3D">
      <w:pPr>
        <w:pStyle w:val="Voetnoottekst"/>
        <w:rPr>
          <w:rFonts w:ascii="Times New Roman" w:hAnsi="Times New Roman" w:cs="Times New Roman"/>
        </w:rPr>
      </w:pPr>
      <w:r w:rsidRPr="00D240BB">
        <w:rPr>
          <w:rStyle w:val="Voetnootmarkering"/>
          <w:rFonts w:ascii="Times New Roman" w:hAnsi="Times New Roman" w:cs="Times New Roman"/>
        </w:rPr>
        <w:footnoteRef/>
      </w:r>
      <w:r w:rsidRPr="00D240BB">
        <w:rPr>
          <w:rFonts w:ascii="Times New Roman" w:hAnsi="Times New Roman" w:cs="Times New Roman"/>
        </w:rPr>
        <w:t xml:space="preserve"> Kamerstuk 21 501-03, nr. 186 en de beslisnota’s bij dat Kamerstuk</w:t>
      </w:r>
      <w:r w:rsidR="007D4769">
        <w:rPr>
          <w:rFonts w:ascii="Times New Roman" w:hAnsi="Times New Roman" w:cs="Times New Roman"/>
        </w:rPr>
        <w:t>.</w:t>
      </w:r>
    </w:p>
  </w:footnote>
  <w:footnote w:id="6">
    <w:p w14:paraId="58632018" w14:textId="77777777" w:rsidR="00810B3D" w:rsidRPr="00D240BB" w:rsidRDefault="00810B3D" w:rsidP="00810B3D">
      <w:pPr>
        <w:pStyle w:val="Voetnoottekst"/>
        <w:rPr>
          <w:rFonts w:ascii="Times New Roman" w:hAnsi="Times New Roman" w:cs="Times New Roman"/>
        </w:rPr>
      </w:pPr>
      <w:r w:rsidRPr="00D240BB">
        <w:rPr>
          <w:rStyle w:val="Voetnootmarkering"/>
          <w:rFonts w:ascii="Times New Roman" w:hAnsi="Times New Roman" w:cs="Times New Roman"/>
        </w:rPr>
        <w:footnoteRef/>
      </w:r>
      <w:r w:rsidRPr="00D240BB">
        <w:rPr>
          <w:rFonts w:ascii="Times New Roman" w:hAnsi="Times New Roman" w:cs="Times New Roman"/>
        </w:rPr>
        <w:t xml:space="preserve"> Wim Boonstra, “De ramingen van het CPB zijn structureel te pessimistisch”, </w:t>
      </w:r>
      <w:hyperlink r:id="rId1" w:history="1">
        <w:r w:rsidRPr="00D240BB">
          <w:rPr>
            <w:rStyle w:val="Hyperlink"/>
            <w:rFonts w:ascii="Times New Roman" w:hAnsi="Times New Roman" w:cs="Times New Roman"/>
            <w:i/>
            <w:iCs/>
          </w:rPr>
          <w:t xml:space="preserve">Me </w:t>
        </w:r>
        <w:proofErr w:type="spellStart"/>
        <w:r w:rsidRPr="00D240BB">
          <w:rPr>
            <w:rStyle w:val="Hyperlink"/>
            <w:rFonts w:ascii="Times New Roman" w:hAnsi="Times New Roman" w:cs="Times New Roman"/>
            <w:i/>
            <w:iCs/>
          </w:rPr>
          <w:t>Judice</w:t>
        </w:r>
        <w:proofErr w:type="spellEnd"/>
      </w:hyperlink>
      <w:r w:rsidRPr="00D240BB">
        <w:rPr>
          <w:rFonts w:ascii="Times New Roman" w:hAnsi="Times New Roman" w:cs="Times New Roman"/>
        </w:rPr>
        <w:t>, 27 september 2024.</w:t>
      </w:r>
    </w:p>
  </w:footnote>
  <w:footnote w:id="7">
    <w:p w14:paraId="6DD3176D" w14:textId="0281E7D7" w:rsidR="00810B3D" w:rsidRPr="00D240BB" w:rsidRDefault="00810B3D" w:rsidP="00810B3D">
      <w:pPr>
        <w:pStyle w:val="Voetnoottekst"/>
        <w:rPr>
          <w:rFonts w:ascii="Times New Roman" w:hAnsi="Times New Roman" w:cs="Times New Roman"/>
        </w:rPr>
      </w:pPr>
      <w:r w:rsidRPr="00D240BB">
        <w:rPr>
          <w:rStyle w:val="Voetnootmarkering"/>
          <w:rFonts w:ascii="Times New Roman" w:hAnsi="Times New Roman" w:cs="Times New Roman"/>
        </w:rPr>
        <w:footnoteRef/>
      </w:r>
      <w:r w:rsidRPr="00D240BB">
        <w:rPr>
          <w:rFonts w:ascii="Times New Roman" w:hAnsi="Times New Roman" w:cs="Times New Roman"/>
        </w:rPr>
        <w:t xml:space="preserve"> Miljoenennota 2025, </w:t>
      </w:r>
      <w:r w:rsidRPr="00D240BB">
        <w:rPr>
          <w:rFonts w:ascii="Times New Roman" w:hAnsi="Times New Roman" w:cs="Times New Roman"/>
          <w:i/>
          <w:iCs/>
        </w:rPr>
        <w:t>Kamerstukken II,</w:t>
      </w:r>
      <w:r w:rsidRPr="00D240BB">
        <w:rPr>
          <w:rFonts w:ascii="Times New Roman" w:hAnsi="Times New Roman" w:cs="Times New Roman"/>
        </w:rPr>
        <w:t xml:space="preserve"> 36</w:t>
      </w:r>
      <w:r w:rsidR="00707E83">
        <w:rPr>
          <w:rFonts w:ascii="Times New Roman" w:hAnsi="Times New Roman" w:cs="Times New Roman"/>
        </w:rPr>
        <w:t>6</w:t>
      </w:r>
      <w:r w:rsidRPr="00D240BB">
        <w:rPr>
          <w:rFonts w:ascii="Times New Roman" w:hAnsi="Times New Roman" w:cs="Times New Roman"/>
        </w:rPr>
        <w:t>00, nr. 1, pag. 16</w:t>
      </w:r>
      <w:r w:rsidR="007D4769">
        <w:rPr>
          <w:rFonts w:ascii="Times New Roman" w:hAnsi="Times New Roman" w:cs="Times New Roman"/>
        </w:rPr>
        <w:t>.</w:t>
      </w:r>
    </w:p>
  </w:footnote>
  <w:footnote w:id="8">
    <w:p w14:paraId="5636A137" w14:textId="694BB974" w:rsidR="00810B3D" w:rsidRPr="00D240BB" w:rsidRDefault="00810B3D" w:rsidP="00810B3D">
      <w:pPr>
        <w:pStyle w:val="Voetnoottekst"/>
        <w:rPr>
          <w:rFonts w:ascii="Times New Roman" w:hAnsi="Times New Roman" w:cs="Times New Roman"/>
        </w:rPr>
      </w:pPr>
      <w:r w:rsidRPr="00D240BB">
        <w:rPr>
          <w:rStyle w:val="Voetnootmarkering"/>
          <w:rFonts w:ascii="Times New Roman" w:hAnsi="Times New Roman" w:cs="Times New Roman"/>
        </w:rPr>
        <w:footnoteRef/>
      </w:r>
      <w:r w:rsidRPr="00D240BB">
        <w:rPr>
          <w:rFonts w:ascii="Times New Roman" w:hAnsi="Times New Roman" w:cs="Times New Roman"/>
        </w:rPr>
        <w:t xml:space="preserve"> Algemene Rekenkamer (2021), </w:t>
      </w:r>
      <w:r w:rsidRPr="00D240BB">
        <w:rPr>
          <w:rFonts w:ascii="Times New Roman" w:hAnsi="Times New Roman" w:cs="Times New Roman"/>
          <w:i/>
          <w:iCs/>
        </w:rPr>
        <w:t>Ruimte in ramingen</w:t>
      </w:r>
      <w:r w:rsidRPr="00D240BB">
        <w:rPr>
          <w:rFonts w:ascii="Times New Roman" w:hAnsi="Times New Roman" w:cs="Times New Roman"/>
        </w:rPr>
        <w:t>, Den Haag</w:t>
      </w:r>
      <w:r w:rsidR="007D4769">
        <w:rPr>
          <w:rFonts w:ascii="Times New Roman" w:hAnsi="Times New Roman" w:cs="Times New Roman"/>
        </w:rPr>
        <w:t>.</w:t>
      </w:r>
    </w:p>
  </w:footnote>
  <w:footnote w:id="9">
    <w:p w14:paraId="08D3951F" w14:textId="77777777" w:rsidR="00810B3D" w:rsidRPr="00D240BB" w:rsidRDefault="00810B3D" w:rsidP="00810B3D">
      <w:pPr>
        <w:pStyle w:val="Voetnoottekst"/>
        <w:rPr>
          <w:rFonts w:ascii="Times New Roman" w:hAnsi="Times New Roman" w:cs="Times New Roman"/>
        </w:rPr>
      </w:pPr>
      <w:r w:rsidRPr="00D240BB">
        <w:rPr>
          <w:rStyle w:val="Voetnootmarkering"/>
          <w:rFonts w:ascii="Times New Roman" w:hAnsi="Times New Roman" w:cs="Times New Roman"/>
        </w:rPr>
        <w:footnoteRef/>
      </w:r>
      <w:r w:rsidRPr="00D240BB">
        <w:rPr>
          <w:rFonts w:ascii="Times New Roman" w:hAnsi="Times New Roman" w:cs="Times New Roman"/>
        </w:rPr>
        <w:t xml:space="preserve"> De </w:t>
      </w:r>
      <w:proofErr w:type="spellStart"/>
      <w:r w:rsidRPr="00D240BB">
        <w:rPr>
          <w:rFonts w:ascii="Times New Roman" w:hAnsi="Times New Roman" w:cs="Times New Roman"/>
        </w:rPr>
        <w:t>enodgene</w:t>
      </w:r>
      <w:proofErr w:type="spellEnd"/>
      <w:r w:rsidRPr="00D240BB">
        <w:rPr>
          <w:rFonts w:ascii="Times New Roman" w:hAnsi="Times New Roman" w:cs="Times New Roman"/>
        </w:rPr>
        <w:t xml:space="preserve"> groei is de verwachte groei van de belastinginkomsten exclusief de beleidswijzigingen. </w:t>
      </w:r>
    </w:p>
  </w:footnote>
  <w:footnote w:id="10">
    <w:p w14:paraId="380C8D72" w14:textId="77777777" w:rsidR="00810B3D" w:rsidRPr="00D240BB" w:rsidRDefault="00810B3D" w:rsidP="00810B3D">
      <w:pPr>
        <w:pStyle w:val="Voetnoottekst"/>
        <w:rPr>
          <w:rFonts w:ascii="Times New Roman" w:hAnsi="Times New Roman" w:cs="Times New Roman"/>
        </w:rPr>
      </w:pPr>
      <w:r w:rsidRPr="00D240BB">
        <w:rPr>
          <w:rStyle w:val="Voetnootmarkering"/>
          <w:rFonts w:ascii="Times New Roman" w:hAnsi="Times New Roman" w:cs="Times New Roman"/>
        </w:rPr>
        <w:footnoteRef/>
      </w:r>
      <w:r w:rsidRPr="00D240BB">
        <w:rPr>
          <w:rFonts w:ascii="Times New Roman" w:hAnsi="Times New Roman" w:cs="Times New Roman"/>
        </w:rPr>
        <w:t xml:space="preserve"> Een besluit tot belastingverlaging tijdens het jaar is zeer uitzonderlijk en komt in normale tijden niet voor. </w:t>
      </w:r>
    </w:p>
  </w:footnote>
  <w:footnote w:id="11">
    <w:p w14:paraId="549B1752" w14:textId="77777777" w:rsidR="00810B3D" w:rsidRPr="00D240BB" w:rsidRDefault="00810B3D" w:rsidP="00810B3D">
      <w:pPr>
        <w:pStyle w:val="Voetnoottekst"/>
        <w:rPr>
          <w:rFonts w:ascii="Times New Roman" w:hAnsi="Times New Roman" w:cs="Times New Roman"/>
        </w:rPr>
      </w:pPr>
      <w:r w:rsidRPr="00D240BB">
        <w:rPr>
          <w:rStyle w:val="Voetnootmarkering"/>
          <w:rFonts w:ascii="Times New Roman" w:hAnsi="Times New Roman" w:cs="Times New Roman"/>
        </w:rPr>
        <w:footnoteRef/>
      </w:r>
      <w:r w:rsidRPr="00D240BB">
        <w:rPr>
          <w:rFonts w:ascii="Times New Roman" w:hAnsi="Times New Roman" w:cs="Times New Roman"/>
        </w:rPr>
        <w:t xml:space="preserve"> Ook op andere zaken rapporteren ministeries wekelijks. Denk aan het aantal asielzoekers door het ministerie van Asiel en Migratie.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46CF8"/>
    <w:multiLevelType w:val="hybridMultilevel"/>
    <w:tmpl w:val="FEFEDE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64222E6"/>
    <w:multiLevelType w:val="hybridMultilevel"/>
    <w:tmpl w:val="FA4259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3E117BE"/>
    <w:multiLevelType w:val="hybridMultilevel"/>
    <w:tmpl w:val="D7182D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F4E470A"/>
    <w:multiLevelType w:val="hybridMultilevel"/>
    <w:tmpl w:val="F126E440"/>
    <w:lvl w:ilvl="0" w:tplc="35FA0D50">
      <w:start w:val="1"/>
      <w:numFmt w:val="decimal"/>
      <w:lvlText w:val="%1."/>
      <w:lvlJc w:val="left"/>
      <w:pPr>
        <w:ind w:left="720" w:hanging="360"/>
      </w:pPr>
      <w:rPr>
        <w:rFonts w:eastAsiaTheme="majorEastAsia"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5A925F0"/>
    <w:multiLevelType w:val="hybridMultilevel"/>
    <w:tmpl w:val="73BAFF7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524858F7"/>
    <w:multiLevelType w:val="hybridMultilevel"/>
    <w:tmpl w:val="B0E499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66A729A"/>
    <w:multiLevelType w:val="hybridMultilevel"/>
    <w:tmpl w:val="D9484B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2F631BF"/>
    <w:multiLevelType w:val="hybridMultilevel"/>
    <w:tmpl w:val="F71ED7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64077B5"/>
    <w:multiLevelType w:val="hybridMultilevel"/>
    <w:tmpl w:val="0074D67E"/>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9CC7F1C"/>
    <w:multiLevelType w:val="hybridMultilevel"/>
    <w:tmpl w:val="A356B42E"/>
    <w:lvl w:ilvl="0" w:tplc="3772A0CE">
      <w:start w:val="1"/>
      <w:numFmt w:val="decimal"/>
      <w:lvlText w:val="%1."/>
      <w:lvlJc w:val="left"/>
      <w:pPr>
        <w:ind w:left="720" w:hanging="360"/>
      </w:pPr>
      <w:rPr>
        <w:rFonts w:eastAsiaTheme="majorEastAsia"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A2E37A2"/>
    <w:multiLevelType w:val="hybridMultilevel"/>
    <w:tmpl w:val="2354BE92"/>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E6434D6"/>
    <w:multiLevelType w:val="hybridMultilevel"/>
    <w:tmpl w:val="E4DC72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2296078"/>
    <w:multiLevelType w:val="hybridMultilevel"/>
    <w:tmpl w:val="2488E88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C44224A"/>
    <w:multiLevelType w:val="hybridMultilevel"/>
    <w:tmpl w:val="E9DAF210"/>
    <w:lvl w:ilvl="0" w:tplc="61F45804">
      <w:start w:val="1"/>
      <w:numFmt w:val="decimal"/>
      <w:lvlText w:val="%1."/>
      <w:lvlJc w:val="left"/>
      <w:pPr>
        <w:ind w:left="720" w:hanging="360"/>
      </w:pPr>
      <w:rPr>
        <w:rFonts w:asciiTheme="majorHAnsi" w:hAnsiTheme="majorHAnsi" w:cstheme="majorBidi" w:hint="default"/>
        <w:sz w:val="4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21249680">
    <w:abstractNumId w:val="12"/>
  </w:num>
  <w:num w:numId="2" w16cid:durableId="1593662314">
    <w:abstractNumId w:val="4"/>
  </w:num>
  <w:num w:numId="3" w16cid:durableId="108011047">
    <w:abstractNumId w:val="7"/>
  </w:num>
  <w:num w:numId="4" w16cid:durableId="1646205151">
    <w:abstractNumId w:val="2"/>
  </w:num>
  <w:num w:numId="5" w16cid:durableId="730227094">
    <w:abstractNumId w:val="10"/>
  </w:num>
  <w:num w:numId="6" w16cid:durableId="488987880">
    <w:abstractNumId w:val="8"/>
  </w:num>
  <w:num w:numId="7" w16cid:durableId="1461535074">
    <w:abstractNumId w:val="9"/>
  </w:num>
  <w:num w:numId="8" w16cid:durableId="284124463">
    <w:abstractNumId w:val="3"/>
  </w:num>
  <w:num w:numId="9" w16cid:durableId="263928868">
    <w:abstractNumId w:val="0"/>
  </w:num>
  <w:num w:numId="10" w16cid:durableId="2028553125">
    <w:abstractNumId w:val="5"/>
  </w:num>
  <w:num w:numId="11" w16cid:durableId="165940714">
    <w:abstractNumId w:val="1"/>
  </w:num>
  <w:num w:numId="12" w16cid:durableId="1147355910">
    <w:abstractNumId w:val="11"/>
  </w:num>
  <w:num w:numId="13" w16cid:durableId="1435588991">
    <w:abstractNumId w:val="13"/>
  </w:num>
  <w:num w:numId="14" w16cid:durableId="15923553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B3D"/>
    <w:rsid w:val="00006708"/>
    <w:rsid w:val="000275D0"/>
    <w:rsid w:val="000343AC"/>
    <w:rsid w:val="00084CF1"/>
    <w:rsid w:val="000E5027"/>
    <w:rsid w:val="00107B27"/>
    <w:rsid w:val="00121D53"/>
    <w:rsid w:val="001541A0"/>
    <w:rsid w:val="001565F6"/>
    <w:rsid w:val="001666B8"/>
    <w:rsid w:val="001736B4"/>
    <w:rsid w:val="00184387"/>
    <w:rsid w:val="001908CF"/>
    <w:rsid w:val="00191F27"/>
    <w:rsid w:val="001A65BA"/>
    <w:rsid w:val="001D72D9"/>
    <w:rsid w:val="0021164C"/>
    <w:rsid w:val="002174FA"/>
    <w:rsid w:val="002232A2"/>
    <w:rsid w:val="00230D87"/>
    <w:rsid w:val="002612C2"/>
    <w:rsid w:val="002C6DAA"/>
    <w:rsid w:val="002D0428"/>
    <w:rsid w:val="00322CAB"/>
    <w:rsid w:val="00323B03"/>
    <w:rsid w:val="00336FEA"/>
    <w:rsid w:val="003411A0"/>
    <w:rsid w:val="0034580F"/>
    <w:rsid w:val="003D0368"/>
    <w:rsid w:val="003D4A67"/>
    <w:rsid w:val="0040162B"/>
    <w:rsid w:val="0042227D"/>
    <w:rsid w:val="0044160C"/>
    <w:rsid w:val="00447D11"/>
    <w:rsid w:val="00454045"/>
    <w:rsid w:val="00456AAE"/>
    <w:rsid w:val="00465A8D"/>
    <w:rsid w:val="00474253"/>
    <w:rsid w:val="00484A86"/>
    <w:rsid w:val="004D2782"/>
    <w:rsid w:val="00501161"/>
    <w:rsid w:val="00512138"/>
    <w:rsid w:val="00565DF3"/>
    <w:rsid w:val="005675E3"/>
    <w:rsid w:val="0058091A"/>
    <w:rsid w:val="005865B1"/>
    <w:rsid w:val="00597908"/>
    <w:rsid w:val="005E0A6E"/>
    <w:rsid w:val="005E7201"/>
    <w:rsid w:val="0063131D"/>
    <w:rsid w:val="006352E6"/>
    <w:rsid w:val="00642802"/>
    <w:rsid w:val="006575BA"/>
    <w:rsid w:val="0065792F"/>
    <w:rsid w:val="00662C46"/>
    <w:rsid w:val="0066399C"/>
    <w:rsid w:val="006676A6"/>
    <w:rsid w:val="00676F91"/>
    <w:rsid w:val="006920AC"/>
    <w:rsid w:val="006B0A1D"/>
    <w:rsid w:val="006E7CB9"/>
    <w:rsid w:val="006F7A6B"/>
    <w:rsid w:val="0070413A"/>
    <w:rsid w:val="00707E83"/>
    <w:rsid w:val="007152F7"/>
    <w:rsid w:val="00761BDC"/>
    <w:rsid w:val="00774E94"/>
    <w:rsid w:val="00777203"/>
    <w:rsid w:val="007B31D5"/>
    <w:rsid w:val="007D1D81"/>
    <w:rsid w:val="007D464D"/>
    <w:rsid w:val="007D4769"/>
    <w:rsid w:val="00804185"/>
    <w:rsid w:val="00804B21"/>
    <w:rsid w:val="00810B3D"/>
    <w:rsid w:val="00810E8B"/>
    <w:rsid w:val="00816F66"/>
    <w:rsid w:val="00826FED"/>
    <w:rsid w:val="008A275D"/>
    <w:rsid w:val="008A415C"/>
    <w:rsid w:val="008A5DFA"/>
    <w:rsid w:val="008A7DD8"/>
    <w:rsid w:val="008E6AB3"/>
    <w:rsid w:val="009133BD"/>
    <w:rsid w:val="00931C94"/>
    <w:rsid w:val="00931F35"/>
    <w:rsid w:val="00A26C63"/>
    <w:rsid w:val="00A326DD"/>
    <w:rsid w:val="00A47530"/>
    <w:rsid w:val="00A62847"/>
    <w:rsid w:val="00AA5F03"/>
    <w:rsid w:val="00B60C56"/>
    <w:rsid w:val="00B816D1"/>
    <w:rsid w:val="00BA307C"/>
    <w:rsid w:val="00BA447E"/>
    <w:rsid w:val="00BC0915"/>
    <w:rsid w:val="00BC1D72"/>
    <w:rsid w:val="00BC3D51"/>
    <w:rsid w:val="00BF633B"/>
    <w:rsid w:val="00C17DA9"/>
    <w:rsid w:val="00C67E63"/>
    <w:rsid w:val="00C738B2"/>
    <w:rsid w:val="00C92435"/>
    <w:rsid w:val="00CA2919"/>
    <w:rsid w:val="00CA46D9"/>
    <w:rsid w:val="00CA6898"/>
    <w:rsid w:val="00D1250D"/>
    <w:rsid w:val="00D240BB"/>
    <w:rsid w:val="00D50258"/>
    <w:rsid w:val="00D51E82"/>
    <w:rsid w:val="00D80612"/>
    <w:rsid w:val="00D93D06"/>
    <w:rsid w:val="00D947EB"/>
    <w:rsid w:val="00DA66FF"/>
    <w:rsid w:val="00DE176F"/>
    <w:rsid w:val="00E41F39"/>
    <w:rsid w:val="00E77CDF"/>
    <w:rsid w:val="00EA0E2B"/>
    <w:rsid w:val="00F0073F"/>
    <w:rsid w:val="00F34CC1"/>
    <w:rsid w:val="00F35F4E"/>
    <w:rsid w:val="00F558B5"/>
    <w:rsid w:val="00F854C4"/>
    <w:rsid w:val="00F90B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7E0AE"/>
  <w15:chartTrackingRefBased/>
  <w15:docId w15:val="{C85A1454-8975-D34C-A7E6-706F5DFCA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10B3D"/>
    <w:rPr>
      <w:rFonts w:ascii="Times New Roman" w:eastAsia="Times New Roman" w:hAnsi="Times New Roman" w:cs="Times New Roman"/>
      <w:kern w:val="0"/>
      <w:szCs w:val="20"/>
      <w:lang w:eastAsia="nl-NL"/>
      <w14:ligatures w14:val="none"/>
    </w:rPr>
  </w:style>
  <w:style w:type="paragraph" w:styleId="Kop1">
    <w:name w:val="heading 1"/>
    <w:basedOn w:val="Standaard"/>
    <w:next w:val="Standaard"/>
    <w:link w:val="Kop1Char"/>
    <w:uiPriority w:val="9"/>
    <w:qFormat/>
    <w:rsid w:val="00810B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10B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10B3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10B3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10B3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10B3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10B3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10B3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10B3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10B3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10B3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10B3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10B3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10B3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10B3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10B3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10B3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10B3D"/>
    <w:rPr>
      <w:rFonts w:eastAsiaTheme="majorEastAsia" w:cstheme="majorBidi"/>
      <w:color w:val="272727" w:themeColor="text1" w:themeTint="D8"/>
    </w:rPr>
  </w:style>
  <w:style w:type="paragraph" w:styleId="Titel">
    <w:name w:val="Title"/>
    <w:basedOn w:val="Standaard"/>
    <w:next w:val="Standaard"/>
    <w:link w:val="TitelChar"/>
    <w:uiPriority w:val="10"/>
    <w:qFormat/>
    <w:rsid w:val="00810B3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10B3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10B3D"/>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10B3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10B3D"/>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810B3D"/>
    <w:rPr>
      <w:i/>
      <w:iCs/>
      <w:color w:val="404040" w:themeColor="text1" w:themeTint="BF"/>
    </w:rPr>
  </w:style>
  <w:style w:type="paragraph" w:styleId="Lijstalinea">
    <w:name w:val="List Paragraph"/>
    <w:basedOn w:val="Standaard"/>
    <w:uiPriority w:val="34"/>
    <w:qFormat/>
    <w:rsid w:val="00810B3D"/>
    <w:pPr>
      <w:ind w:left="720"/>
      <w:contextualSpacing/>
    </w:pPr>
  </w:style>
  <w:style w:type="character" w:styleId="Intensievebenadrukking">
    <w:name w:val="Intense Emphasis"/>
    <w:basedOn w:val="Standaardalinea-lettertype"/>
    <w:uiPriority w:val="21"/>
    <w:qFormat/>
    <w:rsid w:val="00810B3D"/>
    <w:rPr>
      <w:i/>
      <w:iCs/>
      <w:color w:val="0F4761" w:themeColor="accent1" w:themeShade="BF"/>
    </w:rPr>
  </w:style>
  <w:style w:type="paragraph" w:styleId="Duidelijkcitaat">
    <w:name w:val="Intense Quote"/>
    <w:basedOn w:val="Standaard"/>
    <w:next w:val="Standaard"/>
    <w:link w:val="DuidelijkcitaatChar"/>
    <w:uiPriority w:val="30"/>
    <w:qFormat/>
    <w:rsid w:val="00810B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10B3D"/>
    <w:rPr>
      <w:i/>
      <w:iCs/>
      <w:color w:val="0F4761" w:themeColor="accent1" w:themeShade="BF"/>
    </w:rPr>
  </w:style>
  <w:style w:type="character" w:styleId="Intensieveverwijzing">
    <w:name w:val="Intense Reference"/>
    <w:basedOn w:val="Standaardalinea-lettertype"/>
    <w:uiPriority w:val="32"/>
    <w:qFormat/>
    <w:rsid w:val="00810B3D"/>
    <w:rPr>
      <w:b/>
      <w:bCs/>
      <w:smallCaps/>
      <w:color w:val="0F4761" w:themeColor="accent1" w:themeShade="BF"/>
      <w:spacing w:val="5"/>
    </w:rPr>
  </w:style>
  <w:style w:type="paragraph" w:styleId="Voettekst">
    <w:name w:val="footer"/>
    <w:basedOn w:val="Standaard"/>
    <w:link w:val="VoettekstChar"/>
    <w:rsid w:val="00810B3D"/>
    <w:pPr>
      <w:tabs>
        <w:tab w:val="center" w:pos="4536"/>
        <w:tab w:val="right" w:pos="9072"/>
      </w:tabs>
    </w:pPr>
  </w:style>
  <w:style w:type="character" w:customStyle="1" w:styleId="VoettekstChar">
    <w:name w:val="Voettekst Char"/>
    <w:basedOn w:val="Standaardalinea-lettertype"/>
    <w:link w:val="Voettekst"/>
    <w:rsid w:val="00810B3D"/>
    <w:rPr>
      <w:rFonts w:ascii="Times New Roman" w:eastAsia="Times New Roman" w:hAnsi="Times New Roman" w:cs="Times New Roman"/>
      <w:kern w:val="0"/>
      <w:szCs w:val="20"/>
      <w:lang w:eastAsia="nl-NL"/>
      <w14:ligatures w14:val="none"/>
    </w:rPr>
  </w:style>
  <w:style w:type="character" w:styleId="Paginanummer">
    <w:name w:val="page number"/>
    <w:basedOn w:val="Standaardalinea-lettertype"/>
    <w:rsid w:val="00810B3D"/>
  </w:style>
  <w:style w:type="paragraph" w:styleId="Geenafstand">
    <w:name w:val="No Spacing"/>
    <w:uiPriority w:val="1"/>
    <w:qFormat/>
    <w:rsid w:val="00810B3D"/>
    <w:pPr>
      <w:spacing w:line="276" w:lineRule="auto"/>
    </w:pPr>
    <w:rPr>
      <w:rFonts w:ascii="Roboto" w:hAnsi="Roboto"/>
    </w:rPr>
  </w:style>
  <w:style w:type="character" w:styleId="Nadruk">
    <w:name w:val="Emphasis"/>
    <w:basedOn w:val="Standaardalinea-lettertype"/>
    <w:uiPriority w:val="20"/>
    <w:qFormat/>
    <w:rsid w:val="00810B3D"/>
    <w:rPr>
      <w:i/>
      <w:iCs/>
    </w:rPr>
  </w:style>
  <w:style w:type="character" w:styleId="Hyperlink">
    <w:name w:val="Hyperlink"/>
    <w:basedOn w:val="Standaardalinea-lettertype"/>
    <w:uiPriority w:val="99"/>
    <w:unhideWhenUsed/>
    <w:rsid w:val="00810B3D"/>
    <w:rPr>
      <w:color w:val="467886" w:themeColor="hyperlink"/>
      <w:u w:val="single"/>
    </w:rPr>
  </w:style>
  <w:style w:type="paragraph" w:styleId="Voetnoottekst">
    <w:name w:val="footnote text"/>
    <w:basedOn w:val="Standaard"/>
    <w:link w:val="VoetnoottekstChar"/>
    <w:uiPriority w:val="99"/>
    <w:semiHidden/>
    <w:unhideWhenUsed/>
    <w:rsid w:val="00810B3D"/>
    <w:rPr>
      <w:rFonts w:asciiTheme="minorHAnsi" w:eastAsiaTheme="minorHAnsi" w:hAnsiTheme="minorHAnsi" w:cstheme="minorBidi"/>
      <w:kern w:val="2"/>
      <w:sz w:val="20"/>
      <w:lang w:eastAsia="en-US"/>
      <w14:ligatures w14:val="standardContextual"/>
    </w:rPr>
  </w:style>
  <w:style w:type="character" w:customStyle="1" w:styleId="VoetnoottekstChar">
    <w:name w:val="Voetnoottekst Char"/>
    <w:basedOn w:val="Standaardalinea-lettertype"/>
    <w:link w:val="Voetnoottekst"/>
    <w:uiPriority w:val="99"/>
    <w:semiHidden/>
    <w:rsid w:val="00810B3D"/>
    <w:rPr>
      <w:sz w:val="20"/>
      <w:szCs w:val="20"/>
    </w:rPr>
  </w:style>
  <w:style w:type="character" w:styleId="Voetnootmarkering">
    <w:name w:val="footnote reference"/>
    <w:basedOn w:val="Standaardalinea-lettertype"/>
    <w:uiPriority w:val="99"/>
    <w:semiHidden/>
    <w:unhideWhenUsed/>
    <w:rsid w:val="00810B3D"/>
    <w:rPr>
      <w:vertAlign w:val="superscript"/>
    </w:rPr>
  </w:style>
  <w:style w:type="table" w:styleId="Tabelraster">
    <w:name w:val="Table Grid"/>
    <w:basedOn w:val="Standaardtabel"/>
    <w:uiPriority w:val="39"/>
    <w:rsid w:val="00810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6F7A6B"/>
    <w:pPr>
      <w:tabs>
        <w:tab w:val="center" w:pos="4536"/>
        <w:tab w:val="right" w:pos="9072"/>
      </w:tabs>
    </w:pPr>
  </w:style>
  <w:style w:type="character" w:customStyle="1" w:styleId="KoptekstChar">
    <w:name w:val="Koptekst Char"/>
    <w:basedOn w:val="Standaardalinea-lettertype"/>
    <w:link w:val="Koptekst"/>
    <w:uiPriority w:val="99"/>
    <w:rsid w:val="006F7A6B"/>
    <w:rPr>
      <w:rFonts w:ascii="Times New Roman" w:eastAsia="Times New Roman" w:hAnsi="Times New Roman" w:cs="Times New Roman"/>
      <w:kern w:val="0"/>
      <w:szCs w:val="20"/>
      <w:lang w:eastAsia="nl-NL"/>
      <w14:ligatures w14:val="none"/>
    </w:rPr>
  </w:style>
  <w:style w:type="paragraph" w:styleId="Revisie">
    <w:name w:val="Revision"/>
    <w:hidden/>
    <w:uiPriority w:val="99"/>
    <w:semiHidden/>
    <w:rsid w:val="0070413A"/>
    <w:rPr>
      <w:rFonts w:ascii="Times New Roman" w:eastAsia="Times New Roman" w:hAnsi="Times New Roman" w:cs="Times New Roman"/>
      <w:kern w:val="0"/>
      <w:szCs w:val="20"/>
      <w:lang w:eastAsia="nl-NL"/>
      <w14:ligatures w14:val="none"/>
    </w:rPr>
  </w:style>
  <w:style w:type="character" w:styleId="Verwijzingopmerking">
    <w:name w:val="annotation reference"/>
    <w:basedOn w:val="Standaardalinea-lettertype"/>
    <w:uiPriority w:val="99"/>
    <w:semiHidden/>
    <w:unhideWhenUsed/>
    <w:rsid w:val="0070413A"/>
    <w:rPr>
      <w:sz w:val="16"/>
      <w:szCs w:val="16"/>
    </w:rPr>
  </w:style>
  <w:style w:type="paragraph" w:styleId="Tekstopmerking">
    <w:name w:val="annotation text"/>
    <w:basedOn w:val="Standaard"/>
    <w:link w:val="TekstopmerkingChar"/>
    <w:uiPriority w:val="99"/>
    <w:unhideWhenUsed/>
    <w:rsid w:val="0070413A"/>
    <w:rPr>
      <w:sz w:val="20"/>
    </w:rPr>
  </w:style>
  <w:style w:type="character" w:customStyle="1" w:styleId="TekstopmerkingChar">
    <w:name w:val="Tekst opmerking Char"/>
    <w:basedOn w:val="Standaardalinea-lettertype"/>
    <w:link w:val="Tekstopmerking"/>
    <w:uiPriority w:val="99"/>
    <w:rsid w:val="0070413A"/>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70413A"/>
    <w:rPr>
      <w:b/>
      <w:bCs/>
    </w:rPr>
  </w:style>
  <w:style w:type="character" w:customStyle="1" w:styleId="OnderwerpvanopmerkingChar">
    <w:name w:val="Onderwerp van opmerking Char"/>
    <w:basedOn w:val="TekstopmerkingChar"/>
    <w:link w:val="Onderwerpvanopmerking"/>
    <w:uiPriority w:val="99"/>
    <w:semiHidden/>
    <w:rsid w:val="0070413A"/>
    <w:rPr>
      <w:rFonts w:ascii="Times New Roman" w:eastAsia="Times New Roman" w:hAnsi="Times New Roman" w:cs="Times New Roman"/>
      <w:b/>
      <w:bCs/>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717727">
      <w:bodyDiv w:val="1"/>
      <w:marLeft w:val="0"/>
      <w:marRight w:val="0"/>
      <w:marTop w:val="0"/>
      <w:marBottom w:val="0"/>
      <w:divBdr>
        <w:top w:val="none" w:sz="0" w:space="0" w:color="auto"/>
        <w:left w:val="none" w:sz="0" w:space="0" w:color="auto"/>
        <w:bottom w:val="none" w:sz="0" w:space="0" w:color="auto"/>
        <w:right w:val="none" w:sz="0" w:space="0" w:color="auto"/>
      </w:divBdr>
    </w:div>
    <w:div w:id="169453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ejudice.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15</ap:Pages>
  <ap:Words>5275</ap:Words>
  <ap:Characters>29014</ap:Characters>
  <ap:DocSecurity>4</ap:DocSecurity>
  <ap:Lines>241</ap:Lines>
  <ap:Paragraphs>68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34221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2024-12-18T12:07:00.0000000Z</dcterms:created>
  <dcterms:modified xsi:type="dcterms:W3CDTF">2024-12-18T12:07:00.0000000Z</dcterms:modified>
  <version/>
  <category/>
</coreProperties>
</file>