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144E9EED" w14:textId="77777777">
        <w:tc>
          <w:tcPr>
            <w:tcW w:w="7792" w:type="dxa"/>
            <w:gridSpan w:val="2"/>
          </w:tcPr>
          <w:p w:rsidR="005D2AE9" w:rsidP="001F5650" w:rsidRDefault="005D2AE9" w14:paraId="7B41545E" w14:textId="77777777">
            <w:pPr>
              <w:spacing w:after="40"/>
            </w:pPr>
            <w:r w:rsidRPr="00093942">
              <w:rPr>
                <w:sz w:val="13"/>
              </w:rPr>
              <w:t>&gt; Retouradres Postbus 20701 2500 ES Den Haag</w:t>
            </w:r>
          </w:p>
        </w:tc>
      </w:tr>
      <w:tr w:rsidR="005D2AE9" w:rsidTr="005D2AE9" w14:paraId="4354D0AB" w14:textId="77777777">
        <w:tc>
          <w:tcPr>
            <w:tcW w:w="7792" w:type="dxa"/>
            <w:gridSpan w:val="2"/>
          </w:tcPr>
          <w:p w:rsidR="005D2AE9" w:rsidP="001F5650" w:rsidRDefault="005D2AE9" w14:paraId="2733987B" w14:textId="77777777">
            <w:pPr>
              <w:tabs>
                <w:tab w:val="left" w:pos="614"/>
              </w:tabs>
              <w:spacing w:after="0"/>
            </w:pPr>
            <w:r>
              <w:t>de Voorzitter van de Tweede Kamer</w:t>
            </w:r>
          </w:p>
          <w:p w:rsidR="005D2AE9" w:rsidP="001F5650" w:rsidRDefault="005D2AE9" w14:paraId="016D6ADF" w14:textId="77777777">
            <w:pPr>
              <w:tabs>
                <w:tab w:val="left" w:pos="614"/>
              </w:tabs>
              <w:spacing w:after="0"/>
            </w:pPr>
            <w:r>
              <w:t>der Staten-Generaal</w:t>
            </w:r>
          </w:p>
          <w:p w:rsidR="005D2AE9" w:rsidP="001F5650" w:rsidRDefault="005D2AE9" w14:paraId="5DA9ABBA" w14:textId="77777777">
            <w:pPr>
              <w:tabs>
                <w:tab w:val="left" w:pos="614"/>
              </w:tabs>
              <w:spacing w:after="0"/>
            </w:pPr>
            <w:proofErr w:type="spellStart"/>
            <w:r>
              <w:t>Bezuidenhoutseweg</w:t>
            </w:r>
            <w:proofErr w:type="spellEnd"/>
            <w:r>
              <w:t xml:space="preserve"> 67 </w:t>
            </w:r>
          </w:p>
          <w:p w:rsidR="005D2AE9" w:rsidP="005D2AE9" w:rsidRDefault="005D2AE9" w14:paraId="512DD9AF" w14:textId="77777777">
            <w:pPr>
              <w:tabs>
                <w:tab w:val="left" w:pos="614"/>
              </w:tabs>
              <w:spacing w:after="240"/>
            </w:pPr>
            <w:r>
              <w:t>2594 AC Den Haag</w:t>
            </w:r>
          </w:p>
          <w:p w:rsidRPr="00093942" w:rsidR="005D2AE9" w:rsidP="001F5650" w:rsidRDefault="005D2AE9" w14:paraId="6704EF14" w14:textId="77777777">
            <w:pPr>
              <w:spacing w:after="240"/>
              <w:rPr>
                <w:sz w:val="13"/>
              </w:rPr>
            </w:pPr>
          </w:p>
        </w:tc>
      </w:tr>
      <w:tr w:rsidR="005D2AE9" w:rsidTr="005D2AE9" w14:paraId="35039314" w14:textId="77777777">
        <w:trPr>
          <w:trHeight w:val="283"/>
        </w:trPr>
        <w:tc>
          <w:tcPr>
            <w:tcW w:w="1969" w:type="dxa"/>
          </w:tcPr>
          <w:p w:rsidR="005D2AE9" w:rsidP="001F5650" w:rsidRDefault="005D2AE9" w14:paraId="27D61A5F" w14:textId="77777777">
            <w:pPr>
              <w:tabs>
                <w:tab w:val="left" w:pos="614"/>
              </w:tabs>
              <w:spacing w:after="0"/>
            </w:pPr>
            <w:r>
              <w:t>Datum</w:t>
            </w:r>
          </w:p>
        </w:tc>
        <w:sdt>
          <w:sdtPr>
            <w:alias w:val="Datum daadwerkelijke verzending"/>
            <w:tag w:val="Datum daadwerkelijke verzending"/>
            <w:id w:val="1978256768"/>
            <w:placeholder>
              <w:docPart w:val="57C6069F24314D37881FD03D02A91774"/>
            </w:placeholder>
            <w:date w:fullDate="2024-12-18T00:00:00Z">
              <w:dateFormat w:val="d MMMM yyyy"/>
              <w:lid w:val="nl-NL"/>
              <w:storeMappedDataAs w:val="dateTime"/>
              <w:calendar w:val="gregorian"/>
            </w:date>
          </w:sdtPr>
          <w:sdtEndPr/>
          <w:sdtContent>
            <w:tc>
              <w:tcPr>
                <w:tcW w:w="5823" w:type="dxa"/>
              </w:tcPr>
              <w:p w:rsidR="005D2AE9" w:rsidP="000605A5" w:rsidRDefault="005C3D29" w14:paraId="5BBE77B7" w14:textId="4D993D59">
                <w:pPr>
                  <w:keepNext/>
                  <w:spacing w:after="0"/>
                </w:pPr>
                <w:r>
                  <w:t>18 december 2024</w:t>
                </w:r>
              </w:p>
            </w:tc>
          </w:sdtContent>
        </w:sdt>
      </w:tr>
      <w:tr w:rsidR="005D2AE9" w:rsidTr="005D2AE9" w14:paraId="18831243" w14:textId="77777777">
        <w:trPr>
          <w:trHeight w:val="283"/>
        </w:trPr>
        <w:tc>
          <w:tcPr>
            <w:tcW w:w="1969" w:type="dxa"/>
          </w:tcPr>
          <w:p w:rsidR="005D2AE9" w:rsidP="001F5650" w:rsidRDefault="005D2AE9" w14:paraId="652E39CF" w14:textId="77777777">
            <w:pPr>
              <w:tabs>
                <w:tab w:val="left" w:pos="614"/>
              </w:tabs>
              <w:spacing w:after="0"/>
            </w:pPr>
            <w:r>
              <w:t>Betreft</w:t>
            </w:r>
          </w:p>
        </w:tc>
        <w:tc>
          <w:tcPr>
            <w:tcW w:w="5823" w:type="dxa"/>
          </w:tcPr>
          <w:p w:rsidR="005D2AE9" w:rsidP="0091481A" w:rsidRDefault="0091481A" w14:paraId="396CA858" w14:textId="39D18B78">
            <w:pPr>
              <w:tabs>
                <w:tab w:val="left" w:pos="614"/>
              </w:tabs>
              <w:spacing w:after="0"/>
            </w:pPr>
            <w:r>
              <w:t>Thematische indeling Strategische Evaluatieagenda, planning periodieke rapportages en</w:t>
            </w:r>
            <w:r w:rsidRPr="00F525EE" w:rsidR="005D2AE9">
              <w:t xml:space="preserve"> </w:t>
            </w:r>
            <w:r>
              <w:t xml:space="preserve">opzet </w:t>
            </w:r>
            <w:r w:rsidR="005F0894">
              <w:t xml:space="preserve">periodieke rapportage </w:t>
            </w:r>
            <w:r w:rsidR="00F1499A">
              <w:t>‘Mensen’ (veiligheid</w:t>
            </w:r>
            <w:r w:rsidR="003B0A23">
              <w:t>)</w:t>
            </w:r>
          </w:p>
        </w:tc>
      </w:tr>
    </w:tbl>
    <w:p w:rsidR="008967D1" w:rsidP="00334308" w:rsidRDefault="005D2AE9" w14:paraId="5B1D81D0" w14:textId="1961C7D3">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CB2B10" w:rsidP="001F5650" w:rsidRDefault="00CB2B10" w14:paraId="1A2570F9" w14:textId="77777777">
                            <w:pPr>
                              <w:pStyle w:val="ReferentiegegevenskopW1-Huisstijl"/>
                              <w:spacing w:before="360"/>
                            </w:pPr>
                            <w:r>
                              <w:t>Ministerie van Defensie</w:t>
                            </w:r>
                          </w:p>
                          <w:p w:rsidR="00CB2B10" w:rsidP="001F5650" w:rsidRDefault="00CB2B10" w14:paraId="296BC697" w14:textId="77777777">
                            <w:pPr>
                              <w:pStyle w:val="Referentiegegevens-Huisstijl"/>
                            </w:pPr>
                            <w:r>
                              <w:t>Plein 4</w:t>
                            </w:r>
                          </w:p>
                          <w:p w:rsidR="00CB2B10" w:rsidP="001F5650" w:rsidRDefault="00CB2B10" w14:paraId="26AE694C" w14:textId="77777777">
                            <w:pPr>
                              <w:pStyle w:val="Referentiegegevens-Huisstijl"/>
                            </w:pPr>
                            <w:r>
                              <w:t>MPC 58 B</w:t>
                            </w:r>
                          </w:p>
                          <w:p w:rsidRPr="00EC49B7" w:rsidR="00CB2B10" w:rsidP="001F5650" w:rsidRDefault="00CB2B10" w14:paraId="0C0A454E" w14:textId="77777777">
                            <w:pPr>
                              <w:pStyle w:val="Referentiegegevens-Huisstijl"/>
                              <w:rPr>
                                <w:lang w:val="de-DE"/>
                              </w:rPr>
                            </w:pPr>
                            <w:r w:rsidRPr="00EC49B7">
                              <w:rPr>
                                <w:lang w:val="de-DE"/>
                              </w:rPr>
                              <w:t>Postbus 20701</w:t>
                            </w:r>
                          </w:p>
                          <w:p w:rsidRPr="00EC49B7" w:rsidR="00CB2B10" w:rsidP="001F5650" w:rsidRDefault="00CB2B10" w14:paraId="011179C3" w14:textId="77777777">
                            <w:pPr>
                              <w:pStyle w:val="Referentiegegevens-Huisstijl"/>
                              <w:rPr>
                                <w:lang w:val="de-DE"/>
                              </w:rPr>
                            </w:pPr>
                            <w:r w:rsidRPr="00EC49B7">
                              <w:rPr>
                                <w:lang w:val="de-DE"/>
                              </w:rPr>
                              <w:t>2500 ES Den Haag</w:t>
                            </w:r>
                          </w:p>
                          <w:p w:rsidRPr="00EC49B7" w:rsidR="00CB2B10" w:rsidP="001F5650" w:rsidRDefault="00CB2B10" w14:paraId="1678D8B4" w14:textId="77777777">
                            <w:pPr>
                              <w:pStyle w:val="Referentiegegevens-Huisstijl"/>
                              <w:rPr>
                                <w:lang w:val="de-DE"/>
                              </w:rPr>
                            </w:pPr>
                            <w:r w:rsidRPr="00EC49B7">
                              <w:rPr>
                                <w:lang w:val="de-DE"/>
                              </w:rPr>
                              <w:t>www.defensie.nl</w:t>
                            </w:r>
                          </w:p>
                          <w:sdt>
                            <w:sdtPr>
                              <w:id w:val="-1579366926"/>
                              <w:lock w:val="contentLocked"/>
                              <w:placeholder>
                                <w:docPart w:val="D01B02F484DB43D8A6D33146848728FE"/>
                              </w:placeholder>
                            </w:sdtPr>
                            <w:sdtEndPr/>
                            <w:sdtContent>
                              <w:p w:rsidR="00CB2B10" w:rsidP="001F5650" w:rsidRDefault="00CB2B10" w14:paraId="351E20F9" w14:textId="77777777">
                                <w:pPr>
                                  <w:pStyle w:val="ReferentiegegevenskopW1-Huisstijl"/>
                                  <w:spacing w:before="120"/>
                                </w:pPr>
                                <w:r>
                                  <w:t>Onze referentie</w:t>
                                </w:r>
                              </w:p>
                            </w:sdtContent>
                          </w:sdt>
                          <w:p w:rsidR="00CB2B10" w:rsidP="001F5650" w:rsidRDefault="00CB2B10" w14:paraId="5FE3BC8C" w14:textId="2C38A636">
                            <w:pPr>
                              <w:pStyle w:val="Referentiegegevens-Huisstijl"/>
                            </w:pPr>
                            <w:r>
                              <w:t>BS20240</w:t>
                            </w:r>
                            <w:r w:rsidRPr="007D2AD8">
                              <w:t>39848</w:t>
                            </w:r>
                          </w:p>
                          <w:p w:rsidR="00CB2B10" w:rsidP="008967D1" w:rsidRDefault="00CB2B10" w14:paraId="2B4397A6" w14:textId="1F7245A3">
                            <w:pPr>
                              <w:pStyle w:val="Algemenevoorwaarden-Huisstijl"/>
                            </w:pPr>
                            <w:r>
                              <w:t>Bij beantwoording, datum, onze referentie en onderwerp vermelden.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CB2B10" w:rsidP="001F5650" w:rsidRDefault="00CB2B10" w14:paraId="1A2570F9" w14:textId="77777777">
                      <w:pPr>
                        <w:pStyle w:val="ReferentiegegevenskopW1-Huisstijl"/>
                        <w:spacing w:before="360"/>
                      </w:pPr>
                      <w:r>
                        <w:t>Ministerie van Defensie</w:t>
                      </w:r>
                    </w:p>
                    <w:p w:rsidR="00CB2B10" w:rsidP="001F5650" w:rsidRDefault="00CB2B10" w14:paraId="296BC697" w14:textId="77777777">
                      <w:pPr>
                        <w:pStyle w:val="Referentiegegevens-Huisstijl"/>
                      </w:pPr>
                      <w:r>
                        <w:t>Plein 4</w:t>
                      </w:r>
                    </w:p>
                    <w:p w:rsidR="00CB2B10" w:rsidP="001F5650" w:rsidRDefault="00CB2B10" w14:paraId="26AE694C" w14:textId="77777777">
                      <w:pPr>
                        <w:pStyle w:val="Referentiegegevens-Huisstijl"/>
                      </w:pPr>
                      <w:r>
                        <w:t>MPC 58 B</w:t>
                      </w:r>
                    </w:p>
                    <w:p w:rsidRPr="00EC49B7" w:rsidR="00CB2B10" w:rsidP="001F5650" w:rsidRDefault="00CB2B10" w14:paraId="0C0A454E" w14:textId="77777777">
                      <w:pPr>
                        <w:pStyle w:val="Referentiegegevens-Huisstijl"/>
                        <w:rPr>
                          <w:lang w:val="de-DE"/>
                        </w:rPr>
                      </w:pPr>
                      <w:r w:rsidRPr="00EC49B7">
                        <w:rPr>
                          <w:lang w:val="de-DE"/>
                        </w:rPr>
                        <w:t>Postbus 20701</w:t>
                      </w:r>
                    </w:p>
                    <w:p w:rsidRPr="00EC49B7" w:rsidR="00CB2B10" w:rsidP="001F5650" w:rsidRDefault="00CB2B10" w14:paraId="011179C3" w14:textId="77777777">
                      <w:pPr>
                        <w:pStyle w:val="Referentiegegevens-Huisstijl"/>
                        <w:rPr>
                          <w:lang w:val="de-DE"/>
                        </w:rPr>
                      </w:pPr>
                      <w:r w:rsidRPr="00EC49B7">
                        <w:rPr>
                          <w:lang w:val="de-DE"/>
                        </w:rPr>
                        <w:t>2500 ES Den Haag</w:t>
                      </w:r>
                    </w:p>
                    <w:p w:rsidRPr="00EC49B7" w:rsidR="00CB2B10" w:rsidP="001F5650" w:rsidRDefault="00CB2B10" w14:paraId="1678D8B4" w14:textId="77777777">
                      <w:pPr>
                        <w:pStyle w:val="Referentiegegevens-Huisstijl"/>
                        <w:rPr>
                          <w:lang w:val="de-DE"/>
                        </w:rPr>
                      </w:pPr>
                      <w:r w:rsidRPr="00EC49B7">
                        <w:rPr>
                          <w:lang w:val="de-DE"/>
                        </w:rPr>
                        <w:t>www.defensie.nl</w:t>
                      </w:r>
                    </w:p>
                    <w:sdt>
                      <w:sdtPr>
                        <w:id w:val="-1579366926"/>
                        <w:lock w:val="contentLocked"/>
                        <w:placeholder>
                          <w:docPart w:val="D01B02F484DB43D8A6D33146848728FE"/>
                        </w:placeholder>
                      </w:sdtPr>
                      <w:sdtContent>
                        <w:p w:rsidR="00CB2B10" w:rsidP="001F5650" w:rsidRDefault="00CB2B10" w14:paraId="351E20F9" w14:textId="77777777">
                          <w:pPr>
                            <w:pStyle w:val="ReferentiegegevenskopW1-Huisstijl"/>
                            <w:spacing w:before="120"/>
                          </w:pPr>
                          <w:r>
                            <w:t>Onze referentie</w:t>
                          </w:r>
                        </w:p>
                      </w:sdtContent>
                    </w:sdt>
                    <w:p w:rsidR="00CB2B10" w:rsidP="001F5650" w:rsidRDefault="00CB2B10" w14:paraId="5FE3BC8C" w14:textId="2C38A636">
                      <w:pPr>
                        <w:pStyle w:val="Referentiegegevens-Huisstijl"/>
                      </w:pPr>
                      <w:r>
                        <w:t>BS20240</w:t>
                      </w:r>
                      <w:r w:rsidRPr="007D2AD8">
                        <w:t>39848</w:t>
                      </w:r>
                    </w:p>
                    <w:p w:rsidR="00CB2B10" w:rsidP="008967D1" w:rsidRDefault="00CB2B10" w14:paraId="2B4397A6" w14:textId="1F7245A3">
                      <w:pPr>
                        <w:pStyle w:val="Algemenevoorwaarden-Huisstijl"/>
                      </w:pPr>
                      <w:r>
                        <w:t>Bij beantwoording, datum, onze referentie en onderwerp vermelden.</w:t>
                      </w:r>
                    </w:p>
                  </w:txbxContent>
                </v:textbox>
                <w10:wrap anchorx="page" anchory="page"/>
              </v:shape>
            </w:pict>
          </mc:Fallback>
        </mc:AlternateContent>
      </w:r>
    </w:p>
    <w:p w:rsidR="004B0E47" w:rsidP="00147A6B" w:rsidRDefault="00BE2D79" w14:paraId="1609DF7B" w14:textId="77777777">
      <w:pPr>
        <w:spacing w:after="240"/>
      </w:pPr>
      <w:r>
        <w:t>Geachte voorzitter,</w:t>
      </w:r>
    </w:p>
    <w:p w:rsidRPr="001A715A" w:rsidR="00A91F4F" w:rsidP="00E61547" w:rsidRDefault="00DF0A4B" w14:paraId="13CF4023" w14:textId="052D3791">
      <w:pPr>
        <w:pStyle w:val="Default"/>
        <w:spacing w:line="240" w:lineRule="atLeast"/>
        <w:rPr>
          <w:rFonts w:cs="Lohit Hindi"/>
          <w:color w:val="auto"/>
          <w:kern w:val="3"/>
          <w:sz w:val="18"/>
          <w:szCs w:val="18"/>
          <w:lang w:bidi="hi-IN"/>
        </w:rPr>
      </w:pPr>
      <w:r>
        <w:rPr>
          <w:rFonts w:cs="Lohit Hindi"/>
          <w:color w:val="auto"/>
          <w:kern w:val="3"/>
          <w:sz w:val="18"/>
          <w:szCs w:val="18"/>
          <w:lang w:bidi="hi-IN"/>
        </w:rPr>
        <w:t xml:space="preserve">Om effectief beleid te maken ten dienste van een toekomstbestendige krijgsmacht is het van groot belang om regelmatig het beleid en de effecten hiervan te evalueren. </w:t>
      </w:r>
      <w:r w:rsidR="007839E6">
        <w:rPr>
          <w:rFonts w:cs="Lohit Hindi"/>
          <w:color w:val="auto"/>
          <w:kern w:val="3"/>
          <w:sz w:val="18"/>
          <w:szCs w:val="18"/>
          <w:lang w:bidi="hi-IN"/>
        </w:rPr>
        <w:t>Elke minister is</w:t>
      </w:r>
      <w:r>
        <w:rPr>
          <w:rFonts w:cs="Lohit Hindi"/>
          <w:color w:val="auto"/>
          <w:kern w:val="3"/>
          <w:sz w:val="18"/>
          <w:szCs w:val="18"/>
          <w:lang w:bidi="hi-IN"/>
        </w:rPr>
        <w:t xml:space="preserve"> daarom</w:t>
      </w:r>
      <w:r w:rsidR="007839E6">
        <w:rPr>
          <w:rFonts w:cs="Lohit Hindi"/>
          <w:color w:val="auto"/>
          <w:kern w:val="3"/>
          <w:sz w:val="18"/>
          <w:szCs w:val="18"/>
          <w:lang w:bidi="hi-IN"/>
        </w:rPr>
        <w:t xml:space="preserve"> op basis van de Comptabiliteitswet verantwoordelijk voor het periodiek onderzoeken van de doeltreffendheid en doelmatigheid van beleid. Hiervoor voerde Defensie tot </w:t>
      </w:r>
      <w:r w:rsidR="00E61547">
        <w:rPr>
          <w:rFonts w:cs="Lohit Hindi"/>
          <w:color w:val="auto"/>
          <w:kern w:val="3"/>
          <w:sz w:val="18"/>
          <w:szCs w:val="18"/>
          <w:lang w:bidi="hi-IN"/>
        </w:rPr>
        <w:t>op heden</w:t>
      </w:r>
      <w:r w:rsidR="007839E6">
        <w:rPr>
          <w:rFonts w:cs="Lohit Hindi"/>
          <w:color w:val="auto"/>
          <w:kern w:val="3"/>
          <w:sz w:val="18"/>
          <w:szCs w:val="18"/>
          <w:lang w:bidi="hi-IN"/>
        </w:rPr>
        <w:t xml:space="preserve"> beleidsdoorlichtingen uit. Conform de Regeling Periodiek Evaluatieonderzoek (RPE) vervangt Defensie deze beleidsdoorlichtingen</w:t>
      </w:r>
      <w:r>
        <w:rPr>
          <w:rFonts w:cs="Lohit Hindi"/>
          <w:color w:val="auto"/>
          <w:kern w:val="3"/>
          <w:sz w:val="18"/>
          <w:szCs w:val="18"/>
          <w:lang w:bidi="hi-IN"/>
        </w:rPr>
        <w:t xml:space="preserve"> vanaf dit jaar</w:t>
      </w:r>
      <w:r w:rsidR="007839E6">
        <w:rPr>
          <w:rFonts w:cs="Lohit Hindi"/>
          <w:color w:val="auto"/>
          <w:kern w:val="3"/>
          <w:sz w:val="18"/>
          <w:szCs w:val="18"/>
          <w:lang w:bidi="hi-IN"/>
        </w:rPr>
        <w:t xml:space="preserve"> </w:t>
      </w:r>
      <w:r w:rsidR="00AB41E2">
        <w:rPr>
          <w:rFonts w:cs="Lohit Hindi"/>
          <w:color w:val="auto"/>
          <w:kern w:val="3"/>
          <w:sz w:val="18"/>
          <w:szCs w:val="18"/>
          <w:lang w:bidi="hi-IN"/>
        </w:rPr>
        <w:t>door</w:t>
      </w:r>
      <w:r w:rsidR="00E82438">
        <w:rPr>
          <w:rFonts w:cs="Lohit Hindi"/>
          <w:color w:val="auto"/>
          <w:kern w:val="3"/>
          <w:sz w:val="18"/>
          <w:szCs w:val="18"/>
          <w:lang w:bidi="hi-IN"/>
        </w:rPr>
        <w:t xml:space="preserve"> </w:t>
      </w:r>
      <w:r w:rsidR="007839E6">
        <w:rPr>
          <w:rFonts w:cs="Lohit Hindi"/>
          <w:color w:val="auto"/>
          <w:kern w:val="3"/>
          <w:sz w:val="18"/>
          <w:szCs w:val="18"/>
          <w:lang w:bidi="hi-IN"/>
        </w:rPr>
        <w:t xml:space="preserve">periodieke rapportages. </w:t>
      </w:r>
      <w:r w:rsidR="00CF1B9D">
        <w:rPr>
          <w:rFonts w:cs="Lohit Hindi"/>
          <w:color w:val="auto"/>
          <w:kern w:val="3"/>
          <w:sz w:val="18"/>
          <w:szCs w:val="18"/>
          <w:lang w:bidi="hi-IN"/>
        </w:rPr>
        <w:t>M</w:t>
      </w:r>
      <w:r w:rsidRPr="00CF1B9D" w:rsidR="00CF1B9D">
        <w:rPr>
          <w:rFonts w:cs="Lohit Hindi"/>
          <w:color w:val="auto"/>
          <w:kern w:val="3"/>
          <w:sz w:val="18"/>
          <w:szCs w:val="18"/>
          <w:lang w:bidi="hi-IN"/>
        </w:rPr>
        <w:t xml:space="preserve">et deze brief </w:t>
      </w:r>
      <w:r w:rsidR="00CF1B9D">
        <w:rPr>
          <w:rFonts w:cs="Lohit Hindi"/>
          <w:color w:val="auto"/>
          <w:kern w:val="3"/>
          <w:sz w:val="18"/>
          <w:szCs w:val="18"/>
          <w:lang w:bidi="hi-IN"/>
        </w:rPr>
        <w:t xml:space="preserve">doen wij </w:t>
      </w:r>
      <w:r w:rsidRPr="00CF1B9D" w:rsidR="00CF1B9D">
        <w:rPr>
          <w:rFonts w:cs="Lohit Hindi"/>
          <w:color w:val="auto"/>
          <w:kern w:val="3"/>
          <w:sz w:val="18"/>
          <w:szCs w:val="18"/>
          <w:lang w:bidi="hi-IN"/>
        </w:rPr>
        <w:t xml:space="preserve">de toezegging van de staatssecretaris van Defensie gestand om uw Kamer </w:t>
      </w:r>
      <w:r w:rsidR="00CF1B9D">
        <w:rPr>
          <w:rFonts w:cs="Lohit Hindi"/>
          <w:color w:val="auto"/>
          <w:kern w:val="3"/>
          <w:sz w:val="18"/>
          <w:szCs w:val="18"/>
          <w:lang w:bidi="hi-IN"/>
        </w:rPr>
        <w:t>te informeren over de thematische indeling van de St</w:t>
      </w:r>
      <w:r w:rsidR="00C35093">
        <w:rPr>
          <w:rFonts w:cs="Lohit Hindi"/>
          <w:color w:val="auto"/>
          <w:kern w:val="3"/>
          <w:sz w:val="18"/>
          <w:szCs w:val="18"/>
          <w:lang w:bidi="hi-IN"/>
        </w:rPr>
        <w:t>rategische Evaluatieagenda</w:t>
      </w:r>
      <w:r w:rsidR="00CF1B9D">
        <w:rPr>
          <w:rFonts w:cs="Lohit Hindi"/>
          <w:color w:val="auto"/>
          <w:kern w:val="3"/>
          <w:sz w:val="18"/>
          <w:szCs w:val="18"/>
          <w:lang w:bidi="hi-IN"/>
        </w:rPr>
        <w:t xml:space="preserve"> en </w:t>
      </w:r>
      <w:r w:rsidRPr="00CF1B9D" w:rsidR="00CF1B9D">
        <w:rPr>
          <w:rFonts w:cs="Lohit Hindi"/>
          <w:color w:val="auto"/>
          <w:kern w:val="3"/>
          <w:sz w:val="18"/>
          <w:szCs w:val="18"/>
          <w:lang w:bidi="hi-IN"/>
        </w:rPr>
        <w:t>de planning van de periodieke rapportages.</w:t>
      </w:r>
      <w:r w:rsidR="00CF1B9D">
        <w:rPr>
          <w:rFonts w:cs="Lohit Hindi"/>
          <w:color w:val="auto"/>
          <w:kern w:val="3"/>
          <w:sz w:val="18"/>
          <w:szCs w:val="18"/>
          <w:lang w:bidi="hi-IN"/>
        </w:rPr>
        <w:t xml:space="preserve"> </w:t>
      </w:r>
      <w:r w:rsidR="007839E6">
        <w:rPr>
          <w:rFonts w:cs="Lohit Hindi"/>
          <w:color w:val="auto"/>
          <w:kern w:val="3"/>
          <w:sz w:val="18"/>
          <w:szCs w:val="18"/>
          <w:lang w:bidi="hi-IN"/>
        </w:rPr>
        <w:t xml:space="preserve">De eerste periodieke rapportage gaat over het </w:t>
      </w:r>
      <w:r w:rsidR="00736B0C">
        <w:rPr>
          <w:rFonts w:cs="Lohit Hindi"/>
          <w:color w:val="auto"/>
          <w:kern w:val="3"/>
          <w:sz w:val="18"/>
          <w:szCs w:val="18"/>
          <w:lang w:bidi="hi-IN"/>
        </w:rPr>
        <w:t>in de Defensienota 2024</w:t>
      </w:r>
      <w:r w:rsidR="00732C93">
        <w:rPr>
          <w:rFonts w:cs="Lohit Hindi"/>
          <w:color w:val="auto"/>
          <w:kern w:val="3"/>
          <w:sz w:val="18"/>
          <w:szCs w:val="18"/>
          <w:lang w:bidi="hi-IN"/>
        </w:rPr>
        <w:t xml:space="preserve"> </w:t>
      </w:r>
      <w:r w:rsidR="004E53B5">
        <w:rPr>
          <w:rFonts w:cs="Lohit Hindi"/>
          <w:color w:val="auto"/>
          <w:kern w:val="3"/>
          <w:sz w:val="18"/>
          <w:szCs w:val="18"/>
          <w:lang w:bidi="hi-IN"/>
        </w:rPr>
        <w:t xml:space="preserve">(Kamerstuk </w:t>
      </w:r>
      <w:r w:rsidRPr="004E53B5" w:rsidR="004E53B5">
        <w:rPr>
          <w:rFonts w:cs="Lohit Hindi"/>
          <w:color w:val="auto"/>
          <w:kern w:val="3"/>
          <w:sz w:val="18"/>
          <w:szCs w:val="18"/>
          <w:lang w:bidi="hi-IN"/>
        </w:rPr>
        <w:t>36 592</w:t>
      </w:r>
      <w:r w:rsidR="004E53B5">
        <w:rPr>
          <w:rFonts w:cs="Lohit Hindi"/>
          <w:color w:val="auto"/>
          <w:kern w:val="3"/>
          <w:sz w:val="18"/>
          <w:szCs w:val="18"/>
          <w:lang w:bidi="hi-IN"/>
        </w:rPr>
        <w:t xml:space="preserve">, nr. 1) </w:t>
      </w:r>
      <w:r w:rsidR="00732C93">
        <w:rPr>
          <w:rFonts w:cs="Lohit Hindi"/>
          <w:color w:val="auto"/>
          <w:kern w:val="3"/>
          <w:sz w:val="18"/>
          <w:szCs w:val="18"/>
          <w:lang w:bidi="hi-IN"/>
        </w:rPr>
        <w:t xml:space="preserve">gedefinieerde </w:t>
      </w:r>
      <w:r w:rsidR="007839E6">
        <w:rPr>
          <w:rFonts w:cs="Lohit Hindi"/>
          <w:color w:val="auto"/>
          <w:kern w:val="3"/>
          <w:sz w:val="18"/>
          <w:szCs w:val="18"/>
          <w:lang w:bidi="hi-IN"/>
        </w:rPr>
        <w:t>thema ‘</w:t>
      </w:r>
      <w:r w:rsidR="00736B0C">
        <w:rPr>
          <w:rFonts w:cs="Lohit Hindi"/>
          <w:color w:val="auto"/>
          <w:kern w:val="3"/>
          <w:sz w:val="18"/>
          <w:szCs w:val="18"/>
          <w:lang w:bidi="hi-IN"/>
        </w:rPr>
        <w:t>Mensen</w:t>
      </w:r>
      <w:r w:rsidR="007839E6">
        <w:rPr>
          <w:rFonts w:cs="Lohit Hindi"/>
          <w:color w:val="auto"/>
          <w:kern w:val="3"/>
          <w:sz w:val="18"/>
          <w:szCs w:val="18"/>
          <w:lang w:bidi="hi-IN"/>
        </w:rPr>
        <w:t>’</w:t>
      </w:r>
      <w:r w:rsidR="003C01F5">
        <w:rPr>
          <w:rFonts w:cs="Lohit Hindi"/>
          <w:color w:val="auto"/>
          <w:kern w:val="3"/>
          <w:sz w:val="18"/>
          <w:szCs w:val="18"/>
          <w:lang w:bidi="hi-IN"/>
        </w:rPr>
        <w:t>.</w:t>
      </w:r>
      <w:r w:rsidRPr="0062137C" w:rsidR="00A91F4F">
        <w:rPr>
          <w:rFonts w:cs="Lohit Hindi"/>
          <w:color w:val="auto"/>
          <w:kern w:val="3"/>
          <w:sz w:val="18"/>
          <w:szCs w:val="18"/>
          <w:lang w:bidi="hi-IN"/>
        </w:rPr>
        <w:t xml:space="preserve"> </w:t>
      </w:r>
      <w:r w:rsidRPr="0062137C" w:rsidR="0062137C">
        <w:rPr>
          <w:rFonts w:cs="Lohit Hindi"/>
          <w:color w:val="auto"/>
          <w:kern w:val="3"/>
          <w:sz w:val="18"/>
          <w:szCs w:val="18"/>
          <w:lang w:bidi="hi-IN"/>
        </w:rPr>
        <w:t>Conform d</w:t>
      </w:r>
      <w:r w:rsidR="001E3BB7">
        <w:rPr>
          <w:rFonts w:cs="Lohit Hindi"/>
          <w:color w:val="auto"/>
          <w:kern w:val="3"/>
          <w:sz w:val="18"/>
          <w:szCs w:val="18"/>
          <w:lang w:bidi="hi-IN"/>
        </w:rPr>
        <w:t>e motie van het</w:t>
      </w:r>
      <w:r>
        <w:rPr>
          <w:rFonts w:cs="Lohit Hindi"/>
          <w:color w:val="auto"/>
          <w:kern w:val="3"/>
          <w:sz w:val="18"/>
          <w:szCs w:val="18"/>
          <w:lang w:bidi="hi-IN"/>
        </w:rPr>
        <w:t xml:space="preserve"> </w:t>
      </w:r>
      <w:r w:rsidRPr="0062137C" w:rsidR="0062137C">
        <w:rPr>
          <w:rFonts w:cs="Lohit Hindi"/>
          <w:color w:val="auto"/>
          <w:kern w:val="3"/>
          <w:sz w:val="18"/>
          <w:szCs w:val="18"/>
          <w:lang w:bidi="hi-IN"/>
        </w:rPr>
        <w:t>lid Harbers c.s. (Kamerstuk 34</w:t>
      </w:r>
      <w:r w:rsidR="00732C93">
        <w:rPr>
          <w:rFonts w:cs="Lohit Hindi"/>
          <w:color w:val="auto"/>
          <w:kern w:val="3"/>
          <w:sz w:val="18"/>
          <w:szCs w:val="18"/>
          <w:lang w:bidi="hi-IN"/>
        </w:rPr>
        <w:t xml:space="preserve"> </w:t>
      </w:r>
      <w:r w:rsidR="00404657">
        <w:rPr>
          <w:rFonts w:cs="Lohit Hindi"/>
          <w:color w:val="auto"/>
          <w:kern w:val="3"/>
          <w:sz w:val="18"/>
          <w:szCs w:val="18"/>
          <w:lang w:bidi="hi-IN"/>
        </w:rPr>
        <w:t>000, nr. 36) informeren wij</w:t>
      </w:r>
      <w:r w:rsidRPr="0062137C" w:rsidR="0062137C">
        <w:rPr>
          <w:rFonts w:cs="Lohit Hindi"/>
          <w:color w:val="auto"/>
          <w:kern w:val="3"/>
          <w:sz w:val="18"/>
          <w:szCs w:val="18"/>
          <w:lang w:bidi="hi-IN"/>
        </w:rPr>
        <w:t xml:space="preserve"> u hierbij </w:t>
      </w:r>
      <w:r w:rsidR="00CF1B9D">
        <w:rPr>
          <w:rFonts w:cs="Lohit Hindi"/>
          <w:color w:val="auto"/>
          <w:kern w:val="3"/>
          <w:sz w:val="18"/>
          <w:szCs w:val="18"/>
          <w:lang w:bidi="hi-IN"/>
        </w:rPr>
        <w:t xml:space="preserve">tevens </w:t>
      </w:r>
      <w:r w:rsidRPr="0062137C" w:rsidR="0062137C">
        <w:rPr>
          <w:rFonts w:cs="Lohit Hindi"/>
          <w:color w:val="auto"/>
          <w:kern w:val="3"/>
          <w:sz w:val="18"/>
          <w:szCs w:val="18"/>
          <w:lang w:bidi="hi-IN"/>
        </w:rPr>
        <w:t xml:space="preserve">over de opzet </w:t>
      </w:r>
      <w:r w:rsidRPr="0062137C" w:rsidR="00A91F4F">
        <w:rPr>
          <w:rFonts w:cs="Lohit Hindi"/>
          <w:color w:val="auto"/>
          <w:kern w:val="3"/>
          <w:sz w:val="18"/>
          <w:szCs w:val="18"/>
          <w:lang w:bidi="hi-IN"/>
        </w:rPr>
        <w:t>van dit onderzoek.</w:t>
      </w:r>
      <w:r w:rsidRPr="001A715A" w:rsidR="001A715A">
        <w:rPr>
          <w:rFonts w:cs="Lohit Hindi"/>
          <w:color w:val="auto"/>
          <w:kern w:val="3"/>
          <w:sz w:val="18"/>
          <w:szCs w:val="18"/>
          <w:lang w:bidi="hi-IN"/>
        </w:rPr>
        <w:t xml:space="preserve"> </w:t>
      </w:r>
    </w:p>
    <w:p w:rsidR="001E3BB7" w:rsidP="00E61547" w:rsidRDefault="001E3BB7" w14:paraId="79A983DA" w14:textId="08D6E93F">
      <w:pPr>
        <w:spacing w:after="0"/>
      </w:pPr>
    </w:p>
    <w:p w:rsidRPr="00CB2B10" w:rsidR="0091481A" w:rsidP="00CB2B10" w:rsidRDefault="00CB2B10" w14:paraId="63A50203" w14:textId="6092BD1A">
      <w:pPr>
        <w:pStyle w:val="Lijstalinea"/>
        <w:numPr>
          <w:ilvl w:val="0"/>
          <w:numId w:val="22"/>
        </w:numPr>
        <w:spacing w:after="0"/>
        <w:rPr>
          <w:b/>
        </w:rPr>
      </w:pPr>
      <w:r w:rsidRPr="00CB2B10">
        <w:rPr>
          <w:b/>
        </w:rPr>
        <w:t>Strategische Evaluatieagenda</w:t>
      </w:r>
      <w:r w:rsidR="00C35093">
        <w:rPr>
          <w:b/>
        </w:rPr>
        <w:t xml:space="preserve"> (SEA)</w:t>
      </w:r>
    </w:p>
    <w:p w:rsidR="0091481A" w:rsidP="0091481A" w:rsidRDefault="0091481A" w14:paraId="4C4B0BB9" w14:textId="77777777">
      <w:pPr>
        <w:spacing w:after="0"/>
      </w:pPr>
      <w:r>
        <w:t xml:space="preserve">Op 21 oktober jl. zijn er tijdens het Wetgevingsoverleg (WGO) Personeel/Materieel een aantal vragen over de SEA gesteld, specifiek over de: </w:t>
      </w:r>
    </w:p>
    <w:p w:rsidR="0091481A" w:rsidP="0091481A" w:rsidRDefault="0091481A" w14:paraId="760DA1DA" w14:textId="77777777">
      <w:pPr>
        <w:pStyle w:val="Lijstalinea"/>
        <w:numPr>
          <w:ilvl w:val="0"/>
          <w:numId w:val="20"/>
        </w:numPr>
        <w:spacing w:after="0"/>
      </w:pPr>
      <w:r>
        <w:t>thematische indeling;</w:t>
      </w:r>
    </w:p>
    <w:p w:rsidR="0091481A" w:rsidP="0091481A" w:rsidRDefault="0091481A" w14:paraId="04072CBF" w14:textId="77777777">
      <w:pPr>
        <w:pStyle w:val="Lijstalinea"/>
        <w:numPr>
          <w:ilvl w:val="0"/>
          <w:numId w:val="20"/>
        </w:numPr>
        <w:spacing w:after="0"/>
      </w:pPr>
      <w:r>
        <w:t xml:space="preserve">planning van periodieke rapportages; </w:t>
      </w:r>
    </w:p>
    <w:p w:rsidR="0091481A" w:rsidP="0091481A" w:rsidRDefault="0091481A" w14:paraId="224C5B4D" w14:textId="77777777">
      <w:pPr>
        <w:pStyle w:val="Lijstalinea"/>
        <w:numPr>
          <w:ilvl w:val="0"/>
          <w:numId w:val="20"/>
        </w:numPr>
        <w:spacing w:after="0"/>
      </w:pPr>
      <w:r>
        <w:t>financiële onderbouwing.</w:t>
      </w:r>
    </w:p>
    <w:p w:rsidR="0091481A" w:rsidP="0091481A" w:rsidRDefault="0091481A" w14:paraId="6657707D" w14:textId="77777777">
      <w:pPr>
        <w:spacing w:after="0"/>
      </w:pPr>
      <w:r>
        <w:t xml:space="preserve">Hieronder lichten wij het antwoord op deze vragen toe. </w:t>
      </w:r>
    </w:p>
    <w:p w:rsidR="00CB2B10" w:rsidP="00CB2B10" w:rsidRDefault="00CB2B10" w14:paraId="56816F10" w14:textId="77777777">
      <w:pPr>
        <w:spacing w:after="0"/>
      </w:pPr>
    </w:p>
    <w:p w:rsidRPr="00CB2B10" w:rsidR="0091481A" w:rsidP="00CB2B10" w:rsidRDefault="0091481A" w14:paraId="1EEA6F94" w14:textId="5488001C">
      <w:pPr>
        <w:pStyle w:val="Lijstalinea"/>
        <w:numPr>
          <w:ilvl w:val="1"/>
          <w:numId w:val="22"/>
        </w:numPr>
        <w:spacing w:after="0"/>
        <w:rPr>
          <w:i/>
        </w:rPr>
      </w:pPr>
      <w:r w:rsidRPr="00CB2B10">
        <w:rPr>
          <w:i/>
        </w:rPr>
        <w:t>Thematische indeling</w:t>
      </w:r>
    </w:p>
    <w:p w:rsidRPr="00334308" w:rsidR="0091481A" w:rsidP="0091481A" w:rsidRDefault="0091481A" w14:paraId="22C74361" w14:textId="77777777">
      <w:pPr>
        <w:spacing w:after="0"/>
        <w:textAlignment w:val="auto"/>
      </w:pPr>
      <w:r w:rsidRPr="00334308">
        <w:t>Om te voorkomen dat de SEA elk kabinet wijzigt, is tijdens het WGO gevraagd of de SEA bijvoorbeeld langs de waardeketen van Defensie ingedeeld kan worden. Wij zien het belang van een duurzame SEA-structuur. Daarom is deze net als de beleidsagenda en Defensienota 2024, reeds langs de waardeketen opgebouwd. In onderstaande tabel ziet u de koppeling van de waardeketen aan SEA-thema’s.</w:t>
      </w:r>
    </w:p>
    <w:p w:rsidR="0091481A" w:rsidP="0091481A" w:rsidRDefault="0091481A" w14:paraId="5170A612" w14:textId="77777777">
      <w:pPr>
        <w:pStyle w:val="Lijstalinea"/>
        <w:spacing w:after="0"/>
      </w:pPr>
    </w:p>
    <w:tbl>
      <w:tblPr>
        <w:tblStyle w:val="Tabelraster"/>
        <w:tblW w:w="0" w:type="auto"/>
        <w:tblInd w:w="421" w:type="dxa"/>
        <w:tblLook w:val="04A0" w:firstRow="1" w:lastRow="0" w:firstColumn="1" w:lastColumn="0" w:noHBand="0" w:noVBand="1"/>
      </w:tblPr>
      <w:tblGrid>
        <w:gridCol w:w="4606"/>
        <w:gridCol w:w="4146"/>
      </w:tblGrid>
      <w:tr w:rsidRPr="008B13FA" w:rsidR="0091481A" w:rsidTr="0091481A" w14:paraId="5CA4D7DA" w14:textId="77777777">
        <w:tc>
          <w:tcPr>
            <w:tcW w:w="4606" w:type="dxa"/>
          </w:tcPr>
          <w:p w:rsidRPr="008B13FA" w:rsidR="0091481A" w:rsidP="0091481A" w:rsidRDefault="0091481A" w14:paraId="699FE577" w14:textId="77777777">
            <w:pPr>
              <w:pStyle w:val="Lijstalinea"/>
              <w:ind w:left="0"/>
              <w:rPr>
                <w:rFonts w:cstheme="minorHAnsi"/>
                <w:b/>
              </w:rPr>
            </w:pPr>
            <w:r w:rsidRPr="008B13FA">
              <w:rPr>
                <w:rFonts w:cstheme="minorHAnsi"/>
                <w:b/>
              </w:rPr>
              <w:t>Waardeketen van Defensie</w:t>
            </w:r>
          </w:p>
        </w:tc>
        <w:tc>
          <w:tcPr>
            <w:tcW w:w="4146" w:type="dxa"/>
          </w:tcPr>
          <w:p w:rsidRPr="008B13FA" w:rsidR="0091481A" w:rsidP="0091481A" w:rsidRDefault="0091481A" w14:paraId="3632F9C5" w14:textId="77777777">
            <w:pPr>
              <w:pStyle w:val="Lijstalinea"/>
              <w:ind w:left="0"/>
              <w:rPr>
                <w:rFonts w:cstheme="minorHAnsi"/>
                <w:b/>
              </w:rPr>
            </w:pPr>
            <w:r w:rsidRPr="008B13FA">
              <w:rPr>
                <w:rFonts w:cstheme="minorHAnsi"/>
                <w:b/>
              </w:rPr>
              <w:t>Thema’s Defensienota 2024, Beleidsagenda en SEA-thema’s</w:t>
            </w:r>
          </w:p>
        </w:tc>
      </w:tr>
      <w:tr w:rsidRPr="008B13FA" w:rsidR="0091481A" w:rsidTr="0091481A" w14:paraId="74C50AF5" w14:textId="77777777">
        <w:tc>
          <w:tcPr>
            <w:tcW w:w="4606" w:type="dxa"/>
          </w:tcPr>
          <w:p w:rsidRPr="008B13FA" w:rsidR="0091481A" w:rsidP="0091481A" w:rsidRDefault="0091481A" w14:paraId="3AF9A581" w14:textId="77777777">
            <w:pPr>
              <w:pStyle w:val="Lijstalinea"/>
              <w:ind w:left="0"/>
              <w:rPr>
                <w:rFonts w:cstheme="minorHAnsi"/>
              </w:rPr>
            </w:pPr>
            <w:r w:rsidRPr="008B13FA">
              <w:rPr>
                <w:rFonts w:cstheme="minorHAnsi"/>
              </w:rPr>
              <w:t>Besturen/Commandovoering</w:t>
            </w:r>
          </w:p>
        </w:tc>
        <w:tc>
          <w:tcPr>
            <w:tcW w:w="4146" w:type="dxa"/>
          </w:tcPr>
          <w:p w:rsidRPr="008B13FA" w:rsidR="0091481A" w:rsidP="0091481A" w:rsidRDefault="0091481A" w14:paraId="164F2181" w14:textId="77777777">
            <w:pPr>
              <w:pStyle w:val="Lijstalinea"/>
              <w:ind w:left="0"/>
              <w:rPr>
                <w:rFonts w:cstheme="minorHAnsi"/>
              </w:rPr>
            </w:pPr>
            <w:r w:rsidRPr="008B13FA">
              <w:rPr>
                <w:rFonts w:cstheme="minorHAnsi"/>
              </w:rPr>
              <w:t>Koers voor versterking</w:t>
            </w:r>
          </w:p>
        </w:tc>
      </w:tr>
      <w:tr w:rsidRPr="008B13FA" w:rsidR="0091481A" w:rsidTr="0091481A" w14:paraId="7C45AD60" w14:textId="77777777">
        <w:tc>
          <w:tcPr>
            <w:tcW w:w="4606" w:type="dxa"/>
          </w:tcPr>
          <w:p w:rsidRPr="008B13FA" w:rsidR="0091481A" w:rsidP="0091481A" w:rsidRDefault="0091481A" w14:paraId="46424294" w14:textId="77777777">
            <w:pPr>
              <w:pStyle w:val="Lijstalinea"/>
              <w:ind w:left="0"/>
              <w:rPr>
                <w:rFonts w:cstheme="minorHAnsi"/>
              </w:rPr>
            </w:pPr>
            <w:proofErr w:type="spellStart"/>
            <w:r w:rsidRPr="008B13FA">
              <w:rPr>
                <w:rFonts w:cstheme="minorHAnsi"/>
              </w:rPr>
              <w:t>Gereedstellen</w:t>
            </w:r>
            <w:proofErr w:type="spellEnd"/>
          </w:p>
        </w:tc>
        <w:tc>
          <w:tcPr>
            <w:tcW w:w="4146" w:type="dxa"/>
          </w:tcPr>
          <w:p w:rsidRPr="008B13FA" w:rsidR="0091481A" w:rsidP="0091481A" w:rsidRDefault="0091481A" w14:paraId="7700FF0E" w14:textId="77777777">
            <w:pPr>
              <w:pStyle w:val="Lijstalinea"/>
              <w:ind w:left="0"/>
              <w:rPr>
                <w:rFonts w:cstheme="minorHAnsi"/>
              </w:rPr>
            </w:pPr>
            <w:r w:rsidRPr="008B13FA">
              <w:rPr>
                <w:rFonts w:cstheme="minorHAnsi"/>
              </w:rPr>
              <w:t>Gevechtskracht</w:t>
            </w:r>
          </w:p>
        </w:tc>
      </w:tr>
      <w:tr w:rsidRPr="008B13FA" w:rsidR="0091481A" w:rsidTr="0091481A" w14:paraId="57524091" w14:textId="77777777">
        <w:tc>
          <w:tcPr>
            <w:tcW w:w="4606" w:type="dxa"/>
          </w:tcPr>
          <w:p w:rsidRPr="008B13FA" w:rsidR="0091481A" w:rsidP="0091481A" w:rsidRDefault="0091481A" w14:paraId="18192E4B" w14:textId="77777777">
            <w:pPr>
              <w:pStyle w:val="Lijstalinea"/>
              <w:ind w:left="0"/>
              <w:rPr>
                <w:rFonts w:cstheme="minorHAnsi"/>
              </w:rPr>
            </w:pPr>
            <w:r w:rsidRPr="008B13FA">
              <w:rPr>
                <w:rFonts w:cstheme="minorHAnsi"/>
              </w:rPr>
              <w:t>Inzetten</w:t>
            </w:r>
          </w:p>
        </w:tc>
        <w:tc>
          <w:tcPr>
            <w:tcW w:w="4146" w:type="dxa"/>
          </w:tcPr>
          <w:p w:rsidRPr="008B13FA" w:rsidR="0091481A" w:rsidP="0091481A" w:rsidRDefault="0091481A" w14:paraId="1911B4D0" w14:textId="77777777">
            <w:pPr>
              <w:pStyle w:val="Lijstalinea"/>
              <w:ind w:left="0"/>
              <w:rPr>
                <w:rFonts w:cstheme="minorHAnsi"/>
              </w:rPr>
            </w:pPr>
            <w:r w:rsidRPr="008B13FA">
              <w:rPr>
                <w:rFonts w:cstheme="minorHAnsi"/>
              </w:rPr>
              <w:t>Gevechtskracht</w:t>
            </w:r>
          </w:p>
        </w:tc>
      </w:tr>
      <w:tr w:rsidRPr="008B13FA" w:rsidR="0091481A" w:rsidTr="0091481A" w14:paraId="1B90041B" w14:textId="77777777">
        <w:tc>
          <w:tcPr>
            <w:tcW w:w="4606" w:type="dxa"/>
          </w:tcPr>
          <w:p w:rsidRPr="008B13FA" w:rsidR="0091481A" w:rsidP="0091481A" w:rsidRDefault="0091481A" w14:paraId="0983CC93" w14:textId="77777777">
            <w:pPr>
              <w:pStyle w:val="Lijstalinea"/>
              <w:ind w:left="0"/>
              <w:rPr>
                <w:rFonts w:cstheme="minorHAnsi"/>
              </w:rPr>
            </w:pPr>
            <w:r w:rsidRPr="008B13FA">
              <w:rPr>
                <w:rFonts w:cstheme="minorHAnsi"/>
              </w:rPr>
              <w:t>Vervullen personele behoefte</w:t>
            </w:r>
          </w:p>
        </w:tc>
        <w:tc>
          <w:tcPr>
            <w:tcW w:w="4146" w:type="dxa"/>
          </w:tcPr>
          <w:p w:rsidRPr="008B13FA" w:rsidR="0091481A" w:rsidP="0091481A" w:rsidRDefault="0091481A" w14:paraId="204BEB56" w14:textId="77777777">
            <w:pPr>
              <w:pStyle w:val="Lijstalinea"/>
              <w:ind w:left="0"/>
              <w:rPr>
                <w:rFonts w:cstheme="minorHAnsi"/>
              </w:rPr>
            </w:pPr>
            <w:r w:rsidRPr="008B13FA">
              <w:rPr>
                <w:rFonts w:cstheme="minorHAnsi"/>
              </w:rPr>
              <w:t>Mensen</w:t>
            </w:r>
          </w:p>
        </w:tc>
      </w:tr>
      <w:tr w:rsidRPr="008B13FA" w:rsidR="0091481A" w:rsidTr="0091481A" w14:paraId="77D8EF32" w14:textId="77777777">
        <w:tc>
          <w:tcPr>
            <w:tcW w:w="4606" w:type="dxa"/>
          </w:tcPr>
          <w:p w:rsidRPr="008B13FA" w:rsidR="0091481A" w:rsidP="0091481A" w:rsidRDefault="0091481A" w14:paraId="7EFA4CAE" w14:textId="77777777">
            <w:pPr>
              <w:pStyle w:val="Lijstalinea"/>
              <w:ind w:left="0"/>
              <w:rPr>
                <w:rFonts w:cstheme="minorHAnsi"/>
              </w:rPr>
            </w:pPr>
            <w:r w:rsidRPr="008B13FA">
              <w:rPr>
                <w:rFonts w:cstheme="minorHAnsi"/>
              </w:rPr>
              <w:t>Vervullen materi</w:t>
            </w:r>
            <w:r w:rsidRPr="008B13FA">
              <w:rPr>
                <w:rFonts w:cs="Calibri"/>
              </w:rPr>
              <w:t>ë</w:t>
            </w:r>
            <w:r w:rsidRPr="008B13FA">
              <w:rPr>
                <w:rFonts w:cstheme="minorHAnsi"/>
              </w:rPr>
              <w:t>le behoefte</w:t>
            </w:r>
          </w:p>
        </w:tc>
        <w:tc>
          <w:tcPr>
            <w:tcW w:w="4146" w:type="dxa"/>
          </w:tcPr>
          <w:p w:rsidRPr="008B13FA" w:rsidR="0091481A" w:rsidP="0091481A" w:rsidRDefault="0091481A" w14:paraId="635CBD59" w14:textId="77777777">
            <w:pPr>
              <w:pStyle w:val="Lijstalinea"/>
              <w:ind w:left="0"/>
              <w:rPr>
                <w:rFonts w:cstheme="minorHAnsi"/>
              </w:rPr>
            </w:pPr>
            <w:r w:rsidRPr="008B13FA">
              <w:rPr>
                <w:rFonts w:cstheme="minorHAnsi"/>
              </w:rPr>
              <w:t>Materieel</w:t>
            </w:r>
          </w:p>
        </w:tc>
      </w:tr>
      <w:tr w:rsidRPr="008B13FA" w:rsidR="0091481A" w:rsidTr="0091481A" w14:paraId="6FFBF512" w14:textId="77777777">
        <w:tc>
          <w:tcPr>
            <w:tcW w:w="4606" w:type="dxa"/>
          </w:tcPr>
          <w:p w:rsidRPr="008B13FA" w:rsidR="0091481A" w:rsidP="0091481A" w:rsidRDefault="0091481A" w14:paraId="585D58A2" w14:textId="77777777">
            <w:pPr>
              <w:pStyle w:val="Lijstalinea"/>
              <w:ind w:left="0"/>
              <w:rPr>
                <w:rFonts w:cstheme="minorHAnsi"/>
              </w:rPr>
            </w:pPr>
            <w:r w:rsidRPr="008B13FA">
              <w:rPr>
                <w:rFonts w:cstheme="minorHAnsi"/>
              </w:rPr>
              <w:lastRenderedPageBreak/>
              <w:t>Ondersteunen</w:t>
            </w:r>
          </w:p>
        </w:tc>
        <w:tc>
          <w:tcPr>
            <w:tcW w:w="4146" w:type="dxa"/>
          </w:tcPr>
          <w:p w:rsidRPr="008B13FA" w:rsidR="0091481A" w:rsidP="0091481A" w:rsidRDefault="0091481A" w14:paraId="101E2847" w14:textId="77777777">
            <w:pPr>
              <w:pStyle w:val="Lijstalinea"/>
              <w:ind w:left="0"/>
              <w:rPr>
                <w:rFonts w:cstheme="minorHAnsi"/>
              </w:rPr>
            </w:pPr>
            <w:r w:rsidRPr="008B13FA">
              <w:rPr>
                <w:rFonts w:cstheme="minorHAnsi"/>
              </w:rPr>
              <w:t>Randvoorwaarden</w:t>
            </w:r>
          </w:p>
        </w:tc>
      </w:tr>
    </w:tbl>
    <w:p w:rsidR="0091481A" w:rsidP="0091481A" w:rsidRDefault="0091481A" w14:paraId="2FF5A61B" w14:textId="77777777">
      <w:pPr>
        <w:pStyle w:val="Lijstalinea"/>
        <w:spacing w:after="0"/>
      </w:pPr>
    </w:p>
    <w:p w:rsidRPr="00CB2B10" w:rsidR="0091481A" w:rsidP="00CB2B10" w:rsidRDefault="0091481A" w14:paraId="7DF2294E" w14:textId="1B6E7E3A">
      <w:pPr>
        <w:pStyle w:val="Lijstalinea"/>
        <w:numPr>
          <w:ilvl w:val="1"/>
          <w:numId w:val="22"/>
        </w:numPr>
        <w:spacing w:after="0"/>
        <w:rPr>
          <w:i/>
        </w:rPr>
      </w:pPr>
      <w:r w:rsidRPr="00CB2B10">
        <w:rPr>
          <w:i/>
        </w:rPr>
        <w:t>Planning periodieke rapportages</w:t>
      </w:r>
    </w:p>
    <w:p w:rsidR="0091481A" w:rsidP="0091481A" w:rsidRDefault="0091481A" w14:paraId="4E278AD3" w14:textId="1F39C5AD">
      <w:pPr>
        <w:spacing w:after="0"/>
      </w:pPr>
      <w:r>
        <w:t>Tijdens het WGO is tevens gevraagd</w:t>
      </w:r>
      <w:r w:rsidRPr="00A90F91">
        <w:t xml:space="preserve"> om inzicht </w:t>
      </w:r>
      <w:r>
        <w:t xml:space="preserve">te </w:t>
      </w:r>
      <w:r w:rsidR="00CF1B9D">
        <w:t>geven</w:t>
      </w:r>
      <w:r w:rsidRPr="00A90F91">
        <w:t xml:space="preserve"> in de planning van periodieke rapportages. Onderstaande tabel laat daarom per SEA-thema zien in welk kalenderjaar de betreffende periodieke rapportage aan uw Kamer wordt </w:t>
      </w:r>
      <w:r w:rsidR="00CF1B9D">
        <w:t>aangeboden</w:t>
      </w:r>
      <w:r w:rsidRPr="00A90F91">
        <w:t>.</w:t>
      </w:r>
      <w:r>
        <w:t xml:space="preserve"> </w:t>
      </w:r>
      <w:r w:rsidRPr="00334308">
        <w:t>Om de volgorde van periodieke rapportages te bepalen, is er gekeken naar beleidsmatige relevantie en de financiële omvang. Met periodieke rapportages worden de begroti</w:t>
      </w:r>
      <w:r>
        <w:t xml:space="preserve">ngsuitgaven in een cyclus van 4 tot </w:t>
      </w:r>
      <w:r w:rsidRPr="00334308">
        <w:t>7 jaar geëvalueerd. De thema’s die de grootste financiële omvang hebben en dus gezamenlijk de begrotingsu</w:t>
      </w:r>
      <w:r w:rsidR="00CF1B9D">
        <w:t>itgaven dekken, zijn de thema’s</w:t>
      </w:r>
      <w:r w:rsidRPr="00334308">
        <w:t xml:space="preserve"> ‘Mensen’, ‘Materieel en industriebeleid’, ‘Gevechtskracht’ en ‘Randvoorwaarden’. Aan deze periodieke rapportages is daarom prioriteit gegeven.</w:t>
      </w:r>
    </w:p>
    <w:p w:rsidR="0091481A" w:rsidP="0091481A" w:rsidRDefault="0091481A" w14:paraId="5E05934C" w14:textId="77777777">
      <w:pPr>
        <w:spacing w:after="0"/>
      </w:pPr>
    </w:p>
    <w:tbl>
      <w:tblPr>
        <w:tblW w:w="8788" w:type="dxa"/>
        <w:tblInd w:w="421" w:type="dxa"/>
        <w:tblCellMar>
          <w:left w:w="0" w:type="dxa"/>
          <w:right w:w="0" w:type="dxa"/>
        </w:tblCellMar>
        <w:tblLook w:val="04A0" w:firstRow="1" w:lastRow="0" w:firstColumn="1" w:lastColumn="0" w:noHBand="0" w:noVBand="1"/>
      </w:tblPr>
      <w:tblGrid>
        <w:gridCol w:w="2835"/>
        <w:gridCol w:w="2810"/>
        <w:gridCol w:w="3143"/>
      </w:tblGrid>
      <w:tr w:rsidR="0091481A" w:rsidTr="0091481A" w14:paraId="2AE42A4D" w14:textId="77777777">
        <w:trPr>
          <w:trHeight w:val="405"/>
        </w:trPr>
        <w:tc>
          <w:tcPr>
            <w:tcW w:w="8788" w:type="dxa"/>
            <w:gridSpan w:val="3"/>
            <w:tcBorders>
              <w:top w:val="single" w:color="auto" w:sz="4" w:space="0"/>
              <w:left w:val="single" w:color="auto" w:sz="4" w:space="0"/>
              <w:bottom w:val="single" w:color="auto" w:sz="4" w:space="0"/>
              <w:right w:val="single" w:color="auto" w:sz="4" w:space="0"/>
            </w:tcBorders>
            <w:hideMark/>
          </w:tcPr>
          <w:p w:rsidR="0091481A" w:rsidP="0091481A" w:rsidRDefault="0091481A" w14:paraId="16F0B1DD" w14:textId="77777777">
            <w:pPr>
              <w:spacing w:line="276" w:lineRule="auto"/>
              <w:ind w:left="99"/>
              <w:jc w:val="both"/>
              <w:rPr>
                <w:rFonts w:ascii="Calibri" w:hAnsi="Calibri"/>
                <w:sz w:val="22"/>
                <w:szCs w:val="22"/>
              </w:rPr>
            </w:pPr>
            <w:r>
              <w:rPr>
                <w:b/>
                <w:bCs/>
              </w:rPr>
              <w:t>Planning periodieke rapportages Defensie</w:t>
            </w:r>
          </w:p>
        </w:tc>
      </w:tr>
      <w:tr w:rsidR="0091481A" w:rsidTr="0091481A" w14:paraId="6B936FB8"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0E379C99" w14:textId="77777777">
            <w:pPr>
              <w:spacing w:line="276" w:lineRule="auto"/>
            </w:pPr>
            <w:r>
              <w:rPr>
                <w:b/>
                <w:bCs/>
              </w:rPr>
              <w:t>Thema</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067F5E25" w14:textId="77777777">
            <w:pPr>
              <w:spacing w:line="276" w:lineRule="auto"/>
              <w:ind w:left="166" w:hanging="142"/>
              <w:rPr>
                <w:b/>
                <w:bCs/>
              </w:rPr>
            </w:pPr>
            <w:proofErr w:type="spellStart"/>
            <w:r>
              <w:rPr>
                <w:b/>
                <w:bCs/>
              </w:rPr>
              <w:t>Subthema</w:t>
            </w:r>
            <w:proofErr w:type="spellEnd"/>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5F4B6CA2" w14:textId="77777777">
            <w:pPr>
              <w:spacing w:line="276" w:lineRule="auto"/>
            </w:pPr>
            <w:r>
              <w:rPr>
                <w:b/>
                <w:bCs/>
              </w:rPr>
              <w:t>Afronding</w:t>
            </w:r>
          </w:p>
        </w:tc>
      </w:tr>
      <w:tr w:rsidR="0091481A" w:rsidTr="0091481A" w14:paraId="5823E1ED"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1231E321" w14:textId="77777777">
            <w:pPr>
              <w:spacing w:line="276" w:lineRule="auto"/>
            </w:pPr>
            <w:r>
              <w:t xml:space="preserve">Mensen </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1EE31114" w14:textId="77777777">
            <w:pPr>
              <w:spacing w:line="276" w:lineRule="auto"/>
              <w:ind w:left="166" w:hanging="142"/>
            </w:pPr>
            <w:r>
              <w:t>Veiligheid</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0091481A" w:rsidP="0091481A" w:rsidRDefault="0091481A" w14:paraId="0812E690" w14:textId="77777777">
            <w:pPr>
              <w:spacing w:line="276" w:lineRule="auto"/>
            </w:pPr>
            <w:r>
              <w:t>2025</w:t>
            </w:r>
          </w:p>
        </w:tc>
      </w:tr>
      <w:tr w:rsidR="0091481A" w:rsidTr="0091481A" w14:paraId="40A54843"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739F231A" w14:textId="77777777">
            <w:pPr>
              <w:spacing w:line="276" w:lineRule="auto"/>
            </w:pPr>
            <w:r>
              <w:t xml:space="preserve">Randvoorwaarden </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3B128CC3" w14:textId="77777777">
            <w:pPr>
              <w:spacing w:line="276" w:lineRule="auto"/>
              <w:ind w:left="166" w:hanging="142"/>
            </w:pPr>
            <w:r>
              <w:t>Infrastructuur en vastgoed</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0091481A" w:rsidP="0091481A" w:rsidRDefault="0091481A" w14:paraId="51AEF978" w14:textId="77777777">
            <w:pPr>
              <w:spacing w:line="276" w:lineRule="auto"/>
              <w:rPr>
                <w:highlight w:val="yellow"/>
              </w:rPr>
            </w:pPr>
            <w:r>
              <w:t>2026</w:t>
            </w:r>
          </w:p>
        </w:tc>
      </w:tr>
      <w:tr w:rsidR="0091481A" w:rsidTr="0091481A" w14:paraId="1560569F"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1FD1F9C0" w14:textId="77777777">
            <w:pPr>
              <w:spacing w:line="276" w:lineRule="auto"/>
            </w:pPr>
            <w:proofErr w:type="spellStart"/>
            <w:r>
              <w:rPr>
                <w:lang w:val="en-US"/>
              </w:rPr>
              <w:t>Mensen</w:t>
            </w:r>
            <w:proofErr w:type="spellEnd"/>
            <w:r>
              <w:rPr>
                <w:lang w:val="en-US"/>
              </w:rPr>
              <w:t xml:space="preserve"> </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5566F232" w14:textId="77777777">
            <w:pPr>
              <w:spacing w:line="276" w:lineRule="auto"/>
              <w:ind w:left="166" w:hanging="142"/>
            </w:pPr>
            <w:r>
              <w:t>Personeelsbeleid</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0091481A" w:rsidP="0091481A" w:rsidRDefault="0091481A" w14:paraId="696651E3" w14:textId="77777777">
            <w:pPr>
              <w:spacing w:line="276" w:lineRule="auto"/>
            </w:pPr>
            <w:r>
              <w:t>2027</w:t>
            </w:r>
          </w:p>
        </w:tc>
      </w:tr>
      <w:tr w:rsidR="0091481A" w:rsidTr="0091481A" w14:paraId="1BDD342C"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2BE7CD7B" w14:textId="77777777">
            <w:pPr>
              <w:spacing w:line="276" w:lineRule="auto"/>
            </w:pPr>
            <w:r>
              <w:t>Materieel en industriebeleid</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76C2B89A" w14:textId="77777777">
            <w:pPr>
              <w:spacing w:line="276" w:lineRule="auto"/>
              <w:ind w:left="166" w:hanging="142"/>
            </w:pPr>
            <w:r>
              <w:t>n.v.t.</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0091481A" w:rsidP="0091481A" w:rsidRDefault="0091481A" w14:paraId="2730F2BE" w14:textId="77777777">
            <w:pPr>
              <w:spacing w:line="276" w:lineRule="auto"/>
            </w:pPr>
            <w:r>
              <w:t>2028</w:t>
            </w:r>
          </w:p>
        </w:tc>
      </w:tr>
      <w:tr w:rsidR="0091481A" w:rsidTr="0091481A" w14:paraId="24AE5352"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10274AF6" w14:textId="77777777">
            <w:pPr>
              <w:spacing w:line="276" w:lineRule="auto"/>
            </w:pPr>
            <w:r>
              <w:t>Gevechtskracht</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4E738413" w14:textId="77777777">
            <w:pPr>
              <w:spacing w:line="276" w:lineRule="auto"/>
              <w:ind w:left="166" w:hanging="142"/>
            </w:pPr>
            <w:r>
              <w:t>n.v.t.</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0091481A" w:rsidP="0091481A" w:rsidRDefault="0091481A" w14:paraId="409EBC65" w14:textId="77777777">
            <w:pPr>
              <w:spacing w:line="276" w:lineRule="auto"/>
              <w:rPr>
                <w:highlight w:val="yellow"/>
              </w:rPr>
            </w:pPr>
            <w:r>
              <w:t>2029</w:t>
            </w:r>
          </w:p>
        </w:tc>
      </w:tr>
      <w:tr w:rsidR="0091481A" w:rsidTr="0091481A" w14:paraId="014562DE"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4EBF4874" w14:textId="77777777">
            <w:pPr>
              <w:spacing w:line="276" w:lineRule="auto"/>
            </w:pPr>
            <w:r>
              <w:t xml:space="preserve">Randvoorwaarden </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1B4B77EA" w14:textId="77777777">
            <w:pPr>
              <w:spacing w:line="276" w:lineRule="auto"/>
              <w:ind w:left="166" w:hanging="142"/>
            </w:pPr>
            <w:r>
              <w:t>IT</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0091481A" w:rsidP="0091481A" w:rsidRDefault="0091481A" w14:paraId="39440375" w14:textId="77777777">
            <w:pPr>
              <w:spacing w:line="276" w:lineRule="auto"/>
            </w:pPr>
            <w:r>
              <w:t>2030</w:t>
            </w:r>
          </w:p>
        </w:tc>
      </w:tr>
      <w:tr w:rsidR="0091481A" w:rsidTr="0091481A" w14:paraId="721A310E"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hideMark/>
          </w:tcPr>
          <w:p w:rsidR="0091481A" w:rsidP="0091481A" w:rsidRDefault="0091481A" w14:paraId="5DEE9D70" w14:textId="77777777">
            <w:pPr>
              <w:spacing w:line="276" w:lineRule="auto"/>
            </w:pPr>
            <w:r>
              <w:t>Koers voor versterking</w:t>
            </w:r>
          </w:p>
        </w:tc>
        <w:tc>
          <w:tcPr>
            <w:tcW w:w="2810" w:type="dxa"/>
            <w:tcBorders>
              <w:top w:val="single" w:color="auto" w:sz="4" w:space="0"/>
              <w:left w:val="single" w:color="auto" w:sz="4" w:space="0"/>
              <w:bottom w:val="single" w:color="auto" w:sz="4" w:space="0"/>
              <w:right w:val="single" w:color="auto" w:sz="4" w:space="0"/>
            </w:tcBorders>
            <w:hideMark/>
          </w:tcPr>
          <w:p w:rsidR="0091481A" w:rsidP="0091481A" w:rsidRDefault="0091481A" w14:paraId="261AB3C6" w14:textId="77777777">
            <w:pPr>
              <w:spacing w:line="276" w:lineRule="auto"/>
              <w:ind w:left="166" w:hanging="142"/>
            </w:pPr>
            <w:r>
              <w:t>Kennis en innovatie</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hideMark/>
          </w:tcPr>
          <w:p w:rsidR="0091481A" w:rsidP="0091481A" w:rsidRDefault="0091481A" w14:paraId="696F68F3" w14:textId="77777777">
            <w:pPr>
              <w:spacing w:line="276" w:lineRule="auto"/>
            </w:pPr>
            <w:r>
              <w:t>2031</w:t>
            </w:r>
          </w:p>
        </w:tc>
      </w:tr>
      <w:tr w:rsidR="0091481A" w:rsidTr="0091481A" w14:paraId="57404FDD" w14:textId="77777777">
        <w:trPr>
          <w:trHeight w:val="405"/>
        </w:trPr>
        <w:tc>
          <w:tcPr>
            <w:tcW w:w="2835"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vAlign w:val="center"/>
          </w:tcPr>
          <w:p w:rsidR="0091481A" w:rsidP="0091481A" w:rsidRDefault="0091481A" w14:paraId="71D8CCCF" w14:textId="77777777">
            <w:pPr>
              <w:spacing w:line="276" w:lineRule="auto"/>
            </w:pPr>
            <w:r>
              <w:t>Koers voor versterking</w:t>
            </w:r>
          </w:p>
        </w:tc>
        <w:tc>
          <w:tcPr>
            <w:tcW w:w="2810" w:type="dxa"/>
            <w:tcBorders>
              <w:top w:val="single" w:color="auto" w:sz="4" w:space="0"/>
              <w:left w:val="single" w:color="auto" w:sz="4" w:space="0"/>
              <w:bottom w:val="single" w:color="auto" w:sz="4" w:space="0"/>
              <w:right w:val="single" w:color="auto" w:sz="4" w:space="0"/>
            </w:tcBorders>
          </w:tcPr>
          <w:p w:rsidR="0091481A" w:rsidP="0091481A" w:rsidRDefault="0091481A" w14:paraId="2536229A" w14:textId="77777777">
            <w:pPr>
              <w:spacing w:line="276" w:lineRule="auto"/>
              <w:ind w:left="166" w:hanging="142"/>
            </w:pPr>
            <w:r>
              <w:t>Internationale samenwerking</w:t>
            </w:r>
          </w:p>
        </w:tc>
        <w:tc>
          <w:tcPr>
            <w:tcW w:w="3143" w:type="dxa"/>
            <w:tcBorders>
              <w:top w:val="single" w:color="auto" w:sz="4" w:space="0"/>
              <w:left w:val="single" w:color="auto" w:sz="4" w:space="0"/>
              <w:bottom w:val="single" w:color="auto" w:sz="4" w:space="0"/>
              <w:right w:val="single" w:color="auto" w:sz="4" w:space="0"/>
            </w:tcBorders>
            <w:tcMar>
              <w:top w:w="15" w:type="dxa"/>
              <w:left w:w="70" w:type="dxa"/>
              <w:bottom w:w="0" w:type="dxa"/>
              <w:right w:w="70" w:type="dxa"/>
            </w:tcMar>
          </w:tcPr>
          <w:p w:rsidR="0091481A" w:rsidP="0091481A" w:rsidRDefault="0091481A" w14:paraId="28DA3C19" w14:textId="77777777">
            <w:pPr>
              <w:spacing w:line="276" w:lineRule="auto"/>
            </w:pPr>
            <w:r>
              <w:t>2031</w:t>
            </w:r>
          </w:p>
        </w:tc>
      </w:tr>
    </w:tbl>
    <w:p w:rsidR="0091481A" w:rsidP="0091481A" w:rsidRDefault="0091481A" w14:paraId="5944C7BF" w14:textId="77777777">
      <w:pPr>
        <w:spacing w:after="0"/>
      </w:pPr>
    </w:p>
    <w:p w:rsidRPr="00CB2B10" w:rsidR="0091481A" w:rsidP="00CB2B10" w:rsidRDefault="0091481A" w14:paraId="3EAFCAE5" w14:textId="7F951D96">
      <w:pPr>
        <w:pStyle w:val="Lijstalinea"/>
        <w:numPr>
          <w:ilvl w:val="1"/>
          <w:numId w:val="22"/>
        </w:numPr>
        <w:spacing w:after="0"/>
        <w:rPr>
          <w:i/>
        </w:rPr>
      </w:pPr>
      <w:r w:rsidRPr="00CB2B10">
        <w:rPr>
          <w:i/>
        </w:rPr>
        <w:t>Financiële grondslag</w:t>
      </w:r>
    </w:p>
    <w:p w:rsidRPr="00F35DEA" w:rsidR="0091481A" w:rsidP="0091481A" w:rsidRDefault="0091481A" w14:paraId="79078B3B" w14:textId="77777777">
      <w:pPr>
        <w:spacing w:after="0"/>
      </w:pPr>
      <w:r w:rsidRPr="007D2AD8">
        <w:t xml:space="preserve">Tot slot is tijdens het WGO gevraagd wanneer inzicht gegeven kan worden in de financiële grondslag per SEA-thema. Het Ministerie van Financiën werkt als verantwoordelijke voor het evaluatiestelsel aan een </w:t>
      </w:r>
      <w:proofErr w:type="spellStart"/>
      <w:r w:rsidRPr="007D2AD8">
        <w:t>rijksbrede</w:t>
      </w:r>
      <w:proofErr w:type="spellEnd"/>
      <w:r w:rsidRPr="007D2AD8">
        <w:t xml:space="preserve"> werkwijze om de relatie tussen de begrotingsuitgaven en de SEA (inclusief periodieke rapportages) te verhelderen. Uw Kamer wordt hierover op korte termijn door de Minister van Financiën geïnformeerd. Defensie volgt de werkwijze die door het Ministerie van Financiën wordt voorgeschreven.</w:t>
      </w:r>
    </w:p>
    <w:p w:rsidRPr="001A715A" w:rsidR="0091481A" w:rsidP="00E61547" w:rsidRDefault="0091481A" w14:paraId="53E5B812" w14:textId="602D6BF0">
      <w:pPr>
        <w:spacing w:after="0"/>
      </w:pPr>
    </w:p>
    <w:p w:rsidRPr="00CB2B10" w:rsidR="00A91F4F" w:rsidP="00CB2B10" w:rsidRDefault="006F31A8" w14:paraId="4E178E48" w14:textId="4FFB0987">
      <w:pPr>
        <w:pStyle w:val="Lijstalinea"/>
        <w:numPr>
          <w:ilvl w:val="0"/>
          <w:numId w:val="22"/>
        </w:numPr>
        <w:spacing w:after="0"/>
        <w:rPr>
          <w:b/>
        </w:rPr>
      </w:pPr>
      <w:r w:rsidRPr="00CB2B10">
        <w:rPr>
          <w:b/>
        </w:rPr>
        <w:t>Periodieke rapportage</w:t>
      </w:r>
      <w:r w:rsidRPr="00CB2B10" w:rsidR="00F1499A">
        <w:rPr>
          <w:b/>
        </w:rPr>
        <w:t xml:space="preserve"> ‘Mensen’ (veiligheid)</w:t>
      </w:r>
      <w:r w:rsidRPr="00CB2B10" w:rsidR="001F5650">
        <w:rPr>
          <w:b/>
        </w:rPr>
        <w:t xml:space="preserve"> </w:t>
      </w:r>
    </w:p>
    <w:p w:rsidR="00CB2B10" w:rsidP="006E32AA" w:rsidRDefault="00CB2B10" w14:paraId="24FDD49D" w14:textId="77777777">
      <w:pPr>
        <w:suppressAutoHyphens w:val="0"/>
        <w:autoSpaceDE w:val="0"/>
        <w:adjustRightInd w:val="0"/>
        <w:spacing w:after="0"/>
        <w:textAlignment w:val="auto"/>
      </w:pPr>
    </w:p>
    <w:p w:rsidRPr="00CB2B10" w:rsidR="00CB2B10" w:rsidP="00CB2B10" w:rsidRDefault="00CB2B10" w14:paraId="1CC7A497" w14:textId="4F3681F8">
      <w:pPr>
        <w:pStyle w:val="Lijstalinea"/>
        <w:numPr>
          <w:ilvl w:val="1"/>
          <w:numId w:val="22"/>
        </w:numPr>
        <w:suppressAutoHyphens w:val="0"/>
        <w:autoSpaceDE w:val="0"/>
        <w:adjustRightInd w:val="0"/>
        <w:spacing w:after="0"/>
        <w:textAlignment w:val="auto"/>
        <w:rPr>
          <w:i/>
        </w:rPr>
      </w:pPr>
      <w:r w:rsidRPr="00CB2B10">
        <w:rPr>
          <w:i/>
        </w:rPr>
        <w:t>Doel en scope van het onderzoek</w:t>
      </w:r>
    </w:p>
    <w:p w:rsidR="00CB2B10" w:rsidP="006E32AA" w:rsidRDefault="001F5650" w14:paraId="7710CF2D" w14:textId="19BDADF7">
      <w:pPr>
        <w:suppressAutoHyphens w:val="0"/>
        <w:autoSpaceDE w:val="0"/>
        <w:adjustRightInd w:val="0"/>
        <w:spacing w:after="0"/>
        <w:textAlignment w:val="auto"/>
      </w:pPr>
      <w:r w:rsidRPr="001F5650">
        <w:t xml:space="preserve">Het doel van </w:t>
      </w:r>
      <w:r w:rsidR="006F31A8">
        <w:t>een</w:t>
      </w:r>
      <w:r w:rsidRPr="001F5650">
        <w:t xml:space="preserve"> periodieke rapportage is om inzicht te geven in de (voorwaarden voor) doeltreffendheid en doelmatigheid van het gevoerde </w:t>
      </w:r>
      <w:r w:rsidR="006F31A8">
        <w:t xml:space="preserve">beleid. </w:t>
      </w:r>
      <w:r w:rsidRPr="001F5650" w:rsidR="006F31A8">
        <w:t>Deze inzichten stellen de organisatie in staat om te leren en de kwaliteit van beleid te verbeteren.</w:t>
      </w:r>
      <w:r w:rsidR="006F31A8">
        <w:t xml:space="preserve"> </w:t>
      </w:r>
    </w:p>
    <w:p w:rsidR="00CB2B10" w:rsidP="006E32AA" w:rsidRDefault="00CB2B10" w14:paraId="388CEFBE" w14:textId="77777777">
      <w:pPr>
        <w:suppressAutoHyphens w:val="0"/>
        <w:autoSpaceDE w:val="0"/>
        <w:adjustRightInd w:val="0"/>
        <w:spacing w:after="0"/>
        <w:textAlignment w:val="auto"/>
      </w:pPr>
    </w:p>
    <w:p w:rsidR="003B0A23" w:rsidP="006E32AA" w:rsidRDefault="00B50A5F" w14:paraId="0D23231D" w14:textId="2088BB7A">
      <w:pPr>
        <w:suppressAutoHyphens w:val="0"/>
        <w:autoSpaceDE w:val="0"/>
        <w:adjustRightInd w:val="0"/>
        <w:spacing w:after="0"/>
        <w:textAlignment w:val="auto"/>
      </w:pPr>
      <w:r>
        <w:t>Vanwege de omvang</w:t>
      </w:r>
      <w:r w:rsidR="00245A93">
        <w:t xml:space="preserve"> en complexiteit</w:t>
      </w:r>
      <w:r>
        <w:t xml:space="preserve"> is besloten het thema</w:t>
      </w:r>
      <w:r w:rsidR="00135408">
        <w:t xml:space="preserve"> ‘Mensen’</w:t>
      </w:r>
      <w:r w:rsidR="006E32AA">
        <w:t xml:space="preserve"> </w:t>
      </w:r>
      <w:r w:rsidR="003B0A23">
        <w:t>op te delen in</w:t>
      </w:r>
      <w:r w:rsidR="00135408">
        <w:t xml:space="preserve"> </w:t>
      </w:r>
      <w:r w:rsidR="00E7249F">
        <w:t xml:space="preserve">twee </w:t>
      </w:r>
      <w:proofErr w:type="spellStart"/>
      <w:r w:rsidR="005467EB">
        <w:t>subthema’s</w:t>
      </w:r>
      <w:proofErr w:type="spellEnd"/>
      <w:r w:rsidR="004F44AF">
        <w:t>.</w:t>
      </w:r>
      <w:r w:rsidR="00E7249F">
        <w:t xml:space="preserve"> </w:t>
      </w:r>
      <w:r w:rsidR="004F44AF">
        <w:t>P</w:t>
      </w:r>
      <w:r w:rsidR="00E7249F">
        <w:t xml:space="preserve">er </w:t>
      </w:r>
      <w:proofErr w:type="spellStart"/>
      <w:r w:rsidR="00E7249F">
        <w:t>subthema</w:t>
      </w:r>
      <w:proofErr w:type="spellEnd"/>
      <w:r w:rsidR="00E7249F">
        <w:t xml:space="preserve"> wordt een periodieke rapportage opgeleverd. </w:t>
      </w:r>
      <w:r w:rsidR="005467EB">
        <w:t>Het</w:t>
      </w:r>
      <w:r w:rsidRPr="003B0A23" w:rsidR="005467EB">
        <w:t xml:space="preserve"> </w:t>
      </w:r>
      <w:r w:rsidR="00A365BF">
        <w:t xml:space="preserve">eerste </w:t>
      </w:r>
      <w:proofErr w:type="spellStart"/>
      <w:r w:rsidR="005467EB">
        <w:t>subthema</w:t>
      </w:r>
      <w:proofErr w:type="spellEnd"/>
      <w:r w:rsidR="003B0A23">
        <w:t xml:space="preserve"> gaat over </w:t>
      </w:r>
      <w:r w:rsidRPr="003B0A23" w:rsidR="003B0A23">
        <w:t>de doeltreffendheid en doelma</w:t>
      </w:r>
      <w:r w:rsidR="00A365BF">
        <w:t>tigheid van het beleid dat Defensie voert</w:t>
      </w:r>
      <w:r w:rsidRPr="003B0A23" w:rsidR="003B0A23">
        <w:t xml:space="preserve"> ter verbetering van </w:t>
      </w:r>
      <w:r w:rsidR="00A365BF">
        <w:t xml:space="preserve">de </w:t>
      </w:r>
      <w:r w:rsidRPr="003B0A23" w:rsidR="003B0A23">
        <w:t xml:space="preserve">sociale en fysieke veiligheid </w:t>
      </w:r>
      <w:r w:rsidR="00C43F6C">
        <w:t xml:space="preserve">en integriteit </w:t>
      </w:r>
      <w:r w:rsidRPr="003B0A23" w:rsidR="003B0A23">
        <w:t xml:space="preserve">op de werkvloer. Het onderzoek zal zich richten op de impact die verschillende maatregelen hebben gehad en in hoeverre zij hebben bijgedragen aan de geformuleerde beleidsdoelen. De effectiviteit en efficiëntie van het beleid worden hierbij in kaart </w:t>
      </w:r>
      <w:r w:rsidRPr="003B0A23" w:rsidR="003B0A23">
        <w:lastRenderedPageBreak/>
        <w:t>gebracht. Het uitwerken van de financiële grondslag zal deel uitmaken van het onderzoek. De onderzoeksperiode zal de jaren 2018 tot en met 2023 beslaan.</w:t>
      </w:r>
    </w:p>
    <w:p w:rsidR="003B0A23" w:rsidP="006E32AA" w:rsidRDefault="003B0A23" w14:paraId="75A30DF1" w14:textId="77777777">
      <w:pPr>
        <w:suppressAutoHyphens w:val="0"/>
        <w:autoSpaceDE w:val="0"/>
        <w:adjustRightInd w:val="0"/>
        <w:spacing w:after="0"/>
        <w:textAlignment w:val="auto"/>
      </w:pPr>
    </w:p>
    <w:p w:rsidRPr="000E1170" w:rsidR="000E1170" w:rsidP="000E1170" w:rsidRDefault="000E1170" w14:paraId="687ECE70" w14:textId="65A20407">
      <w:pPr>
        <w:suppressAutoHyphens w:val="0"/>
        <w:autoSpaceDE w:val="0"/>
        <w:adjustRightInd w:val="0"/>
        <w:spacing w:after="0"/>
        <w:textAlignment w:val="auto"/>
      </w:pPr>
      <w:r w:rsidRPr="000E1170">
        <w:t xml:space="preserve">Over het personeelsbeleid, </w:t>
      </w:r>
      <w:r w:rsidR="00E7249F">
        <w:t xml:space="preserve">het tweede </w:t>
      </w:r>
      <w:proofErr w:type="spellStart"/>
      <w:r w:rsidR="00E7249F">
        <w:t>subthema</w:t>
      </w:r>
      <w:proofErr w:type="spellEnd"/>
      <w:r w:rsidRPr="000E1170">
        <w:t>, wordt op een later moment gerapporteerd.</w:t>
      </w:r>
      <w:r w:rsidR="00245A93">
        <w:t xml:space="preserve"> </w:t>
      </w:r>
      <w:r w:rsidR="00CC2F95">
        <w:t xml:space="preserve">De reden hiervoor is tweeledig. </w:t>
      </w:r>
      <w:r w:rsidRPr="000E1170">
        <w:t xml:space="preserve">Defensie staat voor de opgave de juiste en voldoende mensen te vinden, te binden </w:t>
      </w:r>
      <w:r w:rsidR="00A43B60">
        <w:t xml:space="preserve">en </w:t>
      </w:r>
      <w:r w:rsidRPr="000E1170">
        <w:t>te behouden. De implementatie van de maatregelen die Defensie heeft genomen om aan deze opgave te voldoen is in volle gang</w:t>
      </w:r>
      <w:r w:rsidR="005668CB">
        <w:t xml:space="preserve">. Dit vraagt veel van onze mensen en bedrijfsvoeringprocessen. </w:t>
      </w:r>
      <w:r w:rsidR="00A43B60">
        <w:t xml:space="preserve">Daarnaast achten wij het voor een zinvolle periodieke rapportage noodzakelijk </w:t>
      </w:r>
      <w:r w:rsidRPr="000E1170">
        <w:t>het gevoerde beleid ten volle te kunnen evalueren, en daarmee uw Kamer van een zinvolle periodiek</w:t>
      </w:r>
      <w:r w:rsidR="007D7C6E">
        <w:t>e</w:t>
      </w:r>
      <w:r w:rsidRPr="000E1170">
        <w:t xml:space="preserve"> rapportage te voorzien</w:t>
      </w:r>
      <w:r w:rsidR="00A43B60">
        <w:t xml:space="preserve">. </w:t>
      </w:r>
      <w:r w:rsidR="00F1499A">
        <w:t>Het doel van Defensie is</w:t>
      </w:r>
      <w:r w:rsidRPr="00A43B60" w:rsidR="00A43B60">
        <w:t xml:space="preserve"> om in 2030 een goed gevulde organisatie te zijn. </w:t>
      </w:r>
      <w:r>
        <w:t>We zullen u in 2027</w:t>
      </w:r>
      <w:r w:rsidRPr="000E1170">
        <w:t xml:space="preserve"> een periodieke rapportage sturen </w:t>
      </w:r>
      <w:r w:rsidR="007D7C6E">
        <w:t xml:space="preserve">over </w:t>
      </w:r>
      <w:r w:rsidR="00E7249F">
        <w:t xml:space="preserve">het </w:t>
      </w:r>
      <w:r w:rsidR="007D7C6E">
        <w:t xml:space="preserve">personeelsbeleid </w:t>
      </w:r>
      <w:r w:rsidRPr="000E1170">
        <w:t>zodat meer inzicht ontstaat in de stand van zaken ten opzichte van de doelstelling voor 2030.</w:t>
      </w:r>
      <w:r w:rsidR="00D82841">
        <w:t xml:space="preserve"> De uitkomsten van de periodieke rapportage over het veiligheidsbeleid worden daar vanzelfsprekend bij betrokken.  </w:t>
      </w:r>
    </w:p>
    <w:p w:rsidRPr="00424BBD" w:rsidR="001F5650" w:rsidP="003B0A23" w:rsidRDefault="001F5650" w14:paraId="5DEE5CD7" w14:textId="6BBB7B7A">
      <w:pPr>
        <w:suppressAutoHyphens w:val="0"/>
        <w:autoSpaceDE w:val="0"/>
        <w:adjustRightInd w:val="0"/>
        <w:spacing w:after="0"/>
        <w:textAlignment w:val="auto"/>
      </w:pPr>
    </w:p>
    <w:p w:rsidRPr="00CB2B10" w:rsidR="001F5650" w:rsidP="00CB2B10" w:rsidRDefault="001F5650" w14:paraId="1C6C9DDE" w14:textId="4451473B">
      <w:pPr>
        <w:pStyle w:val="Lijstalinea"/>
        <w:numPr>
          <w:ilvl w:val="1"/>
          <w:numId w:val="22"/>
        </w:numPr>
        <w:spacing w:after="0"/>
        <w:rPr>
          <w:i/>
        </w:rPr>
      </w:pPr>
      <w:r w:rsidRPr="00CB2B10">
        <w:rPr>
          <w:i/>
        </w:rPr>
        <w:t xml:space="preserve">Essentie van het </w:t>
      </w:r>
      <w:r w:rsidRPr="00CB2B10" w:rsidR="004E53B5">
        <w:rPr>
          <w:i/>
        </w:rPr>
        <w:t>veiligheids</w:t>
      </w:r>
      <w:r w:rsidRPr="00CB2B10">
        <w:rPr>
          <w:i/>
        </w:rPr>
        <w:t>beleid</w:t>
      </w:r>
    </w:p>
    <w:p w:rsidR="00404657" w:rsidP="001A715A" w:rsidRDefault="00373298" w14:paraId="7F074042" w14:textId="752DDA70">
      <w:pPr>
        <w:spacing w:after="0"/>
      </w:pPr>
      <w:r>
        <w:t>Defensie voert, als organisatie die veiligheid brengt, haar taken vaak ui</w:t>
      </w:r>
      <w:r w:rsidR="004E53B5">
        <w:t xml:space="preserve">t onder </w:t>
      </w:r>
      <w:r>
        <w:t>gevaarlijke omstandigheden</w:t>
      </w:r>
      <w:r w:rsidRPr="00E82438" w:rsidR="00DE5CB5">
        <w:t xml:space="preserve">. </w:t>
      </w:r>
      <w:r w:rsidRPr="00E614EB" w:rsidR="00E614EB">
        <w:t>Daarbij hoort dat medewerkers zich veilig, gewaardeerd en gerespecteerd voelen en dat leiders het goede voorbeeld geven en hun verantwoordelijkheid nemen.</w:t>
      </w:r>
      <w:r w:rsidR="00E614EB">
        <w:t xml:space="preserve"> </w:t>
      </w:r>
      <w:r w:rsidRPr="00E614EB" w:rsidR="00E614EB">
        <w:t xml:space="preserve">Defensie bereidt </w:t>
      </w:r>
      <w:r w:rsidR="00E614EB">
        <w:t xml:space="preserve">haar </w:t>
      </w:r>
      <w:r w:rsidRPr="00E614EB" w:rsidR="00E614EB">
        <w:t>personeel voor om noodgedwongen op te kunnen treden in onveilige situaties en wanneer niet alle randvoorwaarden zijn ingevuld. Dat geldt voor huidige inzet</w:t>
      </w:r>
      <w:r w:rsidR="00E614EB">
        <w:t xml:space="preserve"> </w:t>
      </w:r>
      <w:r w:rsidRPr="00373298">
        <w:t xml:space="preserve">en </w:t>
      </w:r>
      <w:r w:rsidR="00E614EB">
        <w:t>nog meer bij inzet in het kader van het</w:t>
      </w:r>
      <w:r w:rsidRPr="00373298">
        <w:t xml:space="preserve"> beschermen en </w:t>
      </w:r>
      <w:r w:rsidR="004E53B5">
        <w:t>verdedigen van het eigen grond</w:t>
      </w:r>
      <w:r w:rsidRPr="00373298">
        <w:t>gebied en dat van bondgenoten bij een gewapend conf</w:t>
      </w:r>
      <w:r>
        <w:t>l</w:t>
      </w:r>
      <w:r w:rsidRPr="00373298">
        <w:t>ict</w:t>
      </w:r>
      <w:r>
        <w:t>. Onze</w:t>
      </w:r>
      <w:r w:rsidR="00F50D87">
        <w:t xml:space="preserve"> mensen</w:t>
      </w:r>
      <w:r w:rsidRPr="00E82438" w:rsidR="00F50D87">
        <w:t xml:space="preserve"> </w:t>
      </w:r>
      <w:r w:rsidRPr="00E82438" w:rsidR="00DE5CB5">
        <w:t xml:space="preserve">moeten </w:t>
      </w:r>
      <w:r>
        <w:t>zich daar zo goed en zo veilig mogelijk op kunnen voorbereiden</w:t>
      </w:r>
      <w:r w:rsidRPr="00E82438" w:rsidR="00DE5CB5">
        <w:t xml:space="preserve">. </w:t>
      </w:r>
    </w:p>
    <w:p w:rsidR="00404657" w:rsidP="001A715A" w:rsidRDefault="00404657" w14:paraId="57FA6F5B" w14:textId="77777777">
      <w:pPr>
        <w:spacing w:after="0"/>
      </w:pPr>
    </w:p>
    <w:p w:rsidR="00AD251B" w:rsidP="001A715A" w:rsidRDefault="00157BA0" w14:paraId="435E9647" w14:textId="2A457682">
      <w:pPr>
        <w:spacing w:after="0"/>
      </w:pPr>
      <w:r>
        <w:t xml:space="preserve">Een aantal </w:t>
      </w:r>
      <w:r w:rsidR="001D354F">
        <w:t xml:space="preserve">ontwikkelingen </w:t>
      </w:r>
      <w:r w:rsidR="00D26EEB">
        <w:t xml:space="preserve">is van </w:t>
      </w:r>
      <w:r w:rsidR="001D354F">
        <w:t xml:space="preserve">invloed </w:t>
      </w:r>
      <w:r w:rsidR="00D26EEB">
        <w:t xml:space="preserve">geweest </w:t>
      </w:r>
      <w:r w:rsidR="001D354F">
        <w:t>op het gevoerde beleid in de</w:t>
      </w:r>
      <w:r w:rsidR="00A365BF">
        <w:t xml:space="preserve"> </w:t>
      </w:r>
      <w:r w:rsidR="001D354F">
        <w:t xml:space="preserve">onderzoeksperiode. </w:t>
      </w:r>
      <w:r w:rsidR="002734B1">
        <w:t xml:space="preserve">Om Defensie een organisatie te laten zijn waar veiligheid de norm is, </w:t>
      </w:r>
      <w:r w:rsidR="00AD251B">
        <w:t>en incidenten niet de koers bepalen, hebben onze ambtsvoorgangers werk gemaakt van het verbeteren van veiligheid bij Defensie</w:t>
      </w:r>
      <w:r w:rsidR="00404657">
        <w:t>. Veilig werken</w:t>
      </w:r>
      <w:r w:rsidRPr="00373298" w:rsidR="00373298">
        <w:t xml:space="preserve"> moest, meer dan destijds het geval was, een vanzelfsprekend</w:t>
      </w:r>
      <w:r w:rsidR="004B4B59">
        <w:t>heid</w:t>
      </w:r>
      <w:r w:rsidR="00404657">
        <w:t xml:space="preserve"> zijn</w:t>
      </w:r>
      <w:r w:rsidRPr="00373298" w:rsidR="00373298">
        <w:t xml:space="preserve">. </w:t>
      </w:r>
    </w:p>
    <w:p w:rsidR="001A715A" w:rsidP="001A715A" w:rsidRDefault="00404657" w14:paraId="7BD19D00" w14:textId="048E1797">
      <w:pPr>
        <w:spacing w:after="0"/>
      </w:pPr>
      <w:r>
        <w:t xml:space="preserve">Daarnaast </w:t>
      </w:r>
      <w:r w:rsidR="002734B1">
        <w:t xml:space="preserve">kenmerkt de onderzoeksperiode zich </w:t>
      </w:r>
      <w:r w:rsidR="00AD251B">
        <w:t xml:space="preserve">door een substantiële groei van de defensieorganisatie </w:t>
      </w:r>
      <w:r>
        <w:t xml:space="preserve">en het einde van deze groei is nog niet in zicht. Om deze groei op verantwoorde wijze te faciliteren, moet veiligheid </w:t>
      </w:r>
      <w:r w:rsidRPr="00373298">
        <w:t>onderdeel zijn van beleid, aansturing en bedrijfsvoering bij Defensie</w:t>
      </w:r>
      <w:r>
        <w:t xml:space="preserve">. </w:t>
      </w:r>
      <w:r w:rsidR="00C43F6C">
        <w:t xml:space="preserve">Gedurende de </w:t>
      </w:r>
      <w:r>
        <w:t xml:space="preserve">onderzoeksperiode </w:t>
      </w:r>
      <w:r w:rsidRPr="007A4942">
        <w:t xml:space="preserve">heeft Defensie </w:t>
      </w:r>
      <w:r w:rsidR="00A744EF">
        <w:t xml:space="preserve">daarom </w:t>
      </w:r>
      <w:r w:rsidRPr="007A4942">
        <w:t>geïnvesteerd in de structurele verbetering van de</w:t>
      </w:r>
      <w:r w:rsidR="00C43F6C">
        <w:t xml:space="preserve"> sociale en fysieke veiligheid en integriteit</w:t>
      </w:r>
      <w:r w:rsidRPr="007A4942">
        <w:t>. Ter bevordering van de veiligheid van de taakuitvoering</w:t>
      </w:r>
      <w:r w:rsidR="004B4B59">
        <w:t xml:space="preserve"> en het lerend vermogen van de d</w:t>
      </w:r>
      <w:r w:rsidRPr="007A4942">
        <w:t>efensie</w:t>
      </w:r>
      <w:r>
        <w:t xml:space="preserve">organisatie zijn </w:t>
      </w:r>
      <w:r w:rsidRPr="004B4B59" w:rsidR="004B4B59">
        <w:t xml:space="preserve">in het kader van onder andere het plan van aanpak “Een veilige defensieorganisatie” (Kamerstuk 34 919, nr. 4)  </w:t>
      </w:r>
      <w:r w:rsidRPr="007A4942">
        <w:t>verschillende</w:t>
      </w:r>
      <w:r>
        <w:t xml:space="preserve"> maatregelen genomen om het belang van veiligheid in de bedrijfsvoering te verankeren. </w:t>
      </w:r>
      <w:r w:rsidR="00373298">
        <w:t xml:space="preserve">Het evalueren van de impact die de verschillende maatregelen hebben gehad op </w:t>
      </w:r>
      <w:r>
        <w:t>de verbetering van veiligheid op de werkvloer</w:t>
      </w:r>
      <w:r w:rsidR="00373298">
        <w:t xml:space="preserve">, helpt bij het formuleren van toekomstig beleid en het nemen van aanvullende maatregelen. </w:t>
      </w:r>
    </w:p>
    <w:p w:rsidRPr="00424BBD" w:rsidR="001A715A" w:rsidP="001A715A" w:rsidRDefault="001A715A" w14:paraId="64AF0A34" w14:textId="77777777">
      <w:pPr>
        <w:spacing w:after="0"/>
      </w:pPr>
    </w:p>
    <w:p w:rsidRPr="00CB2B10" w:rsidR="00A91F4F" w:rsidP="00CB2B10" w:rsidRDefault="00A91F4F" w14:paraId="6A79E29C" w14:textId="6D15FBD1">
      <w:pPr>
        <w:pStyle w:val="Lijstalinea"/>
        <w:numPr>
          <w:ilvl w:val="1"/>
          <w:numId w:val="22"/>
        </w:numPr>
        <w:spacing w:after="0"/>
        <w:rPr>
          <w:i/>
        </w:rPr>
      </w:pPr>
      <w:r w:rsidRPr="00CB2B10">
        <w:rPr>
          <w:i/>
        </w:rPr>
        <w:t xml:space="preserve">Opzet </w:t>
      </w:r>
      <w:r w:rsidRPr="00CB2B10" w:rsidR="001F5650">
        <w:rPr>
          <w:i/>
        </w:rPr>
        <w:t xml:space="preserve">en uitvoering </w:t>
      </w:r>
      <w:r w:rsidRPr="00CB2B10">
        <w:rPr>
          <w:i/>
        </w:rPr>
        <w:t>van het onderzoek</w:t>
      </w:r>
    </w:p>
    <w:p w:rsidR="00D24A5C" w:rsidP="001A715A" w:rsidRDefault="00D24A5C" w14:paraId="6A9E2EC3" w14:textId="4FAC7694">
      <w:pPr>
        <w:spacing w:after="0"/>
      </w:pPr>
      <w:r>
        <w:t xml:space="preserve">Voor de opzet en uitvoering van het evaluatieonderzoek worden de verplichte elementen onder artikel 4, </w:t>
      </w:r>
      <w:r w:rsidR="00C22F7A">
        <w:t>vijfde lid,</w:t>
      </w:r>
      <w:r>
        <w:t xml:space="preserve"> van de RPE gevolgd. Dit </w:t>
      </w:r>
      <w:r w:rsidR="006D4855">
        <w:t>betekent</w:t>
      </w:r>
      <w:r>
        <w:t xml:space="preserve"> onder andere dat tijdens het evaluatieonderzoek;</w:t>
      </w:r>
    </w:p>
    <w:p w:rsidR="00D24A5C" w:rsidP="001A715A" w:rsidRDefault="00D24A5C" w14:paraId="5174EDD8" w14:textId="77777777">
      <w:pPr>
        <w:pStyle w:val="Lijstalinea"/>
        <w:numPr>
          <w:ilvl w:val="0"/>
          <w:numId w:val="20"/>
        </w:numPr>
        <w:spacing w:after="0"/>
      </w:pPr>
      <w:r>
        <w:t>een reconstructie van de beleidstheorie wordt gemaakt;</w:t>
      </w:r>
    </w:p>
    <w:p w:rsidR="00D24A5C" w:rsidP="001A715A" w:rsidRDefault="00D24A5C" w14:paraId="0DD54CBE" w14:textId="07B13EF7">
      <w:pPr>
        <w:pStyle w:val="Lijstalinea"/>
        <w:numPr>
          <w:ilvl w:val="0"/>
          <w:numId w:val="20"/>
        </w:numPr>
        <w:spacing w:after="0"/>
      </w:pPr>
      <w:r>
        <w:t>lessen voor het vergroten van de (voorwaarden voor) doeltreffendheid en doelmatigheid van het beleid worden getrokken</w:t>
      </w:r>
      <w:r w:rsidR="006D4855">
        <w:t>;</w:t>
      </w:r>
    </w:p>
    <w:p w:rsidR="00D24A5C" w:rsidP="001A715A" w:rsidRDefault="00D24A5C" w14:paraId="4AEDBD42" w14:textId="66CA0471">
      <w:pPr>
        <w:pStyle w:val="Lijstalinea"/>
        <w:numPr>
          <w:ilvl w:val="0"/>
          <w:numId w:val="20"/>
        </w:numPr>
        <w:spacing w:after="0"/>
      </w:pPr>
      <w:r>
        <w:t>ten minste een doelmatige optie wordt geschetst</w:t>
      </w:r>
      <w:r w:rsidR="003C01F5">
        <w:t xml:space="preserve"> voor een scenario waarin </w:t>
      </w:r>
      <w:r w:rsidR="004B4B59">
        <w:t xml:space="preserve">een besparing van 20% op de financiële grondslag van het thema kan worden gerealiseerd. </w:t>
      </w:r>
      <w:r>
        <w:t xml:space="preserve"> </w:t>
      </w:r>
    </w:p>
    <w:p w:rsidR="00CC6480" w:rsidP="001A715A" w:rsidRDefault="006D4855" w14:paraId="60F75BED" w14:textId="16510A97">
      <w:pPr>
        <w:spacing w:after="0"/>
      </w:pPr>
      <w:r>
        <w:t>Er worden onderzoeksvragen</w:t>
      </w:r>
      <w:r w:rsidR="007653AA">
        <w:t xml:space="preserve"> </w:t>
      </w:r>
      <w:r w:rsidR="00424BBD">
        <w:t>geformuleerd</w:t>
      </w:r>
      <w:r w:rsidR="007653AA">
        <w:t xml:space="preserve"> die zich richten op wat het beleid </w:t>
      </w:r>
      <w:r w:rsidR="00424BBD">
        <w:t>beoogd</w:t>
      </w:r>
      <w:r w:rsidR="007653AA">
        <w:t xml:space="preserve"> heeft in de afgelopen </w:t>
      </w:r>
      <w:r w:rsidR="00D24A5C">
        <w:t>j</w:t>
      </w:r>
      <w:r w:rsidR="007653AA">
        <w:t xml:space="preserve">aren en wat hierbij het </w:t>
      </w:r>
      <w:r w:rsidR="00424BBD">
        <w:t>financiële</w:t>
      </w:r>
      <w:r w:rsidR="007653AA">
        <w:t xml:space="preserve"> kader was. </w:t>
      </w:r>
      <w:r>
        <w:t>Ook</w:t>
      </w:r>
      <w:r w:rsidR="007653AA">
        <w:t xml:space="preserve"> wordt onderzocht of de </w:t>
      </w:r>
      <w:r w:rsidR="00424BBD">
        <w:t>beleidsdoelstellingen</w:t>
      </w:r>
      <w:r w:rsidR="007653AA">
        <w:t xml:space="preserve"> behaald zijn en wat hierbij beter of anders had gekund. </w:t>
      </w:r>
      <w:r w:rsidR="00424BBD">
        <w:t xml:space="preserve">Het onderzoek wordt </w:t>
      </w:r>
      <w:r w:rsidR="00424BBD">
        <w:lastRenderedPageBreak/>
        <w:t>uitgevoerd door een extern team in samenwerking met vertegenwoordigers van het ministerie. De definitieve vraagstelling wordt door dit team opgesteld bij aanvang van het onderzoek.</w:t>
      </w:r>
      <w:r w:rsidR="001A715A">
        <w:t xml:space="preserve"> </w:t>
      </w:r>
    </w:p>
    <w:p w:rsidR="001A715A" w:rsidP="001A715A" w:rsidRDefault="001A715A" w14:paraId="5DA18455" w14:textId="77777777">
      <w:pPr>
        <w:spacing w:after="0"/>
      </w:pPr>
    </w:p>
    <w:p w:rsidR="005E6F0F" w:rsidP="001A715A" w:rsidRDefault="007653AA" w14:paraId="32053D3C" w14:textId="0B7CDB1D">
      <w:pPr>
        <w:spacing w:after="0"/>
      </w:pPr>
      <w:r>
        <w:t xml:space="preserve">Deze </w:t>
      </w:r>
      <w:r w:rsidR="00F12D40">
        <w:t xml:space="preserve">periodieke rapportage </w:t>
      </w:r>
      <w:r w:rsidR="00D24A5C">
        <w:t xml:space="preserve">maakt </w:t>
      </w:r>
      <w:r>
        <w:t xml:space="preserve">in de eerste plaats </w:t>
      </w:r>
      <w:r w:rsidR="00D24A5C">
        <w:t xml:space="preserve">gebruik </w:t>
      </w:r>
      <w:r>
        <w:t xml:space="preserve">van beschikbare </w:t>
      </w:r>
      <w:r w:rsidR="00D24A5C">
        <w:t xml:space="preserve">documentatie, zoals </w:t>
      </w:r>
      <w:r>
        <w:t>rapportages</w:t>
      </w:r>
      <w:r w:rsidR="00D24A5C">
        <w:t xml:space="preserve"> (waaronder evaluatierapporten, personeelsrapportages of rapportages van </w:t>
      </w:r>
      <w:r w:rsidR="00F50D87">
        <w:t>interne toezichthouders</w:t>
      </w:r>
      <w:r w:rsidR="00D24A5C">
        <w:t xml:space="preserve">), </w:t>
      </w:r>
      <w:r>
        <w:t>beleidsdocumenten</w:t>
      </w:r>
      <w:r w:rsidR="00D24A5C">
        <w:t xml:space="preserve"> en Kamerbrieven</w:t>
      </w:r>
      <w:r>
        <w:t xml:space="preserve">. Als benodigde informatie niet in de beschikbare documentatie te vinden is of tussentijdse bevindingen verder onderbouwd of getoetst moeten worden, kunnen interviews worden afgenomen. Een definitief overzicht van de geraadpleegde brondocumenten en geïnterviewde functionarissen wordt aan het eindrapport toegevoegd. </w:t>
      </w:r>
    </w:p>
    <w:p w:rsidR="005E6F0F" w:rsidP="001A715A" w:rsidRDefault="005E6F0F" w14:paraId="13DBB5DB" w14:textId="77777777">
      <w:pPr>
        <w:spacing w:after="0"/>
      </w:pPr>
    </w:p>
    <w:p w:rsidRPr="00CB2B10" w:rsidR="00D24A5C" w:rsidP="00CB2B10" w:rsidRDefault="00D24A5C" w14:paraId="6CBBF7DC" w14:textId="2EECE929">
      <w:pPr>
        <w:pStyle w:val="Lijstalinea"/>
        <w:numPr>
          <w:ilvl w:val="1"/>
          <w:numId w:val="22"/>
        </w:numPr>
        <w:spacing w:after="0"/>
        <w:rPr>
          <w:i/>
        </w:rPr>
      </w:pPr>
      <w:r w:rsidRPr="00CB2B10">
        <w:rPr>
          <w:i/>
        </w:rPr>
        <w:t>Kwaliteitsborging</w:t>
      </w:r>
    </w:p>
    <w:p w:rsidR="00F35DEA" w:rsidP="001A715A" w:rsidRDefault="00424BBD" w14:paraId="6710D7A4" w14:textId="50D53CE1">
      <w:pPr>
        <w:spacing w:after="0"/>
      </w:pPr>
      <w:r>
        <w:t>Het o</w:t>
      </w:r>
      <w:r w:rsidR="00C35093">
        <w:t>nderzoek wordt begeleid</w:t>
      </w:r>
      <w:r>
        <w:t xml:space="preserve"> door een begeleidingscommissie waarin </w:t>
      </w:r>
      <w:r w:rsidR="00A86424">
        <w:t xml:space="preserve">in ieder geval </w:t>
      </w:r>
      <w:r w:rsidR="005E6F0F">
        <w:t xml:space="preserve">de </w:t>
      </w:r>
      <w:r>
        <w:t xml:space="preserve">Directeur Veiligheid </w:t>
      </w:r>
      <w:r w:rsidR="00C22F7A">
        <w:t xml:space="preserve">van het Directoraat-Generaal Beleid </w:t>
      </w:r>
      <w:r>
        <w:t>plaatsne</w:t>
      </w:r>
      <w:r w:rsidR="005E6F0F">
        <w:t>emt,</w:t>
      </w:r>
      <w:r>
        <w:t xml:space="preserve"> alsmede</w:t>
      </w:r>
      <w:r w:rsidR="00C22F7A">
        <w:t xml:space="preserve"> een vertegenwoordiger van het M</w:t>
      </w:r>
      <w:r>
        <w:t>inisterie van Financiën.</w:t>
      </w:r>
      <w:r w:rsidR="007653AA">
        <w:t xml:space="preserve"> Zoals opgenomen in de RPE betrekt Defensie een externe, onafhankelijke deskundige bij de </w:t>
      </w:r>
      <w:r w:rsidR="00C22F7A">
        <w:t>rapportage</w:t>
      </w:r>
      <w:r w:rsidR="007653AA">
        <w:t>. Deze deskundige zal zitting neme</w:t>
      </w:r>
      <w:r w:rsidR="00F53FEB">
        <w:t>n in de begeleidingscommissie. Deze persoon</w:t>
      </w:r>
      <w:r w:rsidR="007653AA">
        <w:t xml:space="preserve"> zal na afronding van de </w:t>
      </w:r>
      <w:r w:rsidR="004B4B59">
        <w:t>periodieke rapportage</w:t>
      </w:r>
      <w:r w:rsidR="007653AA">
        <w:t xml:space="preserve"> een onafhankelijk oordeel geven over het uitgevoerde onderzoek. Het eindrapport wordt samen met deze beoordeling</w:t>
      </w:r>
      <w:r>
        <w:t xml:space="preserve"> </w:t>
      </w:r>
      <w:r w:rsidR="00A86424">
        <w:t>uiterlijk eind 2025</w:t>
      </w:r>
      <w:r>
        <w:t xml:space="preserve"> </w:t>
      </w:r>
      <w:r w:rsidR="00CF1B9D">
        <w:t>aan uw Kamer aangeboden.</w:t>
      </w:r>
    </w:p>
    <w:p w:rsidRPr="00881E10" w:rsidR="00BE2D79" w:rsidRDefault="00BE2D79" w14:paraId="77544C2D" w14:textId="77777777">
      <w:pPr>
        <w:keepNext/>
        <w:spacing w:before="600" w:after="0"/>
      </w:pPr>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Pr="00A42B10" w:rsidR="0080296D" w:rsidTr="009D222F" w14:paraId="4B1335E3" w14:textId="77777777">
        <w:tc>
          <w:tcPr>
            <w:tcW w:w="4962" w:type="dxa"/>
          </w:tcPr>
          <w:p w:rsidRPr="003E0DA1" w:rsidR="0080296D" w:rsidP="009D222F" w:rsidRDefault="0080296D" w14:paraId="5D3F907D" w14:textId="77777777">
            <w:pPr>
              <w:keepNext/>
              <w:spacing w:before="600" w:after="0"/>
              <w:rPr>
                <w:i/>
                <w:iCs/>
                <w:color w:val="000000" w:themeColor="text1"/>
              </w:rPr>
            </w:pPr>
            <w:r w:rsidRPr="005348AC">
              <w:rPr>
                <w:i/>
                <w:iCs/>
                <w:color w:val="000000" w:themeColor="text1"/>
              </w:rPr>
              <w:t>DE MINISTER VAN DEFENSIE</w:t>
            </w:r>
          </w:p>
          <w:p w:rsidRPr="00A42B10" w:rsidR="0080296D" w:rsidP="009D222F" w:rsidRDefault="0080296D" w14:paraId="6A96F116" w14:textId="77777777">
            <w:pPr>
              <w:spacing w:before="960" w:after="0"/>
              <w:rPr>
                <w:color w:val="000000" w:themeColor="text1"/>
              </w:rPr>
            </w:pPr>
            <w:r>
              <w:rPr>
                <w:color w:val="000000" w:themeColor="text1"/>
              </w:rPr>
              <w:t>Ruben Brekelmans</w:t>
            </w:r>
          </w:p>
        </w:tc>
        <w:tc>
          <w:tcPr>
            <w:tcW w:w="4211" w:type="dxa"/>
          </w:tcPr>
          <w:p w:rsidRPr="003E0DA1" w:rsidR="0080296D" w:rsidP="009D222F" w:rsidRDefault="0080296D" w14:paraId="3BABC57D" w14:textId="77777777">
            <w:pPr>
              <w:spacing w:before="600" w:after="0"/>
              <w:rPr>
                <w:i/>
                <w:iCs/>
                <w:color w:val="000000" w:themeColor="text1"/>
              </w:rPr>
            </w:pPr>
            <w:r w:rsidRPr="005348AC">
              <w:rPr>
                <w:i/>
                <w:iCs/>
                <w:color w:val="000000" w:themeColor="text1"/>
              </w:rPr>
              <w:t>DE STAATSSECRETARIS VAN DEFENSIE</w:t>
            </w:r>
          </w:p>
          <w:p w:rsidRPr="00A42B10" w:rsidR="0080296D" w:rsidP="009D222F" w:rsidRDefault="0080296D" w14:paraId="47C426D9" w14:textId="77777777">
            <w:pPr>
              <w:spacing w:before="960"/>
              <w:rPr>
                <w:color w:val="000000" w:themeColor="text1"/>
              </w:rPr>
            </w:pPr>
            <w:r>
              <w:rPr>
                <w:color w:val="000000" w:themeColor="text1"/>
              </w:rPr>
              <w:t>Gijs Tuinman</w:t>
            </w:r>
          </w:p>
        </w:tc>
      </w:tr>
    </w:tbl>
    <w:p w:rsidR="00A42B10" w:rsidP="00CC6BF3" w:rsidRDefault="00A42B10" w14:paraId="6B2F1E94"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769F" w16cex:dateUtc="2024-08-06T08:17:00Z"/>
  <w16cex:commentExtensible w16cex:durableId="2A572E57" w16cex:dateUtc="2024-08-02T08:07:00Z"/>
  <w16cex:commentExtensible w16cex:durableId="2A5C7666" w16cex:dateUtc="2024-08-06T08:16:00Z"/>
  <w16cex:commentExtensible w16cex:durableId="2A5C738C" w16cex:dateUtc="2024-08-06T08:03:00Z"/>
  <w16cex:commentExtensible w16cex:durableId="2A5C6FF4" w16cex:dateUtc="2024-08-06T07:48:00Z"/>
  <w16cex:commentExtensible w16cex:durableId="2A572F24" w16cex:dateUtc="2024-08-02T08:10:00Z"/>
  <w16cex:commentExtensible w16cex:durableId="2A5C6CD5" w16cex:dateUtc="2024-08-06T07:35:00Z"/>
  <w16cex:commentExtensible w16cex:durableId="2A572F7E" w16cex:dateUtc="2024-08-02T08:12:00Z"/>
  <w16cex:commentExtensible w16cex:durableId="2A5C6D91" w16cex:dateUtc="2024-08-06T07:38:00Z"/>
  <w16cex:commentExtensible w16cex:durableId="2A5C7780" w16cex:dateUtc="2024-08-06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14205" w16cid:durableId="2A5C769F"/>
  <w16cid:commentId w16cid:paraId="649FCF29" w16cid:durableId="2A572E57"/>
  <w16cid:commentId w16cid:paraId="432F3DCA" w16cid:durableId="2A5C7666"/>
  <w16cid:commentId w16cid:paraId="4C40407E" w16cid:durableId="2A5C738C"/>
  <w16cid:commentId w16cid:paraId="7262B60F" w16cid:durableId="2A5C6FF4"/>
  <w16cid:commentId w16cid:paraId="1D93F2BF" w16cid:durableId="2A572F24"/>
  <w16cid:commentId w16cid:paraId="2149D886" w16cid:durableId="2A5C6CD5"/>
  <w16cid:commentId w16cid:paraId="1BCD2E15" w16cid:durableId="2A572F7E"/>
  <w16cid:commentId w16cid:paraId="28FDE612" w16cid:durableId="2A5C6D91"/>
  <w16cid:commentId w16cid:paraId="45ECCA93" w16cid:durableId="2A5C77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BDCE4" w14:textId="77777777" w:rsidR="00715392" w:rsidRDefault="00715392" w:rsidP="001E0A0C">
      <w:r>
        <w:separator/>
      </w:r>
    </w:p>
  </w:endnote>
  <w:endnote w:type="continuationSeparator" w:id="0">
    <w:p w14:paraId="549F5415" w14:textId="77777777" w:rsidR="00715392" w:rsidRDefault="0071539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5990" w14:textId="77777777" w:rsidR="00585BC3" w:rsidRDefault="00585B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1BC8" w14:textId="77777777" w:rsidR="00CB2B10" w:rsidRDefault="00CB2B10"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2B10" w14:paraId="29AFDB17" w14:textId="77777777">
                            <w:trPr>
                              <w:trHeight w:val="1274"/>
                            </w:trPr>
                            <w:tc>
                              <w:tcPr>
                                <w:tcW w:w="1968" w:type="dxa"/>
                                <w:tcMar>
                                  <w:left w:w="0" w:type="dxa"/>
                                  <w:right w:w="0" w:type="dxa"/>
                                </w:tcMar>
                                <w:vAlign w:val="bottom"/>
                              </w:tcPr>
                              <w:p w14:paraId="209F7BA5" w14:textId="77777777" w:rsidR="00CB2B10" w:rsidRDefault="00CB2B10">
                                <w:pPr>
                                  <w:pStyle w:val="Rubricering-Huisstijl"/>
                                </w:pPr>
                              </w:p>
                              <w:p w14:paraId="21573598" w14:textId="77777777" w:rsidR="00CB2B10" w:rsidRDefault="00CB2B10">
                                <w:pPr>
                                  <w:pStyle w:val="Rubricering-Huisstijl"/>
                                </w:pPr>
                              </w:p>
                            </w:tc>
                          </w:tr>
                        </w:tbl>
                        <w:p w14:paraId="5A74D726" w14:textId="77777777" w:rsidR="00CB2B10" w:rsidRDefault="00CB2B10">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2B10" w14:paraId="29AFDB17" w14:textId="77777777">
                      <w:trPr>
                        <w:trHeight w:val="1274"/>
                      </w:trPr>
                      <w:tc>
                        <w:tcPr>
                          <w:tcW w:w="1968" w:type="dxa"/>
                          <w:tcMar>
                            <w:left w:w="0" w:type="dxa"/>
                            <w:right w:w="0" w:type="dxa"/>
                          </w:tcMar>
                          <w:vAlign w:val="bottom"/>
                        </w:tcPr>
                        <w:p w14:paraId="209F7BA5" w14:textId="77777777" w:rsidR="00CB2B10" w:rsidRDefault="00CB2B10">
                          <w:pPr>
                            <w:pStyle w:val="Rubricering-Huisstijl"/>
                          </w:pPr>
                        </w:p>
                        <w:p w14:paraId="21573598" w14:textId="77777777" w:rsidR="00CB2B10" w:rsidRDefault="00CB2B10">
                          <w:pPr>
                            <w:pStyle w:val="Rubricering-Huisstijl"/>
                          </w:pPr>
                        </w:p>
                      </w:tc>
                    </w:tr>
                  </w:tbl>
                  <w:p w14:paraId="5A74D726" w14:textId="77777777" w:rsidR="00CB2B10" w:rsidRDefault="00CB2B1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BBED" w14:textId="77777777" w:rsidR="00585BC3" w:rsidRDefault="00585B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61B06" w14:textId="77777777" w:rsidR="00715392" w:rsidRDefault="00715392" w:rsidP="001E0A0C">
      <w:r>
        <w:separator/>
      </w:r>
    </w:p>
  </w:footnote>
  <w:footnote w:type="continuationSeparator" w:id="0">
    <w:p w14:paraId="24AFBB70" w14:textId="77777777" w:rsidR="00715392" w:rsidRDefault="00715392"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A554" w14:textId="77777777" w:rsidR="00585BC3" w:rsidRDefault="00585B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F766" w14:textId="77777777" w:rsidR="00CB2B10" w:rsidRDefault="00CB2B10"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1320676" w14:textId="210EEE2D" w:rsidR="00CB2B10" w:rsidRDefault="00CB2B10">
                          <w:pPr>
                            <w:pStyle w:val="Paginanummer-Huisstijl"/>
                          </w:pPr>
                          <w:r>
                            <w:t xml:space="preserve">Pagina </w:t>
                          </w:r>
                          <w:r>
                            <w:fldChar w:fldCharType="begin"/>
                          </w:r>
                          <w:r>
                            <w:instrText xml:space="preserve"> PAGE    \* MERGEFORMAT </w:instrText>
                          </w:r>
                          <w:r>
                            <w:fldChar w:fldCharType="separate"/>
                          </w:r>
                          <w:r w:rsidR="005C3D29">
                            <w:rPr>
                              <w:noProof/>
                            </w:rPr>
                            <w:t>2</w:t>
                          </w:r>
                          <w:r>
                            <w:fldChar w:fldCharType="end"/>
                          </w:r>
                          <w:r>
                            <w:t xml:space="preserve"> van </w:t>
                          </w:r>
                          <w:fldSimple w:instr=" SECTIONPAGES  \* Arabic  \* MERGEFORMAT ">
                            <w:r w:rsidR="005C3D29">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1320676" w14:textId="210EEE2D" w:rsidR="00CB2B10" w:rsidRDefault="00CB2B10">
                    <w:pPr>
                      <w:pStyle w:val="Paginanummer-Huisstijl"/>
                    </w:pPr>
                    <w:r>
                      <w:t xml:space="preserve">Pagina </w:t>
                    </w:r>
                    <w:r>
                      <w:fldChar w:fldCharType="begin"/>
                    </w:r>
                    <w:r>
                      <w:instrText xml:space="preserve"> PAGE    \* MERGEFORMAT </w:instrText>
                    </w:r>
                    <w:r>
                      <w:fldChar w:fldCharType="separate"/>
                    </w:r>
                    <w:r w:rsidR="005C3D29">
                      <w:rPr>
                        <w:noProof/>
                      </w:rPr>
                      <w:t>2</w:t>
                    </w:r>
                    <w:r>
                      <w:fldChar w:fldCharType="end"/>
                    </w:r>
                    <w:r>
                      <w:t xml:space="preserve"> van </w:t>
                    </w:r>
                    <w:fldSimple w:instr=" SECTIONPAGES  \* Arabic  \* MERGEFORMAT ">
                      <w:r w:rsidR="005C3D29">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3B09" w14:textId="75AA18B4" w:rsidR="00CB2B10" w:rsidRDefault="00CB2B1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5C3D29">
      <w:rPr>
        <w:noProof/>
      </w:rPr>
      <w:t>1</w:t>
    </w:r>
    <w:r>
      <w:fldChar w:fldCharType="end"/>
    </w:r>
    <w:r>
      <w:t xml:space="preserve"> van </w:t>
    </w:r>
    <w:fldSimple w:instr=" NUMPAGES  \* Arabic  \* MERGEFORMAT ">
      <w:r w:rsidR="005C3D29">
        <w:rPr>
          <w:noProof/>
        </w:rPr>
        <w:t>4</w:t>
      </w:r>
    </w:fldSimple>
  </w:p>
  <w:p w14:paraId="35D1A8A1" w14:textId="77777777" w:rsidR="00CB2B10" w:rsidRDefault="00CB2B10" w:rsidP="001E0A0C">
    <w:pPr>
      <w:pStyle w:val="Koptekst"/>
      <w:spacing w:after="0" w:line="240" w:lineRule="auto"/>
    </w:pPr>
  </w:p>
  <w:p w14:paraId="473EF298" w14:textId="77777777" w:rsidR="00CB2B10" w:rsidRDefault="00CB2B10" w:rsidP="001E0A0C">
    <w:pPr>
      <w:pStyle w:val="Koptekst"/>
      <w:spacing w:after="0" w:line="240" w:lineRule="auto"/>
    </w:pPr>
  </w:p>
  <w:p w14:paraId="54ED7D58" w14:textId="77777777" w:rsidR="00CB2B10" w:rsidRDefault="00CB2B10" w:rsidP="001E0A0C">
    <w:pPr>
      <w:pStyle w:val="Koptekst"/>
      <w:spacing w:after="0" w:line="240" w:lineRule="auto"/>
    </w:pPr>
  </w:p>
  <w:p w14:paraId="35EE87CA" w14:textId="77777777" w:rsidR="00CB2B10" w:rsidRDefault="00CB2B10" w:rsidP="001E0A0C">
    <w:pPr>
      <w:pStyle w:val="Koptekst"/>
      <w:spacing w:after="0" w:line="240" w:lineRule="auto"/>
    </w:pPr>
  </w:p>
  <w:p w14:paraId="1ADC1CAA" w14:textId="77777777" w:rsidR="00CB2B10" w:rsidRDefault="00CB2B10" w:rsidP="001E0A0C">
    <w:pPr>
      <w:pStyle w:val="Koptekst"/>
      <w:spacing w:after="0" w:line="240" w:lineRule="auto"/>
    </w:pPr>
  </w:p>
  <w:p w14:paraId="094455CA" w14:textId="77777777" w:rsidR="00CB2B10" w:rsidRDefault="00CB2B10" w:rsidP="001E0A0C">
    <w:pPr>
      <w:pStyle w:val="Koptekst"/>
      <w:spacing w:after="0" w:line="240" w:lineRule="auto"/>
    </w:pPr>
  </w:p>
  <w:p w14:paraId="1D9BEA6C" w14:textId="77777777" w:rsidR="00CB2B10" w:rsidRDefault="00CB2B10" w:rsidP="001E0A0C">
    <w:pPr>
      <w:pStyle w:val="Koptekst"/>
      <w:spacing w:after="0" w:line="240" w:lineRule="auto"/>
    </w:pPr>
  </w:p>
  <w:p w14:paraId="017CE204" w14:textId="77777777" w:rsidR="00CB2B10" w:rsidRDefault="00CB2B10" w:rsidP="001E0A0C">
    <w:pPr>
      <w:pStyle w:val="Koptekst"/>
      <w:spacing w:after="0" w:line="240" w:lineRule="auto"/>
    </w:pPr>
  </w:p>
  <w:p w14:paraId="2EF77072" w14:textId="77777777" w:rsidR="00CB2B10" w:rsidRDefault="00CB2B10" w:rsidP="001E0A0C">
    <w:pPr>
      <w:pStyle w:val="Koptekst"/>
      <w:spacing w:after="0" w:line="240" w:lineRule="auto"/>
    </w:pPr>
  </w:p>
  <w:p w14:paraId="65A199B5" w14:textId="77777777" w:rsidR="00CB2B10" w:rsidRDefault="00CB2B10" w:rsidP="001E0A0C">
    <w:pPr>
      <w:pStyle w:val="Koptekst"/>
      <w:spacing w:after="0" w:line="240" w:lineRule="auto"/>
    </w:pPr>
  </w:p>
  <w:p w14:paraId="0392A75C" w14:textId="77777777" w:rsidR="00CB2B10" w:rsidRDefault="00CB2B10" w:rsidP="001E0A0C">
    <w:pPr>
      <w:pStyle w:val="Koptekst"/>
      <w:spacing w:after="0" w:line="240" w:lineRule="auto"/>
    </w:pPr>
  </w:p>
  <w:p w14:paraId="2C2B341D" w14:textId="77777777" w:rsidR="00CB2B10" w:rsidRDefault="00CB2B10"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B2B10" w14:paraId="100D66B0" w14:textId="77777777">
                            <w:trPr>
                              <w:trHeight w:hRule="exact" w:val="1049"/>
                            </w:trPr>
                            <w:tc>
                              <w:tcPr>
                                <w:tcW w:w="1983" w:type="dxa"/>
                                <w:tcMar>
                                  <w:left w:w="0" w:type="dxa"/>
                                  <w:right w:w="0" w:type="dxa"/>
                                </w:tcMar>
                                <w:vAlign w:val="bottom"/>
                              </w:tcPr>
                              <w:p w14:paraId="2E59C425" w14:textId="77777777" w:rsidR="00CB2B10" w:rsidRDefault="00CB2B10">
                                <w:pPr>
                                  <w:pStyle w:val="Rubricering-Huisstijl"/>
                                </w:pPr>
                              </w:p>
                              <w:p w14:paraId="44C68C9E" w14:textId="77777777" w:rsidR="00CB2B10" w:rsidRDefault="00CB2B10">
                                <w:pPr>
                                  <w:pStyle w:val="Rubricering-Huisstijl"/>
                                </w:pPr>
                              </w:p>
                            </w:tc>
                          </w:tr>
                        </w:tbl>
                        <w:p w14:paraId="6D2926E1" w14:textId="77777777" w:rsidR="00CB2B10" w:rsidRDefault="00CB2B10"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B2B10" w14:paraId="100D66B0" w14:textId="77777777">
                      <w:trPr>
                        <w:trHeight w:hRule="exact" w:val="1049"/>
                      </w:trPr>
                      <w:tc>
                        <w:tcPr>
                          <w:tcW w:w="1983" w:type="dxa"/>
                          <w:tcMar>
                            <w:left w:w="0" w:type="dxa"/>
                            <w:right w:w="0" w:type="dxa"/>
                          </w:tcMar>
                          <w:vAlign w:val="bottom"/>
                        </w:tcPr>
                        <w:p w14:paraId="2E59C425" w14:textId="77777777" w:rsidR="00CB2B10" w:rsidRDefault="00CB2B10">
                          <w:pPr>
                            <w:pStyle w:val="Rubricering-Huisstijl"/>
                          </w:pPr>
                        </w:p>
                        <w:p w14:paraId="44C68C9E" w14:textId="77777777" w:rsidR="00CB2B10" w:rsidRDefault="00CB2B10">
                          <w:pPr>
                            <w:pStyle w:val="Rubricering-Huisstijl"/>
                          </w:pPr>
                        </w:p>
                      </w:tc>
                    </w:tr>
                  </w:tbl>
                  <w:p w14:paraId="6D2926E1" w14:textId="77777777" w:rsidR="00CB2B10" w:rsidRDefault="00CB2B10"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2B10" w14:paraId="697B2082" w14:textId="77777777">
                            <w:trPr>
                              <w:trHeight w:val="1274"/>
                            </w:trPr>
                            <w:tc>
                              <w:tcPr>
                                <w:tcW w:w="1968" w:type="dxa"/>
                                <w:tcMar>
                                  <w:left w:w="0" w:type="dxa"/>
                                  <w:right w:w="0" w:type="dxa"/>
                                </w:tcMar>
                                <w:vAlign w:val="bottom"/>
                              </w:tcPr>
                              <w:p w14:paraId="0D397159" w14:textId="77777777" w:rsidR="00CB2B10" w:rsidRDefault="00CB2B10">
                                <w:pPr>
                                  <w:pStyle w:val="Rubricering-Huisstijl"/>
                                </w:pPr>
                              </w:p>
                              <w:p w14:paraId="6FBE1010" w14:textId="77777777" w:rsidR="00CB2B10" w:rsidRDefault="00CB2B10">
                                <w:pPr>
                                  <w:pStyle w:val="Rubricering-Huisstijl"/>
                                </w:pPr>
                              </w:p>
                            </w:tc>
                          </w:tr>
                        </w:tbl>
                        <w:p w14:paraId="339B0E3E" w14:textId="77777777" w:rsidR="00CB2B10" w:rsidRDefault="00CB2B10"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B2B10" w14:paraId="697B2082" w14:textId="77777777">
                      <w:trPr>
                        <w:trHeight w:val="1274"/>
                      </w:trPr>
                      <w:tc>
                        <w:tcPr>
                          <w:tcW w:w="1968" w:type="dxa"/>
                          <w:tcMar>
                            <w:left w:w="0" w:type="dxa"/>
                            <w:right w:w="0" w:type="dxa"/>
                          </w:tcMar>
                          <w:vAlign w:val="bottom"/>
                        </w:tcPr>
                        <w:p w14:paraId="0D397159" w14:textId="77777777" w:rsidR="00CB2B10" w:rsidRDefault="00CB2B10">
                          <w:pPr>
                            <w:pStyle w:val="Rubricering-Huisstijl"/>
                          </w:pPr>
                        </w:p>
                        <w:p w14:paraId="6FBE1010" w14:textId="77777777" w:rsidR="00CB2B10" w:rsidRDefault="00CB2B10">
                          <w:pPr>
                            <w:pStyle w:val="Rubricering-Huisstijl"/>
                          </w:pPr>
                        </w:p>
                      </w:tc>
                    </w:tr>
                  </w:tbl>
                  <w:p w14:paraId="339B0E3E" w14:textId="77777777" w:rsidR="00CB2B10" w:rsidRDefault="00CB2B10"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8C80D0F"/>
    <w:multiLevelType w:val="hybridMultilevel"/>
    <w:tmpl w:val="49B89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B43CEC"/>
    <w:multiLevelType w:val="hybridMultilevel"/>
    <w:tmpl w:val="541AF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2F6A217D"/>
    <w:multiLevelType w:val="hybridMultilevel"/>
    <w:tmpl w:val="760E78A0"/>
    <w:lvl w:ilvl="0" w:tplc="0413000F">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3" w15:restartNumberingAfterBreak="0">
    <w:nsid w:val="3E9D42A6"/>
    <w:multiLevelType w:val="hybridMultilevel"/>
    <w:tmpl w:val="785CD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872074"/>
    <w:multiLevelType w:val="multilevel"/>
    <w:tmpl w:val="5D02943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C87119"/>
    <w:multiLevelType w:val="hybridMultilevel"/>
    <w:tmpl w:val="817A89DC"/>
    <w:lvl w:ilvl="0" w:tplc="C10C716A">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D459D4"/>
    <w:multiLevelType w:val="multilevel"/>
    <w:tmpl w:val="00F27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3"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F14E08"/>
    <w:multiLevelType w:val="multilevel"/>
    <w:tmpl w:val="00F27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6" w15:restartNumberingAfterBreak="0">
    <w:nsid w:val="7E2A61AE"/>
    <w:multiLevelType w:val="hybridMultilevel"/>
    <w:tmpl w:val="DA860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E27950"/>
    <w:multiLevelType w:val="multilevel"/>
    <w:tmpl w:val="5D02943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23"/>
  </w:num>
  <w:num w:numId="8">
    <w:abstractNumId w:val="8"/>
  </w:num>
  <w:num w:numId="9">
    <w:abstractNumId w:val="19"/>
  </w:num>
  <w:num w:numId="10">
    <w:abstractNumId w:val="16"/>
  </w:num>
  <w:num w:numId="11">
    <w:abstractNumId w:val="2"/>
  </w:num>
  <w:num w:numId="12">
    <w:abstractNumId w:val="18"/>
  </w:num>
  <w:num w:numId="13">
    <w:abstractNumId w:val="6"/>
  </w:num>
  <w:num w:numId="14">
    <w:abstractNumId w:val="24"/>
  </w:num>
  <w:num w:numId="15">
    <w:abstractNumId w:val="21"/>
  </w:num>
  <w:num w:numId="16">
    <w:abstractNumId w:val="10"/>
  </w:num>
  <w:num w:numId="17">
    <w:abstractNumId w:val="15"/>
  </w:num>
  <w:num w:numId="18">
    <w:abstractNumId w:val="17"/>
  </w:num>
  <w:num w:numId="19">
    <w:abstractNumId w:val="13"/>
  </w:num>
  <w:num w:numId="20">
    <w:abstractNumId w:val="20"/>
  </w:num>
  <w:num w:numId="21">
    <w:abstractNumId w:val="26"/>
  </w:num>
  <w:num w:numId="22">
    <w:abstractNumId w:val="22"/>
  </w:num>
  <w:num w:numId="23">
    <w:abstractNumId w:val="12"/>
  </w:num>
  <w:num w:numId="24">
    <w:abstractNumId w:val="1"/>
  </w:num>
  <w:num w:numId="25">
    <w:abstractNumId w:val="9"/>
  </w:num>
  <w:num w:numId="26">
    <w:abstractNumId w:val="25"/>
  </w:num>
  <w:num w:numId="27">
    <w:abstractNumId w:val="14"/>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B7"/>
    <w:rsid w:val="0000462D"/>
    <w:rsid w:val="00007ABC"/>
    <w:rsid w:val="000214CC"/>
    <w:rsid w:val="000503BE"/>
    <w:rsid w:val="0005187F"/>
    <w:rsid w:val="000537BF"/>
    <w:rsid w:val="00057DFD"/>
    <w:rsid w:val="000605A5"/>
    <w:rsid w:val="00070F18"/>
    <w:rsid w:val="000718DF"/>
    <w:rsid w:val="00076014"/>
    <w:rsid w:val="00090FCA"/>
    <w:rsid w:val="00096025"/>
    <w:rsid w:val="000C5B9A"/>
    <w:rsid w:val="000D0975"/>
    <w:rsid w:val="000D19DB"/>
    <w:rsid w:val="000D450A"/>
    <w:rsid w:val="000E1170"/>
    <w:rsid w:val="000E25B3"/>
    <w:rsid w:val="000E59F5"/>
    <w:rsid w:val="000F4AD1"/>
    <w:rsid w:val="00113A09"/>
    <w:rsid w:val="00114173"/>
    <w:rsid w:val="0012473F"/>
    <w:rsid w:val="001261CA"/>
    <w:rsid w:val="00126A63"/>
    <w:rsid w:val="00135408"/>
    <w:rsid w:val="00145577"/>
    <w:rsid w:val="00147198"/>
    <w:rsid w:val="00147A6B"/>
    <w:rsid w:val="0015319A"/>
    <w:rsid w:val="00157BA0"/>
    <w:rsid w:val="00172E67"/>
    <w:rsid w:val="00173BA8"/>
    <w:rsid w:val="00174B84"/>
    <w:rsid w:val="001863E9"/>
    <w:rsid w:val="001874DF"/>
    <w:rsid w:val="00197AA3"/>
    <w:rsid w:val="001A38C2"/>
    <w:rsid w:val="001A4B9E"/>
    <w:rsid w:val="001A5484"/>
    <w:rsid w:val="001A715A"/>
    <w:rsid w:val="001B1B69"/>
    <w:rsid w:val="001B1B99"/>
    <w:rsid w:val="001B3349"/>
    <w:rsid w:val="001B5292"/>
    <w:rsid w:val="001C42AA"/>
    <w:rsid w:val="001C44AE"/>
    <w:rsid w:val="001D20F6"/>
    <w:rsid w:val="001D2F4B"/>
    <w:rsid w:val="001D34D1"/>
    <w:rsid w:val="001D354F"/>
    <w:rsid w:val="001D35F1"/>
    <w:rsid w:val="001D78E8"/>
    <w:rsid w:val="001E0A0C"/>
    <w:rsid w:val="001E2263"/>
    <w:rsid w:val="001E23C4"/>
    <w:rsid w:val="001E3BB7"/>
    <w:rsid w:val="001E45EE"/>
    <w:rsid w:val="001F2B92"/>
    <w:rsid w:val="001F5313"/>
    <w:rsid w:val="001F5650"/>
    <w:rsid w:val="0020331B"/>
    <w:rsid w:val="00207E9C"/>
    <w:rsid w:val="00210349"/>
    <w:rsid w:val="00212801"/>
    <w:rsid w:val="002161F3"/>
    <w:rsid w:val="002238A6"/>
    <w:rsid w:val="002244E8"/>
    <w:rsid w:val="002341CC"/>
    <w:rsid w:val="00234F08"/>
    <w:rsid w:val="00241EB6"/>
    <w:rsid w:val="0024266E"/>
    <w:rsid w:val="00245A93"/>
    <w:rsid w:val="00250F8E"/>
    <w:rsid w:val="00255208"/>
    <w:rsid w:val="002628EA"/>
    <w:rsid w:val="002635AF"/>
    <w:rsid w:val="00264F8A"/>
    <w:rsid w:val="00265D42"/>
    <w:rsid w:val="002734B1"/>
    <w:rsid w:val="00273ACE"/>
    <w:rsid w:val="002745FE"/>
    <w:rsid w:val="00275E7F"/>
    <w:rsid w:val="00283B56"/>
    <w:rsid w:val="00291F1F"/>
    <w:rsid w:val="002970D1"/>
    <w:rsid w:val="002B2BE9"/>
    <w:rsid w:val="002B48F6"/>
    <w:rsid w:val="002C06C7"/>
    <w:rsid w:val="002C1FD5"/>
    <w:rsid w:val="002C2D8E"/>
    <w:rsid w:val="002D2E33"/>
    <w:rsid w:val="002E2649"/>
    <w:rsid w:val="002E37E8"/>
    <w:rsid w:val="002F3579"/>
    <w:rsid w:val="00304E2E"/>
    <w:rsid w:val="0030658F"/>
    <w:rsid w:val="0031619B"/>
    <w:rsid w:val="00316E6F"/>
    <w:rsid w:val="003177F0"/>
    <w:rsid w:val="003225F1"/>
    <w:rsid w:val="00325F32"/>
    <w:rsid w:val="00332C4E"/>
    <w:rsid w:val="00334308"/>
    <w:rsid w:val="003433DF"/>
    <w:rsid w:val="00343458"/>
    <w:rsid w:val="00372F73"/>
    <w:rsid w:val="00373298"/>
    <w:rsid w:val="00375465"/>
    <w:rsid w:val="00385E03"/>
    <w:rsid w:val="003918AF"/>
    <w:rsid w:val="00395889"/>
    <w:rsid w:val="003A2784"/>
    <w:rsid w:val="003A5399"/>
    <w:rsid w:val="003B0A23"/>
    <w:rsid w:val="003C01F5"/>
    <w:rsid w:val="003C0880"/>
    <w:rsid w:val="003C3279"/>
    <w:rsid w:val="003C4AA2"/>
    <w:rsid w:val="003D4607"/>
    <w:rsid w:val="003D6BE4"/>
    <w:rsid w:val="003D7FAA"/>
    <w:rsid w:val="003E2999"/>
    <w:rsid w:val="003F2336"/>
    <w:rsid w:val="003F46A3"/>
    <w:rsid w:val="003F4F40"/>
    <w:rsid w:val="003F72C3"/>
    <w:rsid w:val="003F7896"/>
    <w:rsid w:val="00404657"/>
    <w:rsid w:val="0040612F"/>
    <w:rsid w:val="00421CB2"/>
    <w:rsid w:val="00423DED"/>
    <w:rsid w:val="0042405C"/>
    <w:rsid w:val="0042438A"/>
    <w:rsid w:val="00424BBD"/>
    <w:rsid w:val="00424CCD"/>
    <w:rsid w:val="0044385C"/>
    <w:rsid w:val="004472CC"/>
    <w:rsid w:val="00447563"/>
    <w:rsid w:val="00460D4E"/>
    <w:rsid w:val="00461DCA"/>
    <w:rsid w:val="004942D2"/>
    <w:rsid w:val="004B0E47"/>
    <w:rsid w:val="004B4B59"/>
    <w:rsid w:val="004C06E9"/>
    <w:rsid w:val="004D5253"/>
    <w:rsid w:val="004E2B06"/>
    <w:rsid w:val="004E53B5"/>
    <w:rsid w:val="004F413A"/>
    <w:rsid w:val="004F44AF"/>
    <w:rsid w:val="0050690D"/>
    <w:rsid w:val="0052640B"/>
    <w:rsid w:val="0053471E"/>
    <w:rsid w:val="005348AC"/>
    <w:rsid w:val="00534BC3"/>
    <w:rsid w:val="00542359"/>
    <w:rsid w:val="005467EB"/>
    <w:rsid w:val="00554568"/>
    <w:rsid w:val="00566704"/>
    <w:rsid w:val="005668CB"/>
    <w:rsid w:val="0057427F"/>
    <w:rsid w:val="0057482D"/>
    <w:rsid w:val="00585BC3"/>
    <w:rsid w:val="00587114"/>
    <w:rsid w:val="00596A52"/>
    <w:rsid w:val="0059749C"/>
    <w:rsid w:val="005A2A6C"/>
    <w:rsid w:val="005A50BA"/>
    <w:rsid w:val="005B516F"/>
    <w:rsid w:val="005C3D29"/>
    <w:rsid w:val="005C4B86"/>
    <w:rsid w:val="005D1E20"/>
    <w:rsid w:val="005D2AE9"/>
    <w:rsid w:val="005D33EB"/>
    <w:rsid w:val="005D5F99"/>
    <w:rsid w:val="005E51A9"/>
    <w:rsid w:val="005E6F0F"/>
    <w:rsid w:val="005E7487"/>
    <w:rsid w:val="005F0894"/>
    <w:rsid w:val="006003A0"/>
    <w:rsid w:val="0060422E"/>
    <w:rsid w:val="0062137C"/>
    <w:rsid w:val="006241DB"/>
    <w:rsid w:val="006257EB"/>
    <w:rsid w:val="00626F8C"/>
    <w:rsid w:val="006441DF"/>
    <w:rsid w:val="00646C84"/>
    <w:rsid w:val="0065060E"/>
    <w:rsid w:val="00652223"/>
    <w:rsid w:val="0065485A"/>
    <w:rsid w:val="00655408"/>
    <w:rsid w:val="00664DFF"/>
    <w:rsid w:val="0067268C"/>
    <w:rsid w:val="00675E64"/>
    <w:rsid w:val="006A0D68"/>
    <w:rsid w:val="006B2A52"/>
    <w:rsid w:val="006B51CD"/>
    <w:rsid w:val="006D0865"/>
    <w:rsid w:val="006D4855"/>
    <w:rsid w:val="006D4DE7"/>
    <w:rsid w:val="006D6B61"/>
    <w:rsid w:val="006E32AA"/>
    <w:rsid w:val="006F31A8"/>
    <w:rsid w:val="007008BD"/>
    <w:rsid w:val="00701FEB"/>
    <w:rsid w:val="0070547E"/>
    <w:rsid w:val="0071103C"/>
    <w:rsid w:val="00715023"/>
    <w:rsid w:val="00715392"/>
    <w:rsid w:val="0072417E"/>
    <w:rsid w:val="00732C93"/>
    <w:rsid w:val="00736B0C"/>
    <w:rsid w:val="00743FC8"/>
    <w:rsid w:val="00747697"/>
    <w:rsid w:val="007549D9"/>
    <w:rsid w:val="00760CB7"/>
    <w:rsid w:val="007653AA"/>
    <w:rsid w:val="00765C53"/>
    <w:rsid w:val="00767792"/>
    <w:rsid w:val="0078081B"/>
    <w:rsid w:val="00780D16"/>
    <w:rsid w:val="007839E6"/>
    <w:rsid w:val="00791C0F"/>
    <w:rsid w:val="007A2822"/>
    <w:rsid w:val="007A4942"/>
    <w:rsid w:val="007B0B76"/>
    <w:rsid w:val="007B4D24"/>
    <w:rsid w:val="007C6A73"/>
    <w:rsid w:val="007D2AD8"/>
    <w:rsid w:val="007D75C6"/>
    <w:rsid w:val="007D7C6E"/>
    <w:rsid w:val="007F1449"/>
    <w:rsid w:val="00801481"/>
    <w:rsid w:val="0080296D"/>
    <w:rsid w:val="00803B7B"/>
    <w:rsid w:val="00804927"/>
    <w:rsid w:val="00824F61"/>
    <w:rsid w:val="00834709"/>
    <w:rsid w:val="00837C7F"/>
    <w:rsid w:val="008655E7"/>
    <w:rsid w:val="00874163"/>
    <w:rsid w:val="00875952"/>
    <w:rsid w:val="00881E10"/>
    <w:rsid w:val="00885B51"/>
    <w:rsid w:val="00886CF8"/>
    <w:rsid w:val="00887475"/>
    <w:rsid w:val="00887812"/>
    <w:rsid w:val="00894290"/>
    <w:rsid w:val="008967D1"/>
    <w:rsid w:val="008A5130"/>
    <w:rsid w:val="008B4B84"/>
    <w:rsid w:val="008C1103"/>
    <w:rsid w:val="008C2A38"/>
    <w:rsid w:val="008D0DB9"/>
    <w:rsid w:val="008D2C06"/>
    <w:rsid w:val="008D681B"/>
    <w:rsid w:val="008E1769"/>
    <w:rsid w:val="008E2670"/>
    <w:rsid w:val="008F1831"/>
    <w:rsid w:val="008F5563"/>
    <w:rsid w:val="00900EAB"/>
    <w:rsid w:val="00910062"/>
    <w:rsid w:val="0091481A"/>
    <w:rsid w:val="00915D87"/>
    <w:rsid w:val="0092106C"/>
    <w:rsid w:val="0093242C"/>
    <w:rsid w:val="00964168"/>
    <w:rsid w:val="00965521"/>
    <w:rsid w:val="00971A71"/>
    <w:rsid w:val="0098052A"/>
    <w:rsid w:val="00981162"/>
    <w:rsid w:val="0098313C"/>
    <w:rsid w:val="0099070B"/>
    <w:rsid w:val="009911EA"/>
    <w:rsid w:val="00992639"/>
    <w:rsid w:val="00995FC0"/>
    <w:rsid w:val="009A0B66"/>
    <w:rsid w:val="009B2E39"/>
    <w:rsid w:val="009C283A"/>
    <w:rsid w:val="009C5173"/>
    <w:rsid w:val="009D222F"/>
    <w:rsid w:val="009D4D9A"/>
    <w:rsid w:val="009E11D5"/>
    <w:rsid w:val="009F01F6"/>
    <w:rsid w:val="009F741F"/>
    <w:rsid w:val="00A01699"/>
    <w:rsid w:val="00A0725B"/>
    <w:rsid w:val="00A17844"/>
    <w:rsid w:val="00A20678"/>
    <w:rsid w:val="00A212C8"/>
    <w:rsid w:val="00A25A2B"/>
    <w:rsid w:val="00A365BF"/>
    <w:rsid w:val="00A41B24"/>
    <w:rsid w:val="00A42B10"/>
    <w:rsid w:val="00A43B60"/>
    <w:rsid w:val="00A4515C"/>
    <w:rsid w:val="00A473A2"/>
    <w:rsid w:val="00A54BF5"/>
    <w:rsid w:val="00A63FE2"/>
    <w:rsid w:val="00A70CA4"/>
    <w:rsid w:val="00A73535"/>
    <w:rsid w:val="00A744EF"/>
    <w:rsid w:val="00A74EB5"/>
    <w:rsid w:val="00A842C3"/>
    <w:rsid w:val="00A85074"/>
    <w:rsid w:val="00A86424"/>
    <w:rsid w:val="00A90F91"/>
    <w:rsid w:val="00A91F4F"/>
    <w:rsid w:val="00A93006"/>
    <w:rsid w:val="00AA5907"/>
    <w:rsid w:val="00AA62CF"/>
    <w:rsid w:val="00AB41E2"/>
    <w:rsid w:val="00AB7285"/>
    <w:rsid w:val="00AB7964"/>
    <w:rsid w:val="00AC0AD7"/>
    <w:rsid w:val="00AC67B6"/>
    <w:rsid w:val="00AD251B"/>
    <w:rsid w:val="00AD4968"/>
    <w:rsid w:val="00AD621D"/>
    <w:rsid w:val="00AE0C75"/>
    <w:rsid w:val="00AE4C45"/>
    <w:rsid w:val="00AE4F70"/>
    <w:rsid w:val="00AE550D"/>
    <w:rsid w:val="00AE5BFC"/>
    <w:rsid w:val="00B06846"/>
    <w:rsid w:val="00B07EF5"/>
    <w:rsid w:val="00B1421F"/>
    <w:rsid w:val="00B142BB"/>
    <w:rsid w:val="00B47722"/>
    <w:rsid w:val="00B50A5F"/>
    <w:rsid w:val="00B61F48"/>
    <w:rsid w:val="00B648BB"/>
    <w:rsid w:val="00B64D23"/>
    <w:rsid w:val="00B669CF"/>
    <w:rsid w:val="00B821DA"/>
    <w:rsid w:val="00B91A7C"/>
    <w:rsid w:val="00B934C7"/>
    <w:rsid w:val="00BA2B9D"/>
    <w:rsid w:val="00BA4448"/>
    <w:rsid w:val="00BB0FCC"/>
    <w:rsid w:val="00BB2DA9"/>
    <w:rsid w:val="00BB69DA"/>
    <w:rsid w:val="00BC1A6B"/>
    <w:rsid w:val="00BD5867"/>
    <w:rsid w:val="00BE1E55"/>
    <w:rsid w:val="00BE2D79"/>
    <w:rsid w:val="00BE708A"/>
    <w:rsid w:val="00BF05BB"/>
    <w:rsid w:val="00BF0A0A"/>
    <w:rsid w:val="00BF2927"/>
    <w:rsid w:val="00C05768"/>
    <w:rsid w:val="00C22F7A"/>
    <w:rsid w:val="00C23CC7"/>
    <w:rsid w:val="00C26BF7"/>
    <w:rsid w:val="00C35093"/>
    <w:rsid w:val="00C3606D"/>
    <w:rsid w:val="00C370CC"/>
    <w:rsid w:val="00C42927"/>
    <w:rsid w:val="00C43F6C"/>
    <w:rsid w:val="00C45C39"/>
    <w:rsid w:val="00C45E07"/>
    <w:rsid w:val="00C45F17"/>
    <w:rsid w:val="00C539C2"/>
    <w:rsid w:val="00C55B33"/>
    <w:rsid w:val="00C70906"/>
    <w:rsid w:val="00C74745"/>
    <w:rsid w:val="00C7534F"/>
    <w:rsid w:val="00C86AF5"/>
    <w:rsid w:val="00C87479"/>
    <w:rsid w:val="00C93038"/>
    <w:rsid w:val="00C9638B"/>
    <w:rsid w:val="00CB2B10"/>
    <w:rsid w:val="00CB74C8"/>
    <w:rsid w:val="00CB7EF3"/>
    <w:rsid w:val="00CC2F95"/>
    <w:rsid w:val="00CC6480"/>
    <w:rsid w:val="00CC6BF3"/>
    <w:rsid w:val="00CD3F7B"/>
    <w:rsid w:val="00CD5FC5"/>
    <w:rsid w:val="00CD6C56"/>
    <w:rsid w:val="00CF1B9D"/>
    <w:rsid w:val="00CF3370"/>
    <w:rsid w:val="00D05C33"/>
    <w:rsid w:val="00D1163F"/>
    <w:rsid w:val="00D21110"/>
    <w:rsid w:val="00D21AAA"/>
    <w:rsid w:val="00D24A5C"/>
    <w:rsid w:val="00D24F30"/>
    <w:rsid w:val="00D26EEB"/>
    <w:rsid w:val="00D270EA"/>
    <w:rsid w:val="00D32089"/>
    <w:rsid w:val="00D33128"/>
    <w:rsid w:val="00D36E0B"/>
    <w:rsid w:val="00D42E0D"/>
    <w:rsid w:val="00D43433"/>
    <w:rsid w:val="00D75FE2"/>
    <w:rsid w:val="00D82841"/>
    <w:rsid w:val="00D8409E"/>
    <w:rsid w:val="00D86FCD"/>
    <w:rsid w:val="00D927FE"/>
    <w:rsid w:val="00D943DE"/>
    <w:rsid w:val="00D97FA3"/>
    <w:rsid w:val="00DA47C4"/>
    <w:rsid w:val="00DA72E4"/>
    <w:rsid w:val="00DB5AD2"/>
    <w:rsid w:val="00DC2AB1"/>
    <w:rsid w:val="00DD7B26"/>
    <w:rsid w:val="00DE0D2F"/>
    <w:rsid w:val="00DE57C8"/>
    <w:rsid w:val="00DE5CB5"/>
    <w:rsid w:val="00DF09E3"/>
    <w:rsid w:val="00DF0A4B"/>
    <w:rsid w:val="00DF7C21"/>
    <w:rsid w:val="00E16480"/>
    <w:rsid w:val="00E20E9A"/>
    <w:rsid w:val="00E21F42"/>
    <w:rsid w:val="00E24E54"/>
    <w:rsid w:val="00E26D15"/>
    <w:rsid w:val="00E36D52"/>
    <w:rsid w:val="00E41E85"/>
    <w:rsid w:val="00E42927"/>
    <w:rsid w:val="00E51A3A"/>
    <w:rsid w:val="00E5734B"/>
    <w:rsid w:val="00E57D29"/>
    <w:rsid w:val="00E614EB"/>
    <w:rsid w:val="00E61547"/>
    <w:rsid w:val="00E62B19"/>
    <w:rsid w:val="00E654B6"/>
    <w:rsid w:val="00E70498"/>
    <w:rsid w:val="00E72065"/>
    <w:rsid w:val="00E7249F"/>
    <w:rsid w:val="00E759DA"/>
    <w:rsid w:val="00E75FD6"/>
    <w:rsid w:val="00E77179"/>
    <w:rsid w:val="00E771D0"/>
    <w:rsid w:val="00E8200A"/>
    <w:rsid w:val="00E82438"/>
    <w:rsid w:val="00EA2766"/>
    <w:rsid w:val="00EA63DF"/>
    <w:rsid w:val="00EB2E29"/>
    <w:rsid w:val="00EB6CBE"/>
    <w:rsid w:val="00EC49B7"/>
    <w:rsid w:val="00ED3EAC"/>
    <w:rsid w:val="00EE2969"/>
    <w:rsid w:val="00EE629D"/>
    <w:rsid w:val="00EE7661"/>
    <w:rsid w:val="00F023CF"/>
    <w:rsid w:val="00F12D40"/>
    <w:rsid w:val="00F1499A"/>
    <w:rsid w:val="00F14EE4"/>
    <w:rsid w:val="00F3235A"/>
    <w:rsid w:val="00F35DEA"/>
    <w:rsid w:val="00F44B8F"/>
    <w:rsid w:val="00F50D87"/>
    <w:rsid w:val="00F525EE"/>
    <w:rsid w:val="00F53FEB"/>
    <w:rsid w:val="00F56C1D"/>
    <w:rsid w:val="00F579EA"/>
    <w:rsid w:val="00F6079D"/>
    <w:rsid w:val="00F62306"/>
    <w:rsid w:val="00F80EEB"/>
    <w:rsid w:val="00F901FE"/>
    <w:rsid w:val="00F91037"/>
    <w:rsid w:val="00F95F68"/>
    <w:rsid w:val="00FA0B2F"/>
    <w:rsid w:val="00FA7018"/>
    <w:rsid w:val="00FB1934"/>
    <w:rsid w:val="00FC418C"/>
    <w:rsid w:val="00FD12F2"/>
    <w:rsid w:val="00FD3A00"/>
    <w:rsid w:val="00FD724C"/>
    <w:rsid w:val="00FE5C72"/>
    <w:rsid w:val="00FF443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A91F4F"/>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A91F4F"/>
    <w:rPr>
      <w:rFonts w:ascii="Verdana" w:hAnsi="Verdana" w:cs="Mangal"/>
      <w:sz w:val="20"/>
      <w:szCs w:val="18"/>
    </w:rPr>
  </w:style>
  <w:style w:type="character" w:styleId="Voetnootmarkering">
    <w:name w:val="footnote reference"/>
    <w:basedOn w:val="Standaardalinea-lettertype"/>
    <w:uiPriority w:val="99"/>
    <w:semiHidden/>
    <w:unhideWhenUsed/>
    <w:rsid w:val="00A91F4F"/>
    <w:rPr>
      <w:vertAlign w:val="superscript"/>
    </w:rPr>
  </w:style>
  <w:style w:type="character" w:styleId="Verwijzingopmerking">
    <w:name w:val="annotation reference"/>
    <w:basedOn w:val="Standaardalinea-lettertype"/>
    <w:uiPriority w:val="99"/>
    <w:semiHidden/>
    <w:unhideWhenUsed/>
    <w:rsid w:val="007839E6"/>
    <w:rPr>
      <w:sz w:val="16"/>
      <w:szCs w:val="16"/>
    </w:rPr>
  </w:style>
  <w:style w:type="paragraph" w:styleId="Tekstopmerking">
    <w:name w:val="annotation text"/>
    <w:basedOn w:val="Standaard"/>
    <w:link w:val="TekstopmerkingChar"/>
    <w:uiPriority w:val="99"/>
    <w:unhideWhenUsed/>
    <w:rsid w:val="007839E6"/>
    <w:pPr>
      <w:spacing w:line="240" w:lineRule="auto"/>
    </w:pPr>
    <w:rPr>
      <w:rFonts w:cs="Mangal"/>
      <w:sz w:val="20"/>
    </w:rPr>
  </w:style>
  <w:style w:type="character" w:customStyle="1" w:styleId="TekstopmerkingChar">
    <w:name w:val="Tekst opmerking Char"/>
    <w:basedOn w:val="Standaardalinea-lettertype"/>
    <w:link w:val="Tekstopmerking"/>
    <w:uiPriority w:val="99"/>
    <w:rsid w:val="007839E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839E6"/>
    <w:rPr>
      <w:b/>
      <w:bCs/>
    </w:rPr>
  </w:style>
  <w:style w:type="character" w:customStyle="1" w:styleId="OnderwerpvanopmerkingChar">
    <w:name w:val="Onderwerp van opmerking Char"/>
    <w:basedOn w:val="TekstopmerkingChar"/>
    <w:link w:val="Onderwerpvanopmerking"/>
    <w:uiPriority w:val="99"/>
    <w:semiHidden/>
    <w:rsid w:val="007839E6"/>
    <w:rPr>
      <w:rFonts w:ascii="Verdana" w:hAnsi="Verdana" w:cs="Mangal"/>
      <w:b/>
      <w:bCs/>
      <w:sz w:val="20"/>
      <w:szCs w:val="18"/>
    </w:rPr>
  </w:style>
  <w:style w:type="paragraph" w:styleId="Revisie">
    <w:name w:val="Revision"/>
    <w:hidden/>
    <w:uiPriority w:val="99"/>
    <w:semiHidden/>
    <w:rsid w:val="00E51A3A"/>
    <w:pPr>
      <w:widowControl/>
      <w:suppressAutoHyphens w:val="0"/>
      <w:autoSpaceDN/>
      <w:textAlignment w:val="auto"/>
    </w:pPr>
    <w:rPr>
      <w:rFonts w:ascii="Verdana" w:hAnsi="Verdana" w:cs="Mangal"/>
      <w:sz w:val="18"/>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A90F91"/>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11094">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95678775">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958487051">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01710166">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52573272">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C6069F24314D37881FD03D02A91774"/>
        <w:category>
          <w:name w:val="Algemeen"/>
          <w:gallery w:val="placeholder"/>
        </w:category>
        <w:types>
          <w:type w:val="bbPlcHdr"/>
        </w:types>
        <w:behaviors>
          <w:behavior w:val="content"/>
        </w:behaviors>
        <w:guid w:val="{87C37300-9B9C-446C-8336-CC403698AAF6}"/>
      </w:docPartPr>
      <w:docPartBody>
        <w:p w:rsidR="00413A4D" w:rsidRDefault="00413A4D">
          <w:pPr>
            <w:pStyle w:val="57C6069F24314D37881FD03D02A91774"/>
          </w:pPr>
          <w:r w:rsidRPr="0059366F">
            <w:rPr>
              <w:rStyle w:val="Tekstvantijdelijkeaanduiding"/>
            </w:rPr>
            <w:t>Klik of tik om een datum in te voeren.</w:t>
          </w:r>
        </w:p>
      </w:docPartBody>
    </w:docPart>
    <w:docPart>
      <w:docPartPr>
        <w:name w:val="D01B02F484DB43D8A6D33146848728FE"/>
        <w:category>
          <w:name w:val="Algemeen"/>
          <w:gallery w:val="placeholder"/>
        </w:category>
        <w:types>
          <w:type w:val="bbPlcHdr"/>
        </w:types>
        <w:behaviors>
          <w:behavior w:val="content"/>
        </w:behaviors>
        <w:guid w:val="{F42D6EFD-9157-4AAF-A232-70A5C30C3A07}"/>
      </w:docPartPr>
      <w:docPartBody>
        <w:p w:rsidR="00413A4D" w:rsidRDefault="00413A4D">
          <w:pPr>
            <w:pStyle w:val="D01B02F484DB43D8A6D33146848728F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4D"/>
    <w:rsid w:val="00027654"/>
    <w:rsid w:val="000F73D1"/>
    <w:rsid w:val="00242549"/>
    <w:rsid w:val="00413A4D"/>
    <w:rsid w:val="004A194D"/>
    <w:rsid w:val="006E2430"/>
    <w:rsid w:val="006F506F"/>
    <w:rsid w:val="007214E0"/>
    <w:rsid w:val="007E6C0D"/>
    <w:rsid w:val="00866350"/>
    <w:rsid w:val="009B2C3A"/>
    <w:rsid w:val="009B7233"/>
    <w:rsid w:val="009B7CF1"/>
    <w:rsid w:val="00A64A51"/>
    <w:rsid w:val="00B0176F"/>
    <w:rsid w:val="00BB5436"/>
    <w:rsid w:val="00C46162"/>
    <w:rsid w:val="00CB4381"/>
    <w:rsid w:val="00DB6894"/>
    <w:rsid w:val="00E66514"/>
    <w:rsid w:val="00F70C5D"/>
    <w:rsid w:val="00FB35B0"/>
    <w:rsid w:val="00FE5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7C6069F24314D37881FD03D02A91774">
    <w:name w:val="57C6069F24314D37881FD03D02A91774"/>
  </w:style>
  <w:style w:type="paragraph" w:customStyle="1" w:styleId="D01B02F484DB43D8A6D33146848728FE">
    <w:name w:val="D01B02F484DB43D8A6D3314684872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1600</ap:Words>
  <ap:Characters>8804</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2024-12-18T14:33:00.0000000Z</dcterms:created>
  <dcterms:modified xsi:type="dcterms:W3CDTF">2024-12-18T14:34:00.0000000Z</dcterms:modified>
  <dc:description>------------------------</dc:description>
  <version/>
  <category/>
</coreProperties>
</file>