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D68F0" w:rsidR="006375AB" w:rsidP="006375AB" w:rsidRDefault="006375AB" w14:paraId="74509F1D" w14:textId="3B80BE95">
      <w:pPr>
        <w:spacing w:after="0" w:line="240" w:lineRule="auto"/>
        <w:rPr>
          <w:rFonts w:ascii="Calibri" w:hAnsi="Calibri" w:eastAsia="Times New Roman" w:cs="Calibri"/>
          <w:b/>
          <w:kern w:val="0"/>
          <w:lang w:eastAsia="nl-NL"/>
          <w14:ligatures w14:val="none"/>
        </w:rPr>
      </w:pPr>
      <w:r w:rsidRPr="006D68F0">
        <w:rPr>
          <w:rFonts w:ascii="Calibri" w:hAnsi="Calibri" w:eastAsia="Times New Roman" w:cs="Calibri"/>
          <w:b/>
          <w:kern w:val="0"/>
          <w:lang w:eastAsia="nl-NL"/>
          <w14:ligatures w14:val="none"/>
        </w:rPr>
        <w:t>Staten-Generaal</w:t>
      </w:r>
      <w:r w:rsidRPr="006D68F0">
        <w:rPr>
          <w:rFonts w:ascii="Calibri" w:hAnsi="Calibri" w:eastAsia="Times New Roman" w:cs="Calibri"/>
          <w:b/>
          <w:kern w:val="0"/>
          <w:lang w:eastAsia="nl-NL"/>
          <w14:ligatures w14:val="none"/>
        </w:rPr>
        <w:tab/>
      </w:r>
      <w:r w:rsidRPr="006D68F0" w:rsidR="006D68F0">
        <w:rPr>
          <w:rFonts w:ascii="Calibri" w:hAnsi="Calibri" w:eastAsia="Times New Roman" w:cs="Calibri"/>
          <w:b/>
          <w:kern w:val="0"/>
          <w:lang w:eastAsia="nl-NL"/>
          <w14:ligatures w14:val="none"/>
        </w:rPr>
        <w:tab/>
      </w:r>
      <w:r w:rsidRPr="006D68F0">
        <w:rPr>
          <w:rFonts w:ascii="Calibri" w:hAnsi="Calibri" w:eastAsia="Times New Roman" w:cs="Calibri"/>
          <w:b/>
          <w:kern w:val="0"/>
          <w:lang w:eastAsia="nl-NL"/>
          <w14:ligatures w14:val="none"/>
        </w:rPr>
        <w:tab/>
      </w:r>
      <w:r w:rsidRPr="006D68F0" w:rsidR="006D68F0">
        <w:rPr>
          <w:rFonts w:ascii="Calibri" w:hAnsi="Calibri" w:eastAsia="Times New Roman" w:cs="Calibri"/>
          <w:b/>
          <w:kern w:val="0"/>
          <w:lang w:eastAsia="nl-NL"/>
          <w14:ligatures w14:val="none"/>
        </w:rPr>
        <w:t>Q</w:t>
      </w:r>
      <w:r w:rsidRPr="006D68F0">
        <w:rPr>
          <w:rFonts w:ascii="Calibri" w:hAnsi="Calibri" w:eastAsia="Times New Roman" w:cs="Calibri"/>
          <w:b/>
          <w:kern w:val="0"/>
          <w:lang w:eastAsia="nl-NL"/>
          <w14:ligatures w14:val="none"/>
        </w:rPr>
        <w:tab/>
      </w:r>
      <w:r w:rsidR="006D68F0">
        <w:rPr>
          <w:rFonts w:ascii="Calibri" w:hAnsi="Calibri" w:eastAsia="Times New Roman" w:cs="Calibri"/>
          <w:b/>
          <w:kern w:val="0"/>
          <w:lang w:eastAsia="nl-NL"/>
          <w14:ligatures w14:val="none"/>
        </w:rPr>
        <w:tab/>
      </w:r>
      <w:r w:rsidRPr="006D68F0" w:rsidR="006D68F0">
        <w:rPr>
          <w:rFonts w:ascii="Calibri" w:hAnsi="Calibri" w:eastAsia="Times New Roman" w:cs="Calibri"/>
          <w:b/>
          <w:kern w:val="0"/>
          <w:lang w:eastAsia="nl-NL"/>
          <w14:ligatures w14:val="none"/>
        </w:rPr>
        <w:tab/>
      </w:r>
      <w:r w:rsidRPr="006D68F0" w:rsidR="006D68F0">
        <w:rPr>
          <w:rFonts w:ascii="Calibri" w:hAnsi="Calibri" w:eastAsia="Times New Roman" w:cs="Calibri"/>
          <w:b/>
          <w:kern w:val="0"/>
          <w:lang w:eastAsia="nl-NL"/>
          <w14:ligatures w14:val="none"/>
        </w:rPr>
        <w:tab/>
      </w:r>
      <w:r w:rsidRPr="006D68F0">
        <w:rPr>
          <w:rFonts w:ascii="Calibri" w:hAnsi="Calibri" w:eastAsia="Times New Roman" w:cs="Calibri"/>
          <w:b/>
          <w:kern w:val="0"/>
          <w:lang w:eastAsia="nl-NL"/>
          <w14:ligatures w14:val="none"/>
        </w:rPr>
        <w:tab/>
        <w:t>1/2</w:t>
      </w:r>
    </w:p>
    <w:p w:rsidRPr="006D68F0" w:rsidR="006375AB" w:rsidP="006375AB" w:rsidRDefault="006375AB" w14:paraId="53F507CE" w14:textId="77777777">
      <w:pPr>
        <w:spacing w:after="0" w:line="240" w:lineRule="auto"/>
        <w:rPr>
          <w:rFonts w:ascii="Calibri" w:hAnsi="Calibri" w:eastAsia="Times New Roman" w:cs="Calibri"/>
          <w:kern w:val="0"/>
          <w:lang w:eastAsia="nl-NL"/>
          <w14:ligatures w14:val="none"/>
        </w:rPr>
      </w:pPr>
      <w:r w:rsidRPr="006D68F0">
        <w:rPr>
          <w:rFonts w:ascii="Calibri" w:hAnsi="Calibri" w:eastAsia="Times New Roman" w:cs="Calibri"/>
          <w:kern w:val="0"/>
          <w:lang w:eastAsia="nl-NL"/>
          <w14:ligatures w14:val="none"/>
        </w:rPr>
        <w:t>Vergaderjaar 2024-2025</w:t>
      </w:r>
    </w:p>
    <w:p w:rsidRPr="006D68F0" w:rsidR="006375AB" w:rsidP="006375AB" w:rsidRDefault="006375AB" w14:paraId="7A3955CE" w14:textId="77777777">
      <w:pPr>
        <w:spacing w:after="0" w:line="240" w:lineRule="auto"/>
        <w:rPr>
          <w:rFonts w:ascii="Calibri" w:hAnsi="Calibri" w:eastAsia="Times New Roman" w:cs="Calibri"/>
          <w:kern w:val="0"/>
          <w:sz w:val="24"/>
          <w:szCs w:val="24"/>
          <w:lang w:eastAsia="nl-NL"/>
          <w14:ligatures w14:val="none"/>
        </w:rPr>
      </w:pPr>
    </w:p>
    <w:p w:rsidRPr="006D68F0" w:rsidR="006375AB" w:rsidP="006375AB" w:rsidRDefault="006375AB" w14:paraId="3164823F" w14:textId="0C9DA190">
      <w:pPr>
        <w:ind w:left="1410" w:hanging="1410"/>
        <w:rPr>
          <w:rFonts w:ascii="Calibri" w:hAnsi="Calibri" w:cs="Calibri"/>
          <w:b/>
          <w:bCs/>
        </w:rPr>
      </w:pPr>
      <w:r w:rsidRPr="006D68F0">
        <w:rPr>
          <w:rFonts w:ascii="Calibri" w:hAnsi="Calibri" w:eastAsia="Times New Roman" w:cs="Calibri"/>
          <w:b/>
          <w:kern w:val="0"/>
          <w:lang w:eastAsia="nl-NL"/>
          <w14:ligatures w14:val="none"/>
        </w:rPr>
        <w:t>35 447</w:t>
      </w:r>
      <w:r w:rsidRPr="006D68F0">
        <w:rPr>
          <w:rFonts w:ascii="Calibri" w:hAnsi="Calibri" w:eastAsia="Times New Roman" w:cs="Calibri"/>
          <w:b/>
          <w:kern w:val="0"/>
          <w:lang w:eastAsia="nl-NL"/>
          <w14:ligatures w14:val="none"/>
        </w:rPr>
        <w:tab/>
      </w:r>
      <w:r w:rsidRPr="006D68F0">
        <w:rPr>
          <w:rFonts w:ascii="Calibri" w:hAnsi="Calibri" w:eastAsia="Times New Roman" w:cs="Calibri"/>
          <w:b/>
          <w:kern w:val="0"/>
          <w:lang w:eastAsia="nl-NL"/>
          <w14:ligatures w14:val="none"/>
        </w:rPr>
        <w:tab/>
      </w:r>
      <w:r w:rsidRPr="006D68F0">
        <w:rPr>
          <w:rFonts w:ascii="Calibri" w:hAnsi="Calibri" w:cs="Calibri"/>
          <w:b/>
          <w:bCs/>
        </w:rPr>
        <w:t>Regels omtrent gegevensverwerking door samenwerkingsverbanden (Wet gegevensverwerking door samenwerkingsverbanden)</w:t>
      </w:r>
    </w:p>
    <w:p w:rsidRPr="006D68F0" w:rsidR="006375AB" w:rsidP="006375AB" w:rsidRDefault="006375AB" w14:paraId="77E5870C" w14:textId="59C3732B">
      <w:pPr>
        <w:spacing w:after="0" w:line="240" w:lineRule="auto"/>
        <w:rPr>
          <w:rFonts w:ascii="Calibri" w:hAnsi="Calibri" w:eastAsia="Times New Roman" w:cs="Calibri"/>
          <w:b/>
          <w:kern w:val="0"/>
          <w:lang w:eastAsia="nl-NL"/>
          <w14:ligatures w14:val="none"/>
        </w:rPr>
      </w:pPr>
      <w:r w:rsidRPr="006D68F0">
        <w:rPr>
          <w:rFonts w:ascii="Calibri" w:hAnsi="Calibri" w:eastAsia="Times New Roman" w:cs="Calibri"/>
          <w:b/>
          <w:kern w:val="0"/>
          <w:lang w:eastAsia="nl-NL"/>
          <w14:ligatures w14:val="none"/>
        </w:rPr>
        <w:t>Nr. 30</w:t>
      </w:r>
      <w:r w:rsidRPr="006D68F0">
        <w:rPr>
          <w:rFonts w:ascii="Calibri" w:hAnsi="Calibri" w:eastAsia="Times New Roman" w:cs="Calibri"/>
          <w:b/>
          <w:kern w:val="0"/>
          <w:lang w:eastAsia="nl-NL"/>
          <w14:ligatures w14:val="none"/>
        </w:rPr>
        <w:tab/>
      </w:r>
      <w:r w:rsidRPr="006D68F0">
        <w:rPr>
          <w:rFonts w:ascii="Calibri" w:hAnsi="Calibri" w:eastAsia="Times New Roman" w:cs="Calibri"/>
          <w:b/>
          <w:kern w:val="0"/>
          <w:lang w:eastAsia="nl-NL"/>
          <w14:ligatures w14:val="none"/>
        </w:rPr>
        <w:tab/>
        <w:t>Brief van de minister van Justitie en Veiligheid</w:t>
      </w:r>
    </w:p>
    <w:p w:rsidRPr="006D68F0" w:rsidR="006375AB" w:rsidP="006375AB" w:rsidRDefault="006375AB" w14:paraId="3B7AC13C" w14:textId="77777777">
      <w:pPr>
        <w:spacing w:after="0" w:line="240" w:lineRule="auto"/>
        <w:rPr>
          <w:rFonts w:ascii="Calibri" w:hAnsi="Calibri" w:eastAsia="Times New Roman" w:cs="Calibri"/>
          <w:b/>
          <w:kern w:val="0"/>
          <w:lang w:eastAsia="nl-NL"/>
          <w14:ligatures w14:val="none"/>
        </w:rPr>
      </w:pPr>
    </w:p>
    <w:p w:rsidRPr="006D68F0" w:rsidR="006375AB" w:rsidP="006375AB" w:rsidRDefault="006375AB" w14:paraId="6F53E799" w14:textId="17254CDD">
      <w:pPr>
        <w:spacing w:after="0" w:line="240" w:lineRule="auto"/>
        <w:rPr>
          <w:rFonts w:ascii="Calibri" w:hAnsi="Calibri" w:eastAsia="Times New Roman" w:cs="Calibri"/>
          <w:kern w:val="0"/>
          <w:lang w:eastAsia="nl-NL"/>
          <w14:ligatures w14:val="none"/>
        </w:rPr>
      </w:pPr>
      <w:r w:rsidRPr="006D68F0">
        <w:rPr>
          <w:rFonts w:ascii="Calibri" w:hAnsi="Calibri" w:eastAsia="Times New Roman" w:cs="Calibri"/>
          <w:kern w:val="0"/>
          <w:lang w:eastAsia="nl-NL"/>
          <w14:ligatures w14:val="none"/>
        </w:rPr>
        <w:t xml:space="preserve">Aan de Voorzitters van de Eerste en van </w:t>
      </w:r>
      <w:r w:rsidRPr="006D68F0" w:rsidR="006D68F0">
        <w:rPr>
          <w:rFonts w:ascii="Calibri" w:hAnsi="Calibri" w:eastAsia="Times New Roman" w:cs="Calibri"/>
          <w:kern w:val="0"/>
          <w:lang w:eastAsia="nl-NL"/>
          <w14:ligatures w14:val="none"/>
        </w:rPr>
        <w:t xml:space="preserve">de </w:t>
      </w:r>
      <w:r w:rsidRPr="006D68F0">
        <w:rPr>
          <w:rFonts w:ascii="Calibri" w:hAnsi="Calibri" w:eastAsia="Times New Roman" w:cs="Calibri"/>
          <w:kern w:val="0"/>
          <w:lang w:eastAsia="nl-NL"/>
          <w14:ligatures w14:val="none"/>
        </w:rPr>
        <w:t>Tweede Kamer der Staten-Generaal</w:t>
      </w:r>
    </w:p>
    <w:p w:rsidRPr="006D68F0" w:rsidR="006375AB" w:rsidP="006375AB" w:rsidRDefault="006375AB" w14:paraId="00E8B965" w14:textId="77777777">
      <w:pPr>
        <w:spacing w:after="0" w:line="240" w:lineRule="auto"/>
        <w:rPr>
          <w:rFonts w:ascii="Calibri" w:hAnsi="Calibri" w:eastAsia="Times New Roman" w:cs="Calibri"/>
          <w:kern w:val="0"/>
          <w:lang w:eastAsia="nl-NL"/>
          <w14:ligatures w14:val="none"/>
        </w:rPr>
      </w:pPr>
    </w:p>
    <w:p w:rsidRPr="006D68F0" w:rsidR="006375AB" w:rsidP="006375AB" w:rsidRDefault="006375AB" w14:paraId="7B1CFEE0" w14:textId="5BB5B254">
      <w:pPr>
        <w:spacing w:after="0" w:line="240" w:lineRule="auto"/>
        <w:rPr>
          <w:rFonts w:ascii="Calibri" w:hAnsi="Calibri" w:eastAsia="Times New Roman" w:cs="Calibri"/>
          <w:kern w:val="0"/>
          <w:lang w:eastAsia="nl-NL"/>
          <w14:ligatures w14:val="none"/>
        </w:rPr>
      </w:pPr>
      <w:r w:rsidRPr="006D68F0">
        <w:rPr>
          <w:rFonts w:ascii="Calibri" w:hAnsi="Calibri" w:eastAsia="Times New Roman" w:cs="Calibri"/>
          <w:kern w:val="0"/>
          <w:lang w:eastAsia="nl-NL"/>
          <w14:ligatures w14:val="none"/>
        </w:rPr>
        <w:t>Den Haag, 18 december 2024</w:t>
      </w:r>
    </w:p>
    <w:p w:rsidRPr="006D68F0" w:rsidR="006375AB" w:rsidP="006375AB" w:rsidRDefault="006375AB" w14:paraId="03650FEA" w14:textId="77777777">
      <w:pPr>
        <w:spacing w:line="276" w:lineRule="auto"/>
        <w:rPr>
          <w:rFonts w:ascii="Calibri" w:hAnsi="Calibri" w:cs="Calibri"/>
        </w:rPr>
      </w:pPr>
    </w:p>
    <w:p w:rsidRPr="006D68F0" w:rsidR="006375AB" w:rsidP="006375AB" w:rsidRDefault="006375AB" w14:paraId="572025F3" w14:textId="77777777">
      <w:pPr>
        <w:spacing w:line="276" w:lineRule="auto"/>
        <w:rPr>
          <w:rFonts w:ascii="Calibri" w:hAnsi="Calibri" w:cs="Calibri"/>
        </w:rPr>
      </w:pPr>
      <w:r w:rsidRPr="006D68F0">
        <w:rPr>
          <w:rFonts w:ascii="Calibri" w:hAnsi="Calibri" w:cs="Calibri"/>
        </w:rPr>
        <w:t>Hierbij bied ik u aan het Besluit gegevensverwerking door samenwerkingsverbanden. Op grond van de inwerkingtredingsbepaling treedt het grootste deel daarvan in werking met ingang van 1 maart 2025, tegelijk met de Wet gegevensverwerking door samenwerkingsverbanden. Voor drie artikelen is nog geen inwerkingtredingsdatum vastgesteld. Die artikelen leg ik hierbij aan u voor in het kader van de wettelijk voorgeschreven nahangprocedure, bedoeld in de artikelen 2.3, derde lid, en 2.11, derde lid, van die wet. De nahangprocedure heeft uitsluitend betrekking op de artikelen 2.1, 2.2 en 2.6 van dit besluit.</w:t>
      </w:r>
      <w:r w:rsidRPr="006D68F0">
        <w:rPr>
          <w:rStyle w:val="Voetnootmarkering"/>
          <w:rFonts w:ascii="Calibri" w:hAnsi="Calibri" w:cs="Calibri"/>
        </w:rPr>
        <w:footnoteReference w:id="1"/>
      </w:r>
      <w:r w:rsidRPr="006D68F0">
        <w:rPr>
          <w:rFonts w:ascii="Calibri" w:hAnsi="Calibri" w:cs="Calibri"/>
        </w:rPr>
        <w:t xml:space="preserve"> </w:t>
      </w:r>
      <w:bookmarkStart w:name="_Hlk181296422" w:id="0"/>
      <w:bookmarkStart w:name="_Hlk181296446" w:id="1"/>
      <w:r w:rsidRPr="006D68F0">
        <w:rPr>
          <w:rFonts w:ascii="Calibri" w:hAnsi="Calibri" w:cs="Calibri"/>
        </w:rPr>
        <w:t xml:space="preserve">Die bepalingen gaan over de aanwijzing van </w:t>
      </w:r>
      <w:r w:rsidRPr="006D68F0">
        <w:rPr>
          <w:rFonts w:ascii="Calibri" w:hAnsi="Calibri" w:cs="Calibri"/>
          <w:color w:val="000000" w:themeColor="text1"/>
        </w:rPr>
        <w:t xml:space="preserve">aanvullende deelnemers </w:t>
      </w:r>
      <w:r w:rsidRPr="006D68F0">
        <w:rPr>
          <w:rFonts w:ascii="Calibri" w:hAnsi="Calibri" w:cs="Calibri"/>
        </w:rPr>
        <w:t>aan</w:t>
      </w:r>
      <w:r w:rsidRPr="006D68F0">
        <w:rPr>
          <w:rFonts w:ascii="Calibri" w:hAnsi="Calibri" w:cs="Calibri"/>
          <w:color w:val="000000" w:themeColor="text1"/>
        </w:rPr>
        <w:t xml:space="preserve"> het Financieel Expertisecentrum en </w:t>
      </w:r>
      <w:r w:rsidRPr="006D68F0">
        <w:rPr>
          <w:rFonts w:ascii="Calibri" w:hAnsi="Calibri" w:cs="Calibri"/>
        </w:rPr>
        <w:t xml:space="preserve">aan </w:t>
      </w:r>
      <w:r w:rsidRPr="006D68F0">
        <w:rPr>
          <w:rFonts w:ascii="Calibri" w:hAnsi="Calibri" w:cs="Calibri"/>
          <w:color w:val="000000" w:themeColor="text1"/>
        </w:rPr>
        <w:t>de Infobox Crimineel en Onverklaarbaar Vermoge</w:t>
      </w:r>
      <w:bookmarkEnd w:id="0"/>
      <w:r w:rsidRPr="006D68F0">
        <w:rPr>
          <w:rFonts w:ascii="Calibri" w:hAnsi="Calibri" w:cs="Calibri"/>
          <w:color w:val="000000" w:themeColor="text1"/>
        </w:rPr>
        <w:t>n</w:t>
      </w:r>
      <w:bookmarkEnd w:id="1"/>
      <w:r w:rsidRPr="006D68F0">
        <w:rPr>
          <w:rFonts w:ascii="Calibri" w:hAnsi="Calibri" w:cs="Calibri"/>
          <w:color w:val="000000" w:themeColor="text1"/>
        </w:rPr>
        <w:t>.</w:t>
      </w:r>
    </w:p>
    <w:p w:rsidRPr="006D68F0" w:rsidR="006375AB" w:rsidP="006375AB" w:rsidRDefault="006375AB" w14:paraId="075CBFFC" w14:textId="77777777">
      <w:pPr>
        <w:spacing w:line="276" w:lineRule="auto"/>
        <w:rPr>
          <w:rFonts w:ascii="Calibri" w:hAnsi="Calibri" w:cs="Calibri"/>
        </w:rPr>
      </w:pPr>
    </w:p>
    <w:p w:rsidRPr="006D68F0" w:rsidR="006375AB" w:rsidP="006375AB" w:rsidRDefault="006375AB" w14:paraId="0C3DDED2" w14:textId="77777777">
      <w:pPr>
        <w:spacing w:line="276" w:lineRule="auto"/>
        <w:rPr>
          <w:rFonts w:ascii="Calibri" w:hAnsi="Calibri" w:cs="Calibri"/>
        </w:rPr>
      </w:pPr>
      <w:bookmarkStart w:name="_Hlk181288742" w:id="2"/>
      <w:bookmarkStart w:name="_Hlk181284400" w:id="3"/>
      <w:r w:rsidRPr="006D68F0">
        <w:rPr>
          <w:rFonts w:ascii="Calibri" w:hAnsi="Calibri" w:cs="Calibri"/>
        </w:rPr>
        <w:t xml:space="preserve">Vanwege de nahangprocedure zal het inwerkingtredingsbesluit dat betrekking heeft op deze drie artikelen niet eerder worden vastgesteld dan na vier weken na overlegging van het besluit. Met inachtneming van aanwijzing 2.38 van de Aanwijzingen voor de regelgeving wordt u verzocht uiterlijk 11 februari 2025 uw zienswijze kenbaar te maken. Hoewel de inwerkingtreding van de wet en van de overige artikelen van het besluit er niet van afhankelijk is, ligt het voor de hand om de drie artikelen eveneens per 1 maart 2025 in werking te laten treden. </w:t>
      </w:r>
      <w:bookmarkStart w:name="_Hlk181372055" w:id="4"/>
      <w:bookmarkEnd w:id="2"/>
    </w:p>
    <w:bookmarkEnd w:id="3"/>
    <w:bookmarkEnd w:id="4"/>
    <w:p w:rsidRPr="006D68F0" w:rsidR="006375AB" w:rsidP="006375AB" w:rsidRDefault="006375AB" w14:paraId="3C99E193" w14:textId="77777777">
      <w:pPr>
        <w:spacing w:line="276" w:lineRule="auto"/>
        <w:rPr>
          <w:rFonts w:ascii="Calibri" w:hAnsi="Calibri" w:cs="Calibri"/>
        </w:rPr>
      </w:pPr>
    </w:p>
    <w:p w:rsidRPr="006D68F0" w:rsidR="006375AB" w:rsidP="006375AB" w:rsidRDefault="006375AB" w14:paraId="766FA296" w14:textId="77777777">
      <w:pPr>
        <w:spacing w:line="276" w:lineRule="auto"/>
        <w:rPr>
          <w:rFonts w:ascii="Calibri" w:hAnsi="Calibri" w:cs="Calibri"/>
        </w:rPr>
      </w:pPr>
      <w:r w:rsidRPr="006D68F0">
        <w:rPr>
          <w:rFonts w:ascii="Calibri" w:hAnsi="Calibri" w:cs="Calibri"/>
        </w:rPr>
        <w:t>Bij brief van 4 april 2024 is het ontwerp van het voorliggende besluit voorgehangen bij uw Kamer.</w:t>
      </w:r>
      <w:r w:rsidRPr="006D68F0">
        <w:rPr>
          <w:rStyle w:val="Voetnootmarkering"/>
          <w:rFonts w:ascii="Calibri" w:hAnsi="Calibri" w:cs="Calibri"/>
        </w:rPr>
        <w:footnoteReference w:id="2"/>
      </w:r>
      <w:r w:rsidRPr="006D68F0">
        <w:rPr>
          <w:rFonts w:ascii="Calibri" w:hAnsi="Calibri" w:cs="Calibri"/>
        </w:rPr>
        <w:t xml:space="preserve"> Deze procedure heeft niet tot reacties geleid. In het besluit heeft </w:t>
      </w:r>
      <w:r w:rsidRPr="006D68F0">
        <w:rPr>
          <w:rFonts w:ascii="Calibri" w:hAnsi="Calibri" w:cs="Calibri"/>
        </w:rPr>
        <w:lastRenderedPageBreak/>
        <w:t>sindsdien één inhoudelijke wijziging plaatsgevonden. Conform het advies van de Afdeling advisering van de Raad van State zijn niet in een ministeriële regeling maar in het besluit zelf de banken aangewezen die deelnemen aan de publiek-private taskforces van het Financieel Expertisecentrum, welke taskforces zich met name bezighouden met de aanpak van witwassen en terrorismefinanciering.</w:t>
      </w:r>
      <w:r w:rsidRPr="006D68F0">
        <w:rPr>
          <w:rStyle w:val="Voetnootmarkering"/>
          <w:rFonts w:ascii="Calibri" w:hAnsi="Calibri" w:cs="Calibri"/>
        </w:rPr>
        <w:footnoteReference w:id="3"/>
      </w:r>
      <w:r w:rsidRPr="006D68F0">
        <w:rPr>
          <w:rFonts w:ascii="Calibri" w:hAnsi="Calibri" w:cs="Calibri"/>
        </w:rPr>
        <w:t xml:space="preserve"> Hiertoe zijn in artikel 2.2, onderdeel b, de banken bestendigd die tot op heden aan deze taskforces deelnemen.</w:t>
      </w:r>
      <w:r w:rsidRPr="006D68F0">
        <w:rPr>
          <w:rStyle w:val="Voetnootmarkering"/>
          <w:rFonts w:ascii="Calibri" w:hAnsi="Calibri" w:cs="Calibri"/>
        </w:rPr>
        <w:footnoteReference w:id="4"/>
      </w:r>
    </w:p>
    <w:p w:rsidR="006D68F0" w:rsidP="006375AB" w:rsidRDefault="006D68F0" w14:paraId="38C442EE" w14:textId="77777777">
      <w:pPr>
        <w:spacing w:line="276" w:lineRule="auto"/>
        <w:rPr>
          <w:rFonts w:ascii="Calibri" w:hAnsi="Calibri" w:cs="Calibri"/>
        </w:rPr>
      </w:pPr>
    </w:p>
    <w:p w:rsidRPr="006D68F0" w:rsidR="006375AB" w:rsidP="006375AB" w:rsidRDefault="006375AB" w14:paraId="7D818F35" w14:textId="346599A6">
      <w:pPr>
        <w:spacing w:line="276" w:lineRule="auto"/>
        <w:rPr>
          <w:rFonts w:ascii="Calibri" w:hAnsi="Calibri" w:cs="Calibri"/>
        </w:rPr>
      </w:pPr>
      <w:r w:rsidRPr="006D68F0">
        <w:rPr>
          <w:rFonts w:ascii="Calibri" w:hAnsi="Calibri" w:cs="Calibri"/>
        </w:rPr>
        <w:t>Een gelijkluidende brief heb ik heden gezonden aan de voorzitter van de Eerste Kamer der Staten-Generaal.</w:t>
      </w:r>
    </w:p>
    <w:p w:rsidRPr="006D68F0" w:rsidR="006375AB" w:rsidP="006375AB" w:rsidRDefault="006375AB" w14:paraId="71503CDD" w14:textId="77777777">
      <w:pPr>
        <w:pStyle w:val="WitregelW1bodytekst"/>
        <w:spacing w:line="276" w:lineRule="auto"/>
        <w:rPr>
          <w:rFonts w:ascii="Calibri" w:hAnsi="Calibri" w:cs="Calibri"/>
        </w:rPr>
      </w:pPr>
    </w:p>
    <w:p w:rsidRPr="006D68F0" w:rsidR="006375AB" w:rsidP="006D68F0" w:rsidRDefault="006375AB" w14:paraId="2E3BE4CB" w14:textId="5BF56CD8">
      <w:pPr>
        <w:pStyle w:val="Geenafstand"/>
        <w:rPr>
          <w:rFonts w:ascii="Calibri" w:hAnsi="Calibri" w:cs="Calibri"/>
        </w:rPr>
      </w:pPr>
      <w:r w:rsidRPr="006D68F0">
        <w:rPr>
          <w:rFonts w:ascii="Calibri" w:hAnsi="Calibri" w:cs="Calibri"/>
        </w:rPr>
        <w:t>De </w:t>
      </w:r>
      <w:r w:rsidRPr="006D68F0" w:rsidR="006D68F0">
        <w:rPr>
          <w:rFonts w:ascii="Calibri" w:hAnsi="Calibri" w:cs="Calibri"/>
        </w:rPr>
        <w:t>m</w:t>
      </w:r>
      <w:r w:rsidRPr="006D68F0">
        <w:rPr>
          <w:rFonts w:ascii="Calibri" w:hAnsi="Calibri" w:cs="Calibri"/>
        </w:rPr>
        <w:t>inister van Justitie en Veiligheid,</w:t>
      </w:r>
    </w:p>
    <w:p w:rsidRPr="006D68F0" w:rsidR="006375AB" w:rsidP="006D68F0" w:rsidRDefault="006375AB" w14:paraId="5142D135" w14:textId="77777777">
      <w:pPr>
        <w:pStyle w:val="Geenafstand"/>
        <w:rPr>
          <w:rFonts w:ascii="Calibri" w:hAnsi="Calibri" w:cs="Calibri"/>
        </w:rPr>
      </w:pPr>
      <w:r w:rsidRPr="006D68F0">
        <w:rPr>
          <w:rFonts w:ascii="Calibri" w:hAnsi="Calibri" w:cs="Calibri"/>
        </w:rPr>
        <w:t>D.M. van Weel</w:t>
      </w:r>
    </w:p>
    <w:p w:rsidRPr="006D68F0" w:rsidR="00501428" w:rsidRDefault="00501428" w14:paraId="0B60B5A0" w14:textId="77777777">
      <w:pPr>
        <w:rPr>
          <w:rFonts w:ascii="Calibri" w:hAnsi="Calibri" w:cs="Calibri"/>
        </w:rPr>
      </w:pPr>
    </w:p>
    <w:p w:rsidRPr="006D68F0" w:rsidR="006375AB" w:rsidRDefault="006375AB" w14:paraId="30132F53" w14:textId="48DDD98C">
      <w:pPr>
        <w:rPr>
          <w:rFonts w:ascii="Calibri" w:hAnsi="Calibri" w:cs="Calibri"/>
          <w:sz w:val="20"/>
          <w:szCs w:val="20"/>
        </w:rPr>
      </w:pPr>
      <w:r w:rsidRPr="006D68F0">
        <w:rPr>
          <w:rFonts w:ascii="Calibri" w:hAnsi="Calibri" w:cs="Calibri"/>
          <w:sz w:val="20"/>
          <w:szCs w:val="20"/>
        </w:rPr>
        <w:t xml:space="preserve">Ter griffie van de Eerste en van </w:t>
      </w:r>
      <w:r w:rsidRPr="006D68F0">
        <w:rPr>
          <w:rFonts w:ascii="Calibri" w:hAnsi="Calibri" w:cs="Calibri"/>
          <w:sz w:val="20"/>
          <w:szCs w:val="20"/>
        </w:rPr>
        <w:br/>
        <w:t>de Tweede Kamer der Staten-Generaal</w:t>
      </w:r>
      <w:r w:rsidRPr="006D68F0">
        <w:rPr>
          <w:rFonts w:ascii="Calibri" w:hAnsi="Calibri" w:cs="Calibri"/>
          <w:sz w:val="20"/>
          <w:szCs w:val="20"/>
        </w:rPr>
        <w:br/>
        <w:t>ontvangen op 18 december 2024</w:t>
      </w:r>
    </w:p>
    <w:p w:rsidRPr="006D68F0" w:rsidR="006375AB" w:rsidRDefault="006375AB" w14:paraId="40AE6B7C" w14:textId="5019BE4A">
      <w:pPr>
        <w:rPr>
          <w:rFonts w:ascii="Calibri" w:hAnsi="Calibri" w:cs="Calibri"/>
          <w:sz w:val="20"/>
          <w:szCs w:val="20"/>
        </w:rPr>
      </w:pPr>
      <w:r w:rsidRPr="006D68F0">
        <w:rPr>
          <w:rFonts w:ascii="Calibri" w:hAnsi="Calibri" w:cs="Calibri"/>
          <w:sz w:val="20"/>
          <w:szCs w:val="20"/>
        </w:rPr>
        <w:t>De wens dat de</w:t>
      </w:r>
      <w:r w:rsidRPr="006D68F0" w:rsidR="00477C6B">
        <w:rPr>
          <w:rFonts w:ascii="Calibri" w:hAnsi="Calibri" w:cs="Calibri"/>
          <w:sz w:val="20"/>
          <w:szCs w:val="20"/>
        </w:rPr>
        <w:t xml:space="preserve"> inwerkingtreding van de</w:t>
      </w:r>
      <w:r w:rsidRPr="006D68F0">
        <w:rPr>
          <w:rFonts w:ascii="Calibri" w:hAnsi="Calibri" w:cs="Calibri"/>
          <w:sz w:val="20"/>
          <w:szCs w:val="20"/>
        </w:rPr>
        <w:t xml:space="preserve"> </w:t>
      </w:r>
      <w:r w:rsidRPr="006D68F0" w:rsidR="00477C6B">
        <w:rPr>
          <w:rFonts w:ascii="Calibri" w:hAnsi="Calibri" w:cs="Calibri"/>
          <w:sz w:val="20"/>
          <w:szCs w:val="20"/>
        </w:rPr>
        <w:br/>
      </w:r>
      <w:r w:rsidRPr="006D68F0">
        <w:rPr>
          <w:rFonts w:ascii="Calibri" w:hAnsi="Calibri" w:cs="Calibri"/>
          <w:sz w:val="20"/>
          <w:szCs w:val="20"/>
        </w:rPr>
        <w:t>algemene maatregel van</w:t>
      </w:r>
      <w:r w:rsidRPr="006D68F0" w:rsidR="00477C6B">
        <w:rPr>
          <w:rFonts w:ascii="Calibri" w:hAnsi="Calibri" w:cs="Calibri"/>
          <w:sz w:val="20"/>
          <w:szCs w:val="20"/>
        </w:rPr>
        <w:t xml:space="preserve"> </w:t>
      </w:r>
      <w:r w:rsidRPr="006D68F0">
        <w:rPr>
          <w:rFonts w:ascii="Calibri" w:hAnsi="Calibri" w:cs="Calibri"/>
          <w:sz w:val="20"/>
          <w:szCs w:val="20"/>
        </w:rPr>
        <w:t xml:space="preserve">bestuur bij  wet </w:t>
      </w:r>
      <w:r w:rsidRPr="006D68F0" w:rsidR="00477C6B">
        <w:rPr>
          <w:rFonts w:ascii="Calibri" w:hAnsi="Calibri" w:cs="Calibri"/>
          <w:sz w:val="20"/>
          <w:szCs w:val="20"/>
        </w:rPr>
        <w:br/>
      </w:r>
      <w:r w:rsidRPr="006D68F0">
        <w:rPr>
          <w:rFonts w:ascii="Calibri" w:hAnsi="Calibri" w:cs="Calibri"/>
          <w:sz w:val="20"/>
          <w:szCs w:val="20"/>
        </w:rPr>
        <w:t>wordt geregeld kan</w:t>
      </w:r>
      <w:r w:rsidRPr="006D68F0" w:rsidR="00477C6B">
        <w:rPr>
          <w:rFonts w:ascii="Calibri" w:hAnsi="Calibri" w:cs="Calibri"/>
          <w:sz w:val="20"/>
          <w:szCs w:val="20"/>
        </w:rPr>
        <w:t xml:space="preserve"> </w:t>
      </w:r>
      <w:r w:rsidRPr="006D68F0">
        <w:rPr>
          <w:rFonts w:ascii="Calibri" w:hAnsi="Calibri" w:cs="Calibri"/>
          <w:sz w:val="20"/>
          <w:szCs w:val="20"/>
        </w:rPr>
        <w:t>door ten minste vijftien</w:t>
      </w:r>
      <w:r w:rsidRPr="006D68F0" w:rsidR="00477C6B">
        <w:rPr>
          <w:rFonts w:ascii="Calibri" w:hAnsi="Calibri" w:cs="Calibri"/>
          <w:sz w:val="20"/>
          <w:szCs w:val="20"/>
        </w:rPr>
        <w:br/>
      </w:r>
      <w:r w:rsidRPr="006D68F0">
        <w:rPr>
          <w:rFonts w:ascii="Calibri" w:hAnsi="Calibri" w:cs="Calibri"/>
          <w:sz w:val="20"/>
          <w:szCs w:val="20"/>
        </w:rPr>
        <w:t xml:space="preserve"> leden van de Eerste Kamer dan wel dertig </w:t>
      </w:r>
      <w:r w:rsidRPr="006D68F0" w:rsidR="00477C6B">
        <w:rPr>
          <w:rFonts w:ascii="Calibri" w:hAnsi="Calibri" w:cs="Calibri"/>
          <w:sz w:val="20"/>
          <w:szCs w:val="20"/>
        </w:rPr>
        <w:br/>
      </w:r>
      <w:r w:rsidRPr="006D68F0">
        <w:rPr>
          <w:rFonts w:ascii="Calibri" w:hAnsi="Calibri" w:cs="Calibri"/>
          <w:sz w:val="20"/>
          <w:szCs w:val="20"/>
        </w:rPr>
        <w:t>leden van de</w:t>
      </w:r>
      <w:r w:rsidRPr="006D68F0" w:rsidR="00477C6B">
        <w:rPr>
          <w:rFonts w:ascii="Calibri" w:hAnsi="Calibri" w:cs="Calibri"/>
          <w:sz w:val="20"/>
          <w:szCs w:val="20"/>
        </w:rPr>
        <w:t xml:space="preserve"> </w:t>
      </w:r>
      <w:r w:rsidRPr="006D68F0">
        <w:rPr>
          <w:rFonts w:ascii="Calibri" w:hAnsi="Calibri" w:cs="Calibri"/>
          <w:sz w:val="20"/>
          <w:szCs w:val="20"/>
        </w:rPr>
        <w:t xml:space="preserve">Tweede Kamer te kennen </w:t>
      </w:r>
      <w:r w:rsidRPr="006D68F0" w:rsidR="00477C6B">
        <w:rPr>
          <w:rFonts w:ascii="Calibri" w:hAnsi="Calibri" w:cs="Calibri"/>
          <w:sz w:val="20"/>
          <w:szCs w:val="20"/>
        </w:rPr>
        <w:br/>
      </w:r>
      <w:r w:rsidRPr="006D68F0">
        <w:rPr>
          <w:rFonts w:ascii="Calibri" w:hAnsi="Calibri" w:cs="Calibri"/>
          <w:sz w:val="20"/>
          <w:szCs w:val="20"/>
        </w:rPr>
        <w:t>worden gegeven</w:t>
      </w:r>
      <w:r w:rsidRPr="006D68F0" w:rsidR="00477C6B">
        <w:rPr>
          <w:rFonts w:ascii="Calibri" w:hAnsi="Calibri" w:cs="Calibri"/>
          <w:sz w:val="20"/>
          <w:szCs w:val="20"/>
        </w:rPr>
        <w:t xml:space="preserve"> </w:t>
      </w:r>
      <w:r w:rsidRPr="006D68F0">
        <w:rPr>
          <w:rFonts w:ascii="Calibri" w:hAnsi="Calibri" w:cs="Calibri"/>
          <w:sz w:val="20"/>
          <w:szCs w:val="20"/>
        </w:rPr>
        <w:t>uiterlijk op 11 februari 2024</w:t>
      </w:r>
      <w:r w:rsidR="006D68F0">
        <w:rPr>
          <w:rFonts w:ascii="Calibri" w:hAnsi="Calibri" w:cs="Calibri"/>
          <w:sz w:val="20"/>
          <w:szCs w:val="20"/>
        </w:rPr>
        <w:t>.</w:t>
      </w:r>
    </w:p>
    <w:p w:rsidRPr="006D68F0" w:rsidR="006375AB" w:rsidP="006375AB" w:rsidRDefault="006375AB" w14:paraId="7FAC3A7D" w14:textId="06A5F959">
      <w:pPr>
        <w:rPr>
          <w:rFonts w:ascii="Calibri" w:hAnsi="Calibri" w:cs="Calibri"/>
          <w:b/>
          <w:bCs/>
          <w:iCs/>
          <w:sz w:val="20"/>
          <w:szCs w:val="20"/>
        </w:rPr>
      </w:pPr>
      <w:r w:rsidRPr="006D68F0">
        <w:rPr>
          <w:rFonts w:ascii="Calibri" w:hAnsi="Calibri" w:cs="Calibri"/>
          <w:b/>
          <w:bCs/>
          <w:iCs/>
          <w:sz w:val="20"/>
          <w:szCs w:val="20"/>
        </w:rPr>
        <w:t xml:space="preserve">Bij deze termijn is rekening gehouden </w:t>
      </w:r>
      <w:r w:rsidRPr="006D68F0">
        <w:rPr>
          <w:rFonts w:ascii="Calibri" w:hAnsi="Calibri" w:cs="Calibri"/>
          <w:b/>
          <w:bCs/>
          <w:iCs/>
          <w:sz w:val="20"/>
          <w:szCs w:val="20"/>
        </w:rPr>
        <w:br/>
        <w:t>met de recesperiode van de Tweede Kamer</w:t>
      </w:r>
      <w:r w:rsidRPr="006D68F0" w:rsidR="006D68F0">
        <w:rPr>
          <w:rFonts w:ascii="Calibri" w:hAnsi="Calibri" w:cs="Calibri"/>
          <w:b/>
          <w:bCs/>
          <w:iCs/>
          <w:sz w:val="20"/>
          <w:szCs w:val="20"/>
        </w:rPr>
        <w:t>.</w:t>
      </w:r>
    </w:p>
    <w:p w:rsidRPr="006D68F0" w:rsidR="006375AB" w:rsidRDefault="006375AB" w14:paraId="565A3268" w14:textId="68067D71">
      <w:pPr>
        <w:rPr>
          <w:rFonts w:ascii="Calibri" w:hAnsi="Calibri" w:cs="Calibri"/>
        </w:rPr>
      </w:pPr>
    </w:p>
    <w:sectPr w:rsidRPr="006D68F0" w:rsidR="006375AB" w:rsidSect="000F3F80">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08666" w14:textId="77777777" w:rsidR="006375AB" w:rsidRDefault="006375AB" w:rsidP="006375AB">
      <w:pPr>
        <w:spacing w:after="0" w:line="240" w:lineRule="auto"/>
      </w:pPr>
      <w:r>
        <w:separator/>
      </w:r>
    </w:p>
  </w:endnote>
  <w:endnote w:type="continuationSeparator" w:id="0">
    <w:p w14:paraId="729705BE" w14:textId="77777777" w:rsidR="006375AB" w:rsidRDefault="006375AB" w:rsidP="00637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833CA" w14:textId="77777777" w:rsidR="006375AB" w:rsidRPr="006375AB" w:rsidRDefault="006375AB" w:rsidP="006375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D6F3D" w14:textId="77777777" w:rsidR="006375AB" w:rsidRPr="006375AB" w:rsidRDefault="006375AB" w:rsidP="006375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83796" w14:textId="77777777" w:rsidR="006375AB" w:rsidRPr="006375AB" w:rsidRDefault="006375AB" w:rsidP="006375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30CF2" w14:textId="77777777" w:rsidR="006375AB" w:rsidRDefault="006375AB" w:rsidP="006375AB">
      <w:pPr>
        <w:spacing w:after="0" w:line="240" w:lineRule="auto"/>
      </w:pPr>
      <w:r>
        <w:separator/>
      </w:r>
    </w:p>
  </w:footnote>
  <w:footnote w:type="continuationSeparator" w:id="0">
    <w:p w14:paraId="405C717E" w14:textId="77777777" w:rsidR="006375AB" w:rsidRDefault="006375AB" w:rsidP="006375AB">
      <w:pPr>
        <w:spacing w:after="0" w:line="240" w:lineRule="auto"/>
      </w:pPr>
      <w:r>
        <w:continuationSeparator/>
      </w:r>
    </w:p>
  </w:footnote>
  <w:footnote w:id="1">
    <w:p w14:paraId="5948324C" w14:textId="77777777" w:rsidR="006375AB" w:rsidRPr="006D68F0" w:rsidRDefault="006375AB" w:rsidP="006375AB">
      <w:pPr>
        <w:pStyle w:val="Voetnoottekst"/>
        <w:spacing w:line="276" w:lineRule="auto"/>
        <w:rPr>
          <w:rFonts w:ascii="Calibri" w:hAnsi="Calibri" w:cs="Calibri"/>
          <w:lang w:val="nl-NL"/>
        </w:rPr>
      </w:pPr>
      <w:r w:rsidRPr="006D68F0">
        <w:rPr>
          <w:rStyle w:val="Voetnootmarkering"/>
          <w:rFonts w:ascii="Calibri" w:hAnsi="Calibri" w:cs="Calibri"/>
          <w:lang w:val="nl-NL"/>
        </w:rPr>
        <w:footnoteRef/>
      </w:r>
      <w:r w:rsidRPr="006D68F0">
        <w:rPr>
          <w:rFonts w:ascii="Calibri" w:hAnsi="Calibri" w:cs="Calibri"/>
          <w:lang w:val="nl-NL"/>
        </w:rPr>
        <w:t xml:space="preserve"> Dit volgt uit de aangehaalde artikelen van de wet. Ook de artikelen 2.19, derde lid, en 2.27, vijfde lid, van de wet bevatten een nahangprocedure, maar deze delegatiegrondslagen zijn niet ingevuld nu in het besluit geen deelnemers worden toegevoegd aan de in die artikelen beschreven RIEC's en Zorg- en Veiligheidshuizen. </w:t>
      </w:r>
    </w:p>
  </w:footnote>
  <w:footnote w:id="2">
    <w:p w14:paraId="41BE61C1" w14:textId="77777777" w:rsidR="006375AB" w:rsidRPr="006D68F0" w:rsidRDefault="006375AB" w:rsidP="006375AB">
      <w:pPr>
        <w:pStyle w:val="Voetnoottekst"/>
        <w:spacing w:line="276" w:lineRule="auto"/>
        <w:rPr>
          <w:rFonts w:ascii="Calibri" w:hAnsi="Calibri" w:cs="Calibri"/>
          <w:lang w:val="nl-NL"/>
        </w:rPr>
      </w:pPr>
      <w:r w:rsidRPr="006D68F0">
        <w:rPr>
          <w:rStyle w:val="Voetnootmarkering"/>
          <w:rFonts w:ascii="Calibri" w:hAnsi="Calibri" w:cs="Calibri"/>
          <w:lang w:val="nl-NL"/>
        </w:rPr>
        <w:footnoteRef/>
      </w:r>
      <w:r w:rsidRPr="006D68F0">
        <w:rPr>
          <w:rFonts w:ascii="Calibri" w:hAnsi="Calibri" w:cs="Calibri"/>
          <w:lang w:val="nl-NL"/>
        </w:rPr>
        <w:t xml:space="preserve"> Kamerstukken II 2023/24, 35447, nr. 28.</w:t>
      </w:r>
    </w:p>
  </w:footnote>
  <w:footnote w:id="3">
    <w:p w14:paraId="3FB910AA" w14:textId="77777777" w:rsidR="006375AB" w:rsidRPr="006D68F0" w:rsidRDefault="006375AB" w:rsidP="006375AB">
      <w:pPr>
        <w:pStyle w:val="Voetnoottekst"/>
        <w:spacing w:line="276" w:lineRule="auto"/>
        <w:rPr>
          <w:rFonts w:ascii="Calibri" w:hAnsi="Calibri" w:cs="Calibri"/>
          <w:lang w:val="nl-NL"/>
        </w:rPr>
      </w:pPr>
      <w:r w:rsidRPr="006D68F0">
        <w:rPr>
          <w:rStyle w:val="Voetnootmarkering"/>
          <w:rFonts w:ascii="Calibri" w:hAnsi="Calibri" w:cs="Calibri"/>
          <w:lang w:val="nl-NL"/>
        </w:rPr>
        <w:footnoteRef/>
      </w:r>
      <w:r w:rsidRPr="006D68F0">
        <w:rPr>
          <w:rFonts w:ascii="Calibri" w:hAnsi="Calibri" w:cs="Calibri"/>
          <w:lang w:val="nl-NL"/>
        </w:rPr>
        <w:t xml:space="preserve"> Advies van de Afdeling advisering van de Raad van State van 2 oktober 2024, W16.24.00142/II, §4a, </w:t>
      </w:r>
      <w:hyperlink r:id="rId1" w:history="1">
        <w:r w:rsidRPr="006D68F0">
          <w:rPr>
            <w:rStyle w:val="Hyperlink"/>
            <w:rFonts w:ascii="Calibri" w:hAnsi="Calibri" w:cs="Calibri"/>
            <w:lang w:val="nl-NL"/>
          </w:rPr>
          <w:t>https://www.raadvanstate.nl/adviezen/@144320/w16-24-00142-ii/</w:t>
        </w:r>
      </w:hyperlink>
      <w:r w:rsidRPr="006D68F0">
        <w:rPr>
          <w:rFonts w:ascii="Calibri" w:hAnsi="Calibri" w:cs="Calibri"/>
          <w:lang w:val="nl-NL"/>
        </w:rPr>
        <w:t xml:space="preserve"> .</w:t>
      </w:r>
    </w:p>
  </w:footnote>
  <w:footnote w:id="4">
    <w:p w14:paraId="39C124A6" w14:textId="77777777" w:rsidR="006375AB" w:rsidRPr="006D68F0" w:rsidRDefault="006375AB" w:rsidP="006375AB">
      <w:pPr>
        <w:pStyle w:val="Voetnoottekst"/>
        <w:spacing w:line="276" w:lineRule="auto"/>
        <w:rPr>
          <w:rFonts w:ascii="Calibri" w:hAnsi="Calibri" w:cs="Calibri"/>
          <w:lang w:val="nl-NL"/>
        </w:rPr>
      </w:pPr>
      <w:r w:rsidRPr="006D68F0">
        <w:rPr>
          <w:rStyle w:val="Voetnootmarkering"/>
          <w:rFonts w:ascii="Calibri" w:hAnsi="Calibri" w:cs="Calibri"/>
          <w:lang w:val="nl-NL"/>
        </w:rPr>
        <w:footnoteRef/>
      </w:r>
      <w:r w:rsidRPr="006D68F0">
        <w:rPr>
          <w:rFonts w:ascii="Calibri" w:hAnsi="Calibri" w:cs="Calibri"/>
          <w:lang w:val="nl-NL"/>
        </w:rPr>
        <w:t xml:space="preserve"> Dit betreft: ABN Amro Bank N.V. (KvK-nummer 34334259), Aegon Bank N.V. (KvK-nummer 30100799; vermeld bij wijze van overgangsrecht omdat deze oude naam van Knab N.V. voorlopig een merknaam blijft en in sommige documenten nog kan voorkomen), ING Bank N.V. (KvK-nummer 33031431), Knab N.V. (KvK-nummer 30100799), Coöperatieve Rabobank U.A. (KvK-nummer 30046259), Triodos Bank N.V. (KvK-nummer 30062415) en de Volksbank N.V. (KvK-nummer 16062338; op termijn wordt deze naam vervangen door ASN Bank).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D7A8B" w14:textId="77777777" w:rsidR="006375AB" w:rsidRPr="006375AB" w:rsidRDefault="006375AB" w:rsidP="006375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FC690" w14:textId="77777777" w:rsidR="006375AB" w:rsidRPr="006375AB" w:rsidRDefault="006375AB" w:rsidP="006375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5B8EC" w14:textId="77777777" w:rsidR="006375AB" w:rsidRPr="006375AB" w:rsidRDefault="006375AB" w:rsidP="006375A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AB"/>
    <w:rsid w:val="000F3F80"/>
    <w:rsid w:val="00281D63"/>
    <w:rsid w:val="00477C6B"/>
    <w:rsid w:val="00501428"/>
    <w:rsid w:val="006375AB"/>
    <w:rsid w:val="006D68F0"/>
    <w:rsid w:val="00B31942"/>
    <w:rsid w:val="00BD4A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A7FEC"/>
  <w15:chartTrackingRefBased/>
  <w15:docId w15:val="{EB92AD12-D65A-4520-B3F1-BA74A75F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7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7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75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75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75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75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75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75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75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75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75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75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75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75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75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75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75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75AB"/>
    <w:rPr>
      <w:rFonts w:eastAsiaTheme="majorEastAsia" w:cstheme="majorBidi"/>
      <w:color w:val="272727" w:themeColor="text1" w:themeTint="D8"/>
    </w:rPr>
  </w:style>
  <w:style w:type="paragraph" w:styleId="Titel">
    <w:name w:val="Title"/>
    <w:basedOn w:val="Standaard"/>
    <w:next w:val="Standaard"/>
    <w:link w:val="TitelChar"/>
    <w:uiPriority w:val="10"/>
    <w:qFormat/>
    <w:rsid w:val="00637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75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75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75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75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75AB"/>
    <w:rPr>
      <w:i/>
      <w:iCs/>
      <w:color w:val="404040" w:themeColor="text1" w:themeTint="BF"/>
    </w:rPr>
  </w:style>
  <w:style w:type="paragraph" w:styleId="Lijstalinea">
    <w:name w:val="List Paragraph"/>
    <w:basedOn w:val="Standaard"/>
    <w:uiPriority w:val="34"/>
    <w:qFormat/>
    <w:rsid w:val="006375AB"/>
    <w:pPr>
      <w:ind w:left="720"/>
      <w:contextualSpacing/>
    </w:pPr>
  </w:style>
  <w:style w:type="character" w:styleId="Intensievebenadrukking">
    <w:name w:val="Intense Emphasis"/>
    <w:basedOn w:val="Standaardalinea-lettertype"/>
    <w:uiPriority w:val="21"/>
    <w:qFormat/>
    <w:rsid w:val="006375AB"/>
    <w:rPr>
      <w:i/>
      <w:iCs/>
      <w:color w:val="0F4761" w:themeColor="accent1" w:themeShade="BF"/>
    </w:rPr>
  </w:style>
  <w:style w:type="paragraph" w:styleId="Duidelijkcitaat">
    <w:name w:val="Intense Quote"/>
    <w:basedOn w:val="Standaard"/>
    <w:next w:val="Standaard"/>
    <w:link w:val="DuidelijkcitaatChar"/>
    <w:uiPriority w:val="30"/>
    <w:qFormat/>
    <w:rsid w:val="00637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75AB"/>
    <w:rPr>
      <w:i/>
      <w:iCs/>
      <w:color w:val="0F4761" w:themeColor="accent1" w:themeShade="BF"/>
    </w:rPr>
  </w:style>
  <w:style w:type="character" w:styleId="Intensieveverwijzing">
    <w:name w:val="Intense Reference"/>
    <w:basedOn w:val="Standaardalinea-lettertype"/>
    <w:uiPriority w:val="32"/>
    <w:qFormat/>
    <w:rsid w:val="006375AB"/>
    <w:rPr>
      <w:b/>
      <w:bCs/>
      <w:smallCaps/>
      <w:color w:val="0F4761" w:themeColor="accent1" w:themeShade="BF"/>
      <w:spacing w:val="5"/>
    </w:rPr>
  </w:style>
  <w:style w:type="character" w:styleId="Hyperlink">
    <w:name w:val="Hyperlink"/>
    <w:basedOn w:val="Standaardalinea-lettertype"/>
    <w:uiPriority w:val="99"/>
    <w:unhideWhenUsed/>
    <w:rsid w:val="006375AB"/>
    <w:rPr>
      <w:color w:val="467886" w:themeColor="hyperlink"/>
      <w:u w:val="single"/>
    </w:rPr>
  </w:style>
  <w:style w:type="paragraph" w:customStyle="1" w:styleId="Referentiegegevens">
    <w:name w:val="Referentiegegevens"/>
    <w:basedOn w:val="Standaard"/>
    <w:next w:val="Standaard"/>
    <w:rsid w:val="006375A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375A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375A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6375A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6375A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6375AB"/>
    <w:pPr>
      <w:spacing w:after="0" w:line="240" w:lineRule="auto"/>
    </w:pPr>
    <w:rPr>
      <w:rFonts w:ascii="Verdana" w:hAnsi="Verdana" w:cs="Times New Roman"/>
      <w:iCs/>
      <w:color w:val="000000" w:themeColor="text1"/>
      <w:sz w:val="20"/>
      <w:szCs w:val="20"/>
      <w:lang w:val="en-US"/>
    </w:rPr>
  </w:style>
  <w:style w:type="character" w:customStyle="1" w:styleId="VoetnoottekstChar">
    <w:name w:val="Voetnoottekst Char"/>
    <w:basedOn w:val="Standaardalinea-lettertype"/>
    <w:link w:val="Voetnoottekst"/>
    <w:uiPriority w:val="99"/>
    <w:rsid w:val="006375AB"/>
    <w:rPr>
      <w:rFonts w:ascii="Verdana" w:hAnsi="Verdana" w:cs="Times New Roman"/>
      <w:iCs/>
      <w:color w:val="000000" w:themeColor="text1"/>
      <w:sz w:val="20"/>
      <w:szCs w:val="20"/>
      <w:lang w:val="en-US"/>
    </w:rPr>
  </w:style>
  <w:style w:type="character" w:styleId="Voetnootmarkering">
    <w:name w:val="footnote reference"/>
    <w:basedOn w:val="Standaardalinea-lettertype"/>
    <w:uiPriority w:val="99"/>
    <w:semiHidden/>
    <w:unhideWhenUsed/>
    <w:rsid w:val="006375AB"/>
    <w:rPr>
      <w:vertAlign w:val="superscript"/>
    </w:rPr>
  </w:style>
  <w:style w:type="paragraph" w:styleId="Koptekst">
    <w:name w:val="header"/>
    <w:basedOn w:val="Standaard"/>
    <w:link w:val="KoptekstChar"/>
    <w:uiPriority w:val="99"/>
    <w:unhideWhenUsed/>
    <w:rsid w:val="006375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75AB"/>
  </w:style>
  <w:style w:type="paragraph" w:styleId="Voettekst">
    <w:name w:val="footer"/>
    <w:basedOn w:val="Standaard"/>
    <w:link w:val="VoettekstChar"/>
    <w:uiPriority w:val="99"/>
    <w:unhideWhenUsed/>
    <w:rsid w:val="006375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75AB"/>
  </w:style>
  <w:style w:type="paragraph" w:styleId="Geenafstand">
    <w:name w:val="No Spacing"/>
    <w:uiPriority w:val="1"/>
    <w:qFormat/>
    <w:rsid w:val="006D68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aadvanstate.nl/adviezen/@144320/w16-24-00142-ii/"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448</ap:Words>
  <ap:Characters>2466</ap:Characters>
  <ap:DocSecurity>0</ap:DocSecurity>
  <ap:Lines>20</ap:Lines>
  <ap:Paragraphs>5</ap:Paragraphs>
  <ap:ScaleCrop>false</ap:ScaleCrop>
  <ap:LinksUpToDate>false</ap:LinksUpToDate>
  <ap:CharactersWithSpaces>2909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2024-12-31T14:40:00.0000000Z</dcterms:created>
  <dcterms:modified xsi:type="dcterms:W3CDTF">2024-12-31T14:41:00.0000000Z</dcterms:modified>
  <version/>
  <category/>
</coreProperties>
</file>