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74532" w:rsidR="00474532" w:rsidRDefault="00B87B11" w14:paraId="6ED63F45" w14:textId="191D0A18">
      <w:pPr>
        <w:tabs>
          <w:tab w:val="left" w:pos="-1440"/>
          <w:tab w:val="left" w:pos="-720"/>
        </w:tabs>
        <w:suppressAutoHyphens/>
        <w:rPr>
          <w:rFonts w:ascii="Calibri" w:hAnsi="Calibri" w:cs="Calibri"/>
        </w:rPr>
      </w:pPr>
      <w:r w:rsidRPr="00474532">
        <w:rPr>
          <w:rFonts w:ascii="Calibri" w:hAnsi="Calibri" w:cs="Calibri"/>
        </w:rPr>
        <w:t>21</w:t>
      </w:r>
      <w:r w:rsidRPr="00474532" w:rsidR="00474532">
        <w:rPr>
          <w:rFonts w:ascii="Calibri" w:hAnsi="Calibri" w:cs="Calibri"/>
        </w:rPr>
        <w:t xml:space="preserve"> </w:t>
      </w:r>
      <w:r w:rsidRPr="00474532">
        <w:rPr>
          <w:rFonts w:ascii="Calibri" w:hAnsi="Calibri" w:cs="Calibri"/>
        </w:rPr>
        <w:t>501-07</w:t>
      </w:r>
      <w:r w:rsidRPr="00474532" w:rsidR="00474532">
        <w:rPr>
          <w:rFonts w:ascii="Calibri" w:hAnsi="Calibri" w:cs="Calibri"/>
        </w:rPr>
        <w:tab/>
        <w:t>Raad voor Economische en Financiële Zaken</w:t>
      </w:r>
    </w:p>
    <w:p w:rsidRPr="00474532" w:rsidR="00474532" w:rsidP="00D80872" w:rsidRDefault="00474532" w14:paraId="6B70C23F" w14:textId="77777777">
      <w:pPr>
        <w:rPr>
          <w:rFonts w:ascii="Calibri" w:hAnsi="Calibri" w:cs="Calibri"/>
        </w:rPr>
      </w:pPr>
      <w:r w:rsidRPr="00474532">
        <w:rPr>
          <w:rFonts w:ascii="Calibri" w:hAnsi="Calibri" w:cs="Calibri"/>
        </w:rPr>
        <w:t xml:space="preserve">Nr. </w:t>
      </w:r>
      <w:r w:rsidRPr="00474532" w:rsidR="00B87B11">
        <w:rPr>
          <w:rFonts w:ascii="Calibri" w:hAnsi="Calibri" w:cs="Calibri"/>
        </w:rPr>
        <w:t>2084</w:t>
      </w:r>
      <w:r w:rsidRPr="00474532">
        <w:rPr>
          <w:rFonts w:ascii="Calibri" w:hAnsi="Calibri" w:cs="Calibri"/>
        </w:rPr>
        <w:tab/>
        <w:t>Brief van de minister van Financiën</w:t>
      </w:r>
    </w:p>
    <w:p w:rsidRPr="00474532" w:rsidR="00B87B11" w:rsidP="00B87B11" w:rsidRDefault="00474532" w14:paraId="2C0CB9B5" w14:textId="678CFFEF">
      <w:pPr>
        <w:rPr>
          <w:rFonts w:ascii="Calibri" w:hAnsi="Calibri" w:cs="Calibri"/>
        </w:rPr>
      </w:pPr>
      <w:r w:rsidRPr="00474532">
        <w:rPr>
          <w:rFonts w:ascii="Calibri" w:hAnsi="Calibri" w:cs="Calibri"/>
        </w:rPr>
        <w:t>Aan de Voorzitter van de Tweede Kamer der Staten-Generaal</w:t>
      </w:r>
    </w:p>
    <w:p w:rsidRPr="00474532" w:rsidR="00474532" w:rsidP="00B87B11" w:rsidRDefault="00474532" w14:paraId="5DCD6FFF" w14:textId="28623078">
      <w:pPr>
        <w:rPr>
          <w:rFonts w:ascii="Calibri" w:hAnsi="Calibri" w:cs="Calibri"/>
        </w:rPr>
      </w:pPr>
      <w:r w:rsidRPr="00474532">
        <w:rPr>
          <w:rFonts w:ascii="Calibri" w:hAnsi="Calibri" w:cs="Calibri"/>
        </w:rPr>
        <w:t>Den Haag, 19 december 2024</w:t>
      </w:r>
    </w:p>
    <w:p w:rsidRPr="00474532" w:rsidR="00B87B11" w:rsidP="00B87B11" w:rsidRDefault="00B87B11" w14:paraId="644087CB" w14:textId="77777777">
      <w:pPr>
        <w:rPr>
          <w:rFonts w:ascii="Calibri" w:hAnsi="Calibri" w:cs="Calibri"/>
        </w:rPr>
      </w:pPr>
    </w:p>
    <w:p w:rsidRPr="00474532" w:rsidR="00B87B11" w:rsidP="00B87B11" w:rsidRDefault="00B87B11" w14:paraId="0F882845" w14:textId="7F3D0D9F">
      <w:pPr>
        <w:rPr>
          <w:rFonts w:ascii="Calibri" w:hAnsi="Calibri" w:cs="Calibri"/>
        </w:rPr>
      </w:pPr>
      <w:r w:rsidRPr="00474532">
        <w:rPr>
          <w:rFonts w:ascii="Calibri" w:hAnsi="Calibri" w:cs="Calibri"/>
        </w:rPr>
        <w:t>Hierbij zend ik u de geannoteerde agenda van de vergaderingen van de Eurogroep en Ecofinraad van 20-21 januari a.s. Ik ben voornemens deel te nemen aan deze vergaderingen.</w:t>
      </w:r>
    </w:p>
    <w:p w:rsidRPr="00474532" w:rsidR="00B87B11" w:rsidP="00B87B11" w:rsidRDefault="00B87B11" w14:paraId="757D8846" w14:textId="77777777">
      <w:pPr>
        <w:rPr>
          <w:rFonts w:ascii="Calibri" w:hAnsi="Calibri" w:cs="Calibri"/>
        </w:rPr>
      </w:pPr>
    </w:p>
    <w:p w:rsidRPr="00474532" w:rsidR="00B87B11" w:rsidP="00B87B11" w:rsidRDefault="00B87B11" w14:paraId="6BE1E1E2" w14:textId="77777777">
      <w:pPr>
        <w:rPr>
          <w:rFonts w:ascii="Calibri" w:hAnsi="Calibri" w:cs="Calibri"/>
        </w:rPr>
      </w:pPr>
      <w:r w:rsidRPr="00474532">
        <w:rPr>
          <w:rFonts w:ascii="Calibri" w:hAnsi="Calibri" w:cs="Calibri"/>
        </w:rPr>
        <w:t>Het is mogelijk dat nog punten worden toegevoegd aan de agenda of dat bepaalde onderwerpen worden afgevoerd of worden uitgesteld tot de volgende vergadering.</w:t>
      </w:r>
    </w:p>
    <w:p w:rsidRPr="00474532" w:rsidR="00B87B11" w:rsidP="00B87B11" w:rsidRDefault="00B87B11" w14:paraId="44DAA47B" w14:textId="77777777">
      <w:pPr>
        <w:rPr>
          <w:rFonts w:ascii="Calibri" w:hAnsi="Calibri" w:cs="Calibri"/>
        </w:rPr>
      </w:pPr>
    </w:p>
    <w:p w:rsidRPr="00474532" w:rsidR="00474532" w:rsidP="00474532" w:rsidRDefault="00474532" w14:paraId="6084DCC5" w14:textId="77777777">
      <w:pPr>
        <w:pStyle w:val="Geenafstand"/>
        <w:rPr>
          <w:rFonts w:ascii="Calibri" w:hAnsi="Calibri" w:cs="Calibri"/>
        </w:rPr>
      </w:pPr>
      <w:r w:rsidRPr="00474532">
        <w:rPr>
          <w:rFonts w:ascii="Calibri" w:hAnsi="Calibri" w:cs="Calibri"/>
        </w:rPr>
        <w:t>De minister van Financiën,</w:t>
      </w:r>
    </w:p>
    <w:p w:rsidRPr="00474532" w:rsidR="00474532" w:rsidP="00474532" w:rsidRDefault="00474532" w14:paraId="189A257E" w14:textId="6416567E">
      <w:pPr>
        <w:pStyle w:val="Geenafstand"/>
        <w:rPr>
          <w:rFonts w:ascii="Calibri" w:hAnsi="Calibri" w:cs="Calibri"/>
        </w:rPr>
      </w:pPr>
      <w:r w:rsidRPr="00474532">
        <w:rPr>
          <w:rFonts w:ascii="Calibri" w:hAnsi="Calibri" w:cs="Calibri"/>
        </w:rPr>
        <w:t>E. Heinen</w:t>
      </w:r>
    </w:p>
    <w:p w:rsidRPr="00474532" w:rsidR="00474532" w:rsidP="001978B1" w:rsidRDefault="00474532" w14:paraId="6C9D2198" w14:textId="77777777">
      <w:pPr>
        <w:rPr>
          <w:rFonts w:ascii="Calibri" w:hAnsi="Calibri" w:cs="Calibri"/>
        </w:rPr>
      </w:pPr>
    </w:p>
    <w:p w:rsidRPr="00474532" w:rsidR="00474532" w:rsidRDefault="00474532" w14:paraId="7CAFC0B7" w14:textId="77777777">
      <w:pPr>
        <w:rPr>
          <w:rFonts w:ascii="Calibri" w:hAnsi="Calibri" w:cs="Calibri"/>
        </w:rPr>
      </w:pPr>
      <w:r w:rsidRPr="00474532">
        <w:rPr>
          <w:rFonts w:ascii="Calibri" w:hAnsi="Calibri" w:cs="Calibri"/>
        </w:rPr>
        <w:br w:type="page"/>
      </w:r>
    </w:p>
    <w:p w:rsidRPr="00474532" w:rsidR="00B87B11" w:rsidP="00B87B11" w:rsidRDefault="00B87B11" w14:paraId="0D60A739" w14:textId="0A1903B4">
      <w:pPr>
        <w:keepNext/>
        <w:keepLines/>
        <w:spacing w:after="0" w:line="240" w:lineRule="atLeast"/>
        <w:outlineLvl w:val="1"/>
        <w:rPr>
          <w:rFonts w:ascii="Calibri" w:hAnsi="Calibri" w:eastAsia="Times New Roman" w:cs="Calibri"/>
          <w:color w:val="2F5496"/>
          <w:kern w:val="0"/>
          <w14:ligatures w14:val="none"/>
        </w:rPr>
      </w:pPr>
      <w:r w:rsidRPr="00474532">
        <w:rPr>
          <w:rFonts w:ascii="Calibri" w:hAnsi="Calibri" w:eastAsia="Times New Roman" w:cs="Calibri"/>
          <w:color w:val="2F5496"/>
          <w:kern w:val="0"/>
          <w14:ligatures w14:val="none"/>
        </w:rPr>
        <w:lastRenderedPageBreak/>
        <w:t>Geannoteerde agenda Eurogroep en Ecofinraad 20-21 januari 2025</w:t>
      </w:r>
    </w:p>
    <w:p w:rsidRPr="00474532" w:rsidR="00B87B11" w:rsidP="00B87B11" w:rsidRDefault="00B87B11" w14:paraId="4FFBF76B" w14:textId="77777777">
      <w:pPr>
        <w:spacing w:after="0" w:line="240" w:lineRule="atLeast"/>
        <w:rPr>
          <w:rFonts w:ascii="Calibri" w:hAnsi="Calibri" w:eastAsia="Verdana" w:cs="Calibri"/>
          <w:kern w:val="0"/>
          <w14:ligatures w14:val="none"/>
        </w:rPr>
      </w:pPr>
    </w:p>
    <w:p w:rsidRPr="00474532" w:rsidR="00B87B11" w:rsidP="00B87B11" w:rsidRDefault="00B87B11" w14:paraId="104FA92D" w14:textId="77777777">
      <w:pPr>
        <w:keepNext/>
        <w:keepLines/>
        <w:spacing w:after="0" w:line="240" w:lineRule="atLeast"/>
        <w:outlineLvl w:val="2"/>
        <w:rPr>
          <w:rFonts w:ascii="Calibri" w:hAnsi="Calibri" w:eastAsia="Times New Roman" w:cs="Calibri"/>
          <w:color w:val="1F3763"/>
          <w:kern w:val="0"/>
          <w14:ligatures w14:val="none"/>
        </w:rPr>
      </w:pPr>
      <w:r w:rsidRPr="00474532">
        <w:rPr>
          <w:rFonts w:ascii="Calibri" w:hAnsi="Calibri" w:eastAsia="Times New Roman" w:cs="Calibri"/>
          <w:color w:val="1F3763"/>
          <w:kern w:val="0"/>
          <w14:ligatures w14:val="none"/>
        </w:rPr>
        <w:t>Eurogroep in inclusieve samenstelling</w:t>
      </w:r>
    </w:p>
    <w:p w:rsidRPr="00474532" w:rsidR="00B87B11" w:rsidP="00B87B11" w:rsidRDefault="00B87B11" w14:paraId="5B19ED00" w14:textId="77777777">
      <w:pPr>
        <w:spacing w:after="0" w:line="240" w:lineRule="atLeast"/>
        <w:rPr>
          <w:rFonts w:ascii="Calibri" w:hAnsi="Calibri" w:eastAsia="Verdana" w:cs="Calibri"/>
          <w:b/>
          <w:bCs/>
          <w:kern w:val="0"/>
          <w14:ligatures w14:val="none"/>
        </w:rPr>
      </w:pPr>
      <w:r w:rsidRPr="00474532">
        <w:rPr>
          <w:rFonts w:ascii="Calibri" w:hAnsi="Calibri" w:eastAsia="Verdana" w:cs="Calibri"/>
          <w:b/>
          <w:bCs/>
          <w:kern w:val="0"/>
          <w14:ligatures w14:val="none"/>
        </w:rPr>
        <w:t>Wereldwijde ontwikkelingen op het gebied van CBDC's en fragmentatie in betalingssystemen</w:t>
      </w:r>
    </w:p>
    <w:p w:rsidRPr="00474532" w:rsidR="00B87B11" w:rsidP="00B87B11" w:rsidRDefault="00B87B11" w14:paraId="0CA6080C" w14:textId="77777777">
      <w:pPr>
        <w:spacing w:after="0" w:line="240" w:lineRule="atLeast"/>
        <w:rPr>
          <w:rFonts w:ascii="Calibri" w:hAnsi="Calibri" w:eastAsia="Verdana" w:cs="Calibri"/>
          <w:b/>
          <w:bCs/>
          <w:kern w:val="0"/>
          <w14:ligatures w14:val="none"/>
        </w:rPr>
      </w:pPr>
      <w:r w:rsidRPr="00474532">
        <w:rPr>
          <w:rFonts w:ascii="Calibri" w:hAnsi="Calibri" w:eastAsia="Verdana" w:cs="Calibri"/>
          <w:b/>
          <w:bCs/>
          <w:kern w:val="0"/>
          <w14:ligatures w14:val="none"/>
        </w:rPr>
        <w:t xml:space="preserve">Document: </w:t>
      </w:r>
      <w:r w:rsidRPr="00474532">
        <w:rPr>
          <w:rFonts w:ascii="Calibri" w:hAnsi="Calibri" w:eastAsia="Verdana" w:cs="Calibri"/>
          <w:kern w:val="0"/>
          <w14:ligatures w14:val="none"/>
        </w:rPr>
        <w:t>N.v.t.</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Aard bespreking: </w:t>
      </w:r>
      <w:r w:rsidRPr="00474532">
        <w:rPr>
          <w:rFonts w:ascii="Calibri" w:hAnsi="Calibri" w:eastAsia="Verdana" w:cs="Calibri"/>
          <w:kern w:val="0"/>
          <w14:ligatures w14:val="none"/>
        </w:rPr>
        <w:t>Gedachtewisseling</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Besluitvormingsprocedure: </w:t>
      </w:r>
      <w:r w:rsidRPr="00474532">
        <w:rPr>
          <w:rFonts w:ascii="Calibri" w:hAnsi="Calibri" w:eastAsia="Verdana" w:cs="Calibri"/>
          <w:kern w:val="0"/>
          <w14:ligatures w14:val="none"/>
        </w:rPr>
        <w:t>N.v.t.</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Toelichting:</w:t>
      </w:r>
    </w:p>
    <w:p w:rsidRPr="00474532" w:rsidR="00B87B11" w:rsidP="00B87B11" w:rsidRDefault="00B87B11" w14:paraId="588F6F2D"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De Eurogroep zal naar verwachting spreken over de ontwikkelingen ten aanzien van centralebankgeld (</w:t>
      </w:r>
      <w:r w:rsidRPr="00474532">
        <w:rPr>
          <w:rFonts w:ascii="Calibri" w:hAnsi="Calibri" w:eastAsia="Verdana" w:cs="Calibri"/>
          <w:i/>
          <w:iCs/>
          <w:kern w:val="0"/>
          <w14:ligatures w14:val="none"/>
        </w:rPr>
        <w:t>central bank digital currency</w:t>
      </w:r>
      <w:r w:rsidRPr="00474532">
        <w:rPr>
          <w:rFonts w:ascii="Calibri" w:hAnsi="Calibri" w:eastAsia="Verdana" w:cs="Calibri"/>
          <w:kern w:val="0"/>
          <w14:ligatures w14:val="none"/>
        </w:rPr>
        <w:t>, CBDC) en de fragmentatie in betalingssystemen. Ook de ontwikkelingen ten aanzien van de digitale euro zullen naar verwachting aan bod komen.</w:t>
      </w:r>
    </w:p>
    <w:p w:rsidRPr="00474532" w:rsidR="00B87B11" w:rsidP="00B87B11" w:rsidRDefault="00B87B11" w14:paraId="11A901BE" w14:textId="77777777">
      <w:pPr>
        <w:spacing w:after="0" w:line="240" w:lineRule="atLeast"/>
        <w:rPr>
          <w:rFonts w:ascii="Calibri" w:hAnsi="Calibri" w:eastAsia="Verdana" w:cs="Calibri"/>
          <w:b/>
          <w:bCs/>
          <w:kern w:val="0"/>
          <w14:ligatures w14:val="none"/>
        </w:rPr>
      </w:pPr>
    </w:p>
    <w:p w:rsidRPr="00474532" w:rsidR="00B87B11" w:rsidP="00B87B11" w:rsidRDefault="00B87B11" w14:paraId="1BB49B2F"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 xml:space="preserve">Momenteel werkt 94 procent van de centrale banken wereldwijd aan de ontwikkeling van een CBDC. Zowel in de Raad als in het Europees Parlement wordt gesproken over wetsvoorstellen die een juridische basis leggen voor de mogelijke uitgifte van een digitale euro, een vorm van CBDC. Parallel aan deze gesprekken werkt de ECB aan de mogelijke invoering van een digitale euro. Nederland hecht er waarde aan dat kwaliteit zwaarder weegt dan snelheid bij de ontwikkeling van een mogelijke digitale euro. Aangezien veel andere jurisdicties hun CBDC niet op korte termijn zullen uitgeven, is er ook in vergelijking tot andere landen geen dringende haast om een digitale euro in te voeren. Nederland benadrukt in gesprekken over de digitale euro dat er strenge privacywaarborgen moeten zijn en dat kosten proportioneel moeten worden verdeeld over betrokken partijen. Daarnaast ziet Nederland een mogelijke rol voor de digitale euro in het verhogen van de weerbaarheid van het Europese betaalsysteem, met name via de </w:t>
      </w:r>
      <w:r w:rsidRPr="00474532">
        <w:rPr>
          <w:rFonts w:ascii="Calibri" w:hAnsi="Calibri" w:eastAsia="Verdana" w:cs="Calibri"/>
          <w:i/>
          <w:iCs/>
          <w:kern w:val="0"/>
          <w14:ligatures w14:val="none"/>
        </w:rPr>
        <w:t>offline</w:t>
      </w:r>
      <w:r w:rsidRPr="00474532">
        <w:rPr>
          <w:rFonts w:ascii="Calibri" w:hAnsi="Calibri" w:eastAsia="Verdana" w:cs="Calibri"/>
          <w:kern w:val="0"/>
          <w14:ligatures w14:val="none"/>
        </w:rPr>
        <w:t xml:space="preserve"> variant van een digitale euro. Indien opportuun zal Nederland op basis van bovenstaande deelnemen aan de gedachtewisseling. </w:t>
      </w:r>
    </w:p>
    <w:p w:rsidRPr="00474532" w:rsidR="00B87B11" w:rsidP="00B87B11" w:rsidRDefault="00B87B11" w14:paraId="7AB226A6" w14:textId="77777777">
      <w:pPr>
        <w:spacing w:after="0" w:line="240" w:lineRule="atLeast"/>
        <w:rPr>
          <w:rFonts w:ascii="Calibri" w:hAnsi="Calibri" w:eastAsia="Verdana" w:cs="Calibri"/>
          <w:kern w:val="0"/>
          <w14:ligatures w14:val="none"/>
        </w:rPr>
      </w:pPr>
    </w:p>
    <w:p w:rsidRPr="00474532" w:rsidR="00B87B11" w:rsidP="00B87B11" w:rsidRDefault="00B87B11" w14:paraId="1F81A093"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De onderhandelingen in de Raad worden voortgezet onder het Poolse voorzitterschap. Er zijn nog meerdere punten waarover overeenstemming moet worden bereikt, zoals de bevoegdheid om de aanhoudingslimiet vast te stellen, het kostenmodel en privacy. Daarom lijkt een akkoord over de wetsvoorstellen onder Pools voorzitterschap ambitieus. Naar verwachting zal het Europees Parlement de behandeling van de voorstellen binnenkort continueren.</w:t>
      </w:r>
      <w:r w:rsidRPr="00474532">
        <w:rPr>
          <w:rFonts w:ascii="Calibri" w:hAnsi="Calibri" w:eastAsia="Calibri" w:cs="Calibri"/>
          <w:kern w:val="0"/>
          <w14:ligatures w14:val="none"/>
        </w:rPr>
        <w:br/>
      </w:r>
    </w:p>
    <w:p w:rsidRPr="00474532" w:rsidR="00B87B11" w:rsidP="00B87B11" w:rsidRDefault="00B87B11" w14:paraId="4AF9DB07" w14:textId="77777777">
      <w:pPr>
        <w:keepNext/>
        <w:keepLines/>
        <w:spacing w:after="0" w:line="240" w:lineRule="atLeast"/>
        <w:outlineLvl w:val="2"/>
        <w:rPr>
          <w:rFonts w:ascii="Calibri" w:hAnsi="Calibri" w:eastAsia="Times New Roman" w:cs="Calibri"/>
          <w:color w:val="1F3763"/>
          <w:kern w:val="0"/>
          <w14:ligatures w14:val="none"/>
        </w:rPr>
      </w:pPr>
      <w:r w:rsidRPr="00474532">
        <w:rPr>
          <w:rFonts w:ascii="Calibri" w:hAnsi="Calibri" w:eastAsia="Times New Roman" w:cs="Calibri"/>
          <w:color w:val="1F3763"/>
          <w:kern w:val="0"/>
          <w14:ligatures w14:val="none"/>
        </w:rPr>
        <w:t>Eurogroep</w:t>
      </w:r>
    </w:p>
    <w:p w:rsidRPr="00474532" w:rsidR="00B87B11" w:rsidP="00B87B11" w:rsidRDefault="00B87B11" w14:paraId="6E547B26" w14:textId="77777777">
      <w:pPr>
        <w:spacing w:after="0" w:line="240" w:lineRule="atLeast"/>
        <w:rPr>
          <w:rFonts w:ascii="Calibri" w:hAnsi="Calibri" w:eastAsia="Verdana" w:cs="Calibri"/>
          <w:kern w:val="0"/>
          <w14:ligatures w14:val="none"/>
        </w:rPr>
      </w:pPr>
      <w:r w:rsidRPr="00474532">
        <w:rPr>
          <w:rFonts w:ascii="Calibri" w:hAnsi="Calibri" w:eastAsia="Verdana" w:cs="Calibri"/>
          <w:b/>
          <w:bCs/>
          <w:kern w:val="0"/>
          <w14:ligatures w14:val="none"/>
        </w:rPr>
        <w:t>Eurozone Aanbevelingen 2025</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Document: </w:t>
      </w:r>
      <w:r w:rsidRPr="00474532">
        <w:rPr>
          <w:rFonts w:ascii="Calibri" w:hAnsi="Calibri" w:eastAsia="Verdana" w:cs="Calibri"/>
          <w:kern w:val="0"/>
          <w14:ligatures w14:val="none"/>
        </w:rPr>
        <w:t>De</w:t>
      </w:r>
      <w:r w:rsidRPr="00474532">
        <w:rPr>
          <w:rFonts w:ascii="Calibri" w:hAnsi="Calibri" w:eastAsia="Verdana" w:cs="Calibri"/>
          <w:i/>
          <w:iCs/>
          <w:kern w:val="0"/>
          <w14:ligatures w14:val="none"/>
        </w:rPr>
        <w:t xml:space="preserve"> ‘Council recommendation on the economic policy of the euro area’ </w:t>
      </w:r>
      <w:r w:rsidRPr="00474532">
        <w:rPr>
          <w:rFonts w:ascii="Calibri" w:hAnsi="Calibri" w:eastAsia="Verdana" w:cs="Calibri"/>
          <w:kern w:val="0"/>
          <w14:ligatures w14:val="none"/>
        </w:rPr>
        <w:t>is nog niet beschikbaar. Deze wordt medio december gepubliceerd.</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Aard bespreking: </w:t>
      </w:r>
      <w:r w:rsidRPr="00474532">
        <w:rPr>
          <w:rFonts w:ascii="Calibri" w:hAnsi="Calibri" w:eastAsia="Verdana" w:cs="Calibri"/>
          <w:kern w:val="0"/>
          <w14:ligatures w14:val="none"/>
        </w:rPr>
        <w:t>bespreking ten behoeve van goedkeuring door de Raad.</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Besluitvormingsprocedure: </w:t>
      </w:r>
      <w:r w:rsidRPr="00474532">
        <w:rPr>
          <w:rFonts w:ascii="Calibri" w:hAnsi="Calibri" w:eastAsia="Verdana" w:cs="Calibri"/>
          <w:kern w:val="0"/>
          <w14:ligatures w14:val="none"/>
        </w:rPr>
        <w:t>n.v.t.</w:t>
      </w:r>
      <w:r w:rsidRPr="00474532">
        <w:rPr>
          <w:rFonts w:ascii="Calibri" w:hAnsi="Calibri" w:eastAsia="Verdana" w:cs="Calibri"/>
          <w:b/>
          <w:bCs/>
          <w:kern w:val="0"/>
          <w14:ligatures w14:val="none"/>
        </w:rPr>
        <w:t xml:space="preserve"> </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Toelichting: </w:t>
      </w:r>
      <w:r w:rsidRPr="00474532">
        <w:rPr>
          <w:rFonts w:ascii="Calibri" w:hAnsi="Calibri" w:eastAsia="Calibri" w:cs="Calibri"/>
          <w:kern w:val="0"/>
          <w14:ligatures w14:val="none"/>
        </w:rPr>
        <w:br/>
      </w:r>
      <w:r w:rsidRPr="00474532">
        <w:rPr>
          <w:rFonts w:ascii="Calibri" w:hAnsi="Calibri" w:eastAsia="Verdana" w:cs="Calibri"/>
          <w:kern w:val="0"/>
          <w14:ligatures w14:val="none"/>
        </w:rPr>
        <w:t>De Europese Commissie (de Commissie) publiceert medio december 2024 het tweede deel van het herfstpakket in het kader van het Europees Semester (Semester), met als onderdeel de Eurozone-aanbevelingen voor 2025 (</w:t>
      </w:r>
      <w:r w:rsidRPr="00474532">
        <w:rPr>
          <w:rFonts w:ascii="Calibri" w:hAnsi="Calibri" w:eastAsia="Verdana" w:cs="Calibri"/>
          <w:i/>
          <w:iCs/>
          <w:kern w:val="0"/>
          <w14:ligatures w14:val="none"/>
        </w:rPr>
        <w:t xml:space="preserve">Euro Area </w:t>
      </w:r>
      <w:r w:rsidRPr="00474532">
        <w:rPr>
          <w:rFonts w:ascii="Calibri" w:hAnsi="Calibri" w:eastAsia="Verdana" w:cs="Calibri"/>
          <w:i/>
          <w:iCs/>
          <w:kern w:val="0"/>
          <w14:ligatures w14:val="none"/>
        </w:rPr>
        <w:lastRenderedPageBreak/>
        <w:t>Recommendations</w:t>
      </w:r>
      <w:r w:rsidRPr="00474532">
        <w:rPr>
          <w:rFonts w:ascii="Calibri" w:hAnsi="Calibri" w:eastAsia="Verdana" w:cs="Calibri"/>
          <w:kern w:val="0"/>
          <w14:ligatures w14:val="none"/>
        </w:rPr>
        <w:t>, EAR). In de EAR worden de gezamenlijke (beleids-)uitdagingen voor het eurogebied voor 2025 en 2026 geïdentificeerd. De EAR wordt gepresenteerd in de Eurogroep van januari 2025 en wordt daarna in de Ecofinraad van januari 2025 als onderdeel van het bredere herfstpakket besproken. Tijdens de Eurogroep van februari van 2025 wordt de EAR nogmaals besproken, waarna de Ecofinraad de (aangepaste) EAR zal goedkeuren. De werkgelegenheids- en sociale aspecten van de EAR worden in de Raad Werkgelegenheid en Sociaal Beleid in maart 2025 besproken en goedgekeurd. De Europese Raad bekrachtigt daarna de aanbevelingen opgenomen in de EAR, waarna de Ecofinraad deze formeel aanneemt in mei 2025.</w:t>
      </w:r>
    </w:p>
    <w:p w:rsidRPr="00474532" w:rsidR="00B87B11" w:rsidP="00B87B11" w:rsidRDefault="00B87B11" w14:paraId="3A055851" w14:textId="77777777">
      <w:pPr>
        <w:spacing w:after="0" w:line="240" w:lineRule="atLeast"/>
        <w:rPr>
          <w:rFonts w:ascii="Calibri" w:hAnsi="Calibri" w:eastAsia="Verdana" w:cs="Calibri"/>
          <w:kern w:val="0"/>
          <w14:ligatures w14:val="none"/>
        </w:rPr>
      </w:pPr>
    </w:p>
    <w:p w:rsidRPr="00474532" w:rsidR="00B87B11" w:rsidP="00B87B11" w:rsidRDefault="00B87B11" w14:paraId="7A19EA79"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De Kamer zal middels een nazending op de geannoteerde agenda begin januari geïnformeerd worden over de Nederlandse inzet ten aanzien van de EAR.</w:t>
      </w:r>
    </w:p>
    <w:p w:rsidRPr="00474532" w:rsidR="00B87B11" w:rsidP="00B87B11" w:rsidRDefault="00B87B11" w14:paraId="4F4515FF" w14:textId="77777777">
      <w:pPr>
        <w:spacing w:after="0" w:line="240" w:lineRule="atLeast"/>
        <w:rPr>
          <w:rFonts w:ascii="Calibri" w:hAnsi="Calibri" w:eastAsia="Verdana" w:cs="Calibri"/>
          <w:b/>
          <w:bCs/>
          <w:kern w:val="0"/>
          <w14:ligatures w14:val="none"/>
        </w:rPr>
      </w:pPr>
    </w:p>
    <w:p w:rsidRPr="00474532" w:rsidR="00B87B11" w:rsidP="00B87B11" w:rsidRDefault="00B87B11" w14:paraId="2869C329" w14:textId="77777777">
      <w:pPr>
        <w:spacing w:after="0" w:line="240" w:lineRule="atLeast"/>
        <w:rPr>
          <w:rFonts w:ascii="Calibri" w:hAnsi="Calibri" w:eastAsia="Verdana" w:cs="Calibri"/>
          <w:kern w:val="0"/>
          <w14:ligatures w14:val="none"/>
        </w:rPr>
      </w:pPr>
      <w:r w:rsidRPr="00474532">
        <w:rPr>
          <w:rFonts w:ascii="Calibri" w:hAnsi="Calibri" w:eastAsia="Verdana" w:cs="Calibri"/>
          <w:b/>
          <w:bCs/>
          <w:kern w:val="0"/>
          <w14:ligatures w14:val="none"/>
        </w:rPr>
        <w:t>Economische beleidsprioriteiten van de volgende Europese Commissie</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Document: </w:t>
      </w:r>
      <w:r w:rsidRPr="00474532">
        <w:rPr>
          <w:rFonts w:ascii="Calibri" w:hAnsi="Calibri" w:eastAsia="Verdana" w:cs="Calibri"/>
          <w:kern w:val="0"/>
          <w14:ligatures w14:val="none"/>
        </w:rPr>
        <w:t>N.v.t.</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Aard bespreking: </w:t>
      </w:r>
      <w:r w:rsidRPr="00474532">
        <w:rPr>
          <w:rFonts w:ascii="Calibri" w:hAnsi="Calibri" w:eastAsia="Verdana" w:cs="Calibri"/>
          <w:kern w:val="0"/>
          <w14:ligatures w14:val="none"/>
        </w:rPr>
        <w:t>Gedachtewisseling</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Besluitvormingsprocedure: </w:t>
      </w:r>
      <w:r w:rsidRPr="00474532">
        <w:rPr>
          <w:rFonts w:ascii="Calibri" w:hAnsi="Calibri" w:eastAsia="Verdana" w:cs="Calibri"/>
          <w:kern w:val="0"/>
          <w14:ligatures w14:val="none"/>
        </w:rPr>
        <w:t>N.v.t.</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Toelichting:</w:t>
      </w:r>
      <w:r w:rsidRPr="00474532">
        <w:rPr>
          <w:rFonts w:ascii="Calibri" w:hAnsi="Calibri" w:eastAsia="Calibri" w:cs="Calibri"/>
          <w:kern w:val="0"/>
          <w14:ligatures w14:val="none"/>
        </w:rPr>
        <w:br/>
      </w:r>
      <w:r w:rsidRPr="00474532">
        <w:rPr>
          <w:rFonts w:ascii="Calibri" w:hAnsi="Calibri" w:eastAsia="Verdana" w:cs="Calibri"/>
          <w:kern w:val="0"/>
          <w14:ligatures w14:val="none"/>
        </w:rPr>
        <w:t xml:space="preserve">Naar verwachting zal de Commissie een presentatie geven aan de Eurogroep over de economische beleidsprioriteiten tijdens de nieuwe Commissieperiode. Initieel was deze presentatie voorzien tijdens de Eurogroep van 9 december jl. Naar verwachting zullen de gepresenteerde prioriteiten in lijn zijn met prioriteiten die zijn uitgelicht door de voorzitter van de Commissie in haar </w:t>
      </w:r>
      <w:r w:rsidRPr="00474532">
        <w:rPr>
          <w:rFonts w:ascii="Calibri" w:hAnsi="Calibri" w:eastAsia="Verdana" w:cs="Calibri"/>
          <w:i/>
          <w:iCs/>
          <w:kern w:val="0"/>
          <w14:ligatures w14:val="none"/>
        </w:rPr>
        <w:t>Political Guidelines</w:t>
      </w:r>
      <w:r w:rsidRPr="00474532">
        <w:rPr>
          <w:rFonts w:ascii="Calibri" w:hAnsi="Calibri" w:eastAsia="Verdana" w:cs="Calibri"/>
          <w:kern w:val="0"/>
          <w14:ligatures w14:val="none"/>
        </w:rPr>
        <w:t xml:space="preserve"> en in de </w:t>
      </w:r>
      <w:r w:rsidRPr="00474532">
        <w:rPr>
          <w:rFonts w:ascii="Calibri" w:hAnsi="Calibri" w:eastAsia="Verdana" w:cs="Calibri"/>
          <w:i/>
          <w:iCs/>
          <w:kern w:val="0"/>
          <w14:ligatures w14:val="none"/>
        </w:rPr>
        <w:t>mission letters</w:t>
      </w:r>
      <w:r w:rsidRPr="00474532">
        <w:rPr>
          <w:rFonts w:ascii="Calibri" w:hAnsi="Calibri" w:eastAsia="Verdana" w:cs="Calibri"/>
          <w:kern w:val="0"/>
          <w14:ligatures w14:val="none"/>
        </w:rPr>
        <w:t xml:space="preserve"> aan de Eurocommissarissen. Het doel van deze economische prioriteiten is het bevorderen van duurzame welvaart en concurrentievermogen. </w:t>
      </w:r>
    </w:p>
    <w:p w:rsidRPr="00474532" w:rsidR="00B87B11" w:rsidP="00B87B11" w:rsidRDefault="00B87B11" w14:paraId="7C70C878" w14:textId="77777777">
      <w:pPr>
        <w:spacing w:after="0" w:line="240" w:lineRule="atLeast"/>
        <w:rPr>
          <w:rFonts w:ascii="Calibri" w:hAnsi="Calibri" w:eastAsia="Verdana" w:cs="Calibri"/>
          <w:kern w:val="0"/>
          <w14:ligatures w14:val="none"/>
        </w:rPr>
      </w:pPr>
    </w:p>
    <w:p w:rsidRPr="00474532" w:rsidR="00B87B11" w:rsidP="00B87B11" w:rsidRDefault="00B87B11" w14:paraId="0DC795DD"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In de Political Guidelines en de mission letters wordt aangegeven dat concurrentievermogenbeleid nodig is dat beter is afgestemd op de doelen van de Europese Unie en meer steun biedt aan bedrijven die zich ontwikkelen op internationale markten. Ook versimpeling van regelgeving wordt hierbij genoemd als prioriteit. Hierdoor wordt het makkelijker voor het bedrijfsleven om zaken te doen. Daarom is het een prioriteit om de administratieve lasten voor het bedrijfsleven, specifiek kleine en middelgrote ondernemingen, te verminderen en de uitvoering te vereenvoudigen. Ook verbeterde energieonafhankelijkheid en het doorzetten van de transitie naar duurzame energiebronnen moeten bijdragen aan een sterkere concurrentiepositie van Europese bedrijven. Hiertoe behoort het verbeteren van het functioneren van de energiemarkt met het oog op het verlagen van de prijzen voor zowel consumenten als bedrijven. Dit kan onder andere door de verdere transitie naar groene energie en het versterken van de gezamenlijke inkoop van brandstoffen. Daarnaast is het waarborgen van budgettaire stabiliteit en het gelijktijdig stimuleren van hervormingen en investeringen volgens de Commissie een prioriteit. De tijdige implementatie van de Herstel- en Veerkrachtfaciliteit en de effectieve en consistente uitvoering van het hervormde Stabiliteits- en Groeipact spelen hierin een rol. Ook het verdiepen van de kapitaalmarktunie wordt genoemd als prioriteit om investeringen te ondersteunen.</w:t>
      </w:r>
    </w:p>
    <w:p w:rsidRPr="00474532" w:rsidR="00B87B11" w:rsidP="00B87B11" w:rsidRDefault="00B87B11" w14:paraId="3CCCF2E9" w14:textId="77777777">
      <w:pPr>
        <w:spacing w:after="0" w:line="240" w:lineRule="atLeast"/>
        <w:rPr>
          <w:rFonts w:ascii="Calibri" w:hAnsi="Calibri" w:eastAsia="Verdana" w:cs="Calibri"/>
          <w:kern w:val="0"/>
          <w14:ligatures w14:val="none"/>
        </w:rPr>
      </w:pPr>
    </w:p>
    <w:p w:rsidRPr="00474532" w:rsidR="00B87B11" w:rsidP="00B87B11" w:rsidRDefault="00B87B11" w14:paraId="1D8FB441" w14:textId="77777777">
      <w:pPr>
        <w:spacing w:after="0" w:line="240" w:lineRule="atLeast"/>
        <w:rPr>
          <w:rFonts w:ascii="Calibri" w:hAnsi="Calibri" w:eastAsia="Verdana" w:cs="Calibri"/>
          <w:kern w:val="0"/>
          <w14:ligatures w14:val="none"/>
        </w:rPr>
      </w:pPr>
      <w:r w:rsidRPr="00474532">
        <w:rPr>
          <w:rFonts w:ascii="Calibri" w:hAnsi="Calibri" w:eastAsia="Calibri" w:cs="Calibri"/>
          <w:kern w:val="0"/>
          <w14:ligatures w14:val="none"/>
        </w:rPr>
        <w:lastRenderedPageBreak/>
        <w:t>Indien opportuun kan Nederland haar financieel-economische prioriteiten voor het voetlicht brengen, met o.a. een nadruk op het verbeteren van het vestigingsklimaat, versterken van de kapitaalmarktunie en het mobiliseren van privaat kapitaal, het effectief inzetten van publieke middelen, versterken van de interne markt, verlagen van de regeldruk voor bedrijven, en gericht industrie- en innovatiebeleid.</w:t>
      </w:r>
    </w:p>
    <w:p w:rsidRPr="00474532" w:rsidR="00B87B11" w:rsidP="00B87B11" w:rsidRDefault="00B87B11" w14:paraId="2D02F2C3" w14:textId="77777777">
      <w:pPr>
        <w:spacing w:after="0" w:line="240" w:lineRule="atLeast"/>
        <w:rPr>
          <w:rFonts w:ascii="Calibri" w:hAnsi="Calibri" w:eastAsia="Verdana" w:cs="Calibri"/>
          <w:kern w:val="0"/>
          <w14:ligatures w14:val="none"/>
        </w:rPr>
      </w:pPr>
    </w:p>
    <w:p w:rsidRPr="00474532" w:rsidR="00B87B11" w:rsidP="00B87B11" w:rsidRDefault="00B87B11" w14:paraId="6527F1D0" w14:textId="77777777">
      <w:pPr>
        <w:spacing w:after="0" w:line="240" w:lineRule="atLeast"/>
        <w:rPr>
          <w:rFonts w:ascii="Calibri" w:hAnsi="Calibri" w:eastAsia="Verdana" w:cs="Calibri"/>
          <w:kern w:val="0"/>
          <w14:ligatures w14:val="none"/>
        </w:rPr>
      </w:pPr>
      <w:r w:rsidRPr="00474532">
        <w:rPr>
          <w:rFonts w:ascii="Calibri" w:hAnsi="Calibri" w:eastAsia="Verdana" w:cs="Calibri"/>
          <w:b/>
          <w:bCs/>
          <w:kern w:val="0"/>
          <w14:ligatures w14:val="none"/>
        </w:rPr>
        <w:t>Macro-economische ontwikkelingen en beleidscoördinatie in de eurozone</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Document: </w:t>
      </w:r>
      <w:r w:rsidRPr="00474532">
        <w:rPr>
          <w:rFonts w:ascii="Calibri" w:hAnsi="Calibri" w:eastAsia="Verdana" w:cs="Calibri"/>
          <w:kern w:val="0"/>
          <w14:ligatures w14:val="none"/>
        </w:rPr>
        <w:t>N.v.t.</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Aard bespreking: </w:t>
      </w:r>
      <w:r w:rsidRPr="00474532">
        <w:rPr>
          <w:rFonts w:ascii="Calibri" w:hAnsi="Calibri" w:eastAsia="Verdana" w:cs="Calibri"/>
          <w:kern w:val="0"/>
          <w14:ligatures w14:val="none"/>
        </w:rPr>
        <w:t>Gedachtewisseling</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Besluitvormingsprocedure: </w:t>
      </w:r>
      <w:r w:rsidRPr="00474532">
        <w:rPr>
          <w:rFonts w:ascii="Calibri" w:hAnsi="Calibri" w:eastAsia="Verdana" w:cs="Calibri"/>
          <w:kern w:val="0"/>
          <w14:ligatures w14:val="none"/>
        </w:rPr>
        <w:t>N.v.t.</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Toelichting:</w:t>
      </w:r>
      <w:r w:rsidRPr="00474532">
        <w:rPr>
          <w:rFonts w:ascii="Calibri" w:hAnsi="Calibri" w:eastAsia="Calibri" w:cs="Calibri"/>
          <w:kern w:val="0"/>
          <w14:ligatures w14:val="none"/>
        </w:rPr>
        <w:br/>
      </w:r>
      <w:r w:rsidRPr="00474532">
        <w:rPr>
          <w:rFonts w:ascii="Calibri" w:hAnsi="Calibri" w:eastAsia="Verdana" w:cs="Calibri"/>
          <w:kern w:val="0"/>
          <w14:ligatures w14:val="none"/>
        </w:rPr>
        <w:t>De Eurogroep zal naar verwachting van gedachten wisselen over de huidige macro-economische ontwikkelingen in de eurozone. Op 15 november jl. publiceerde de Europese Commissie haar herfstraming.</w:t>
      </w:r>
      <w:r w:rsidRPr="00474532">
        <w:rPr>
          <w:rFonts w:ascii="Calibri" w:hAnsi="Calibri" w:eastAsia="Verdana" w:cs="Calibri"/>
          <w:kern w:val="0"/>
          <w:vertAlign w:val="superscript"/>
          <w14:ligatures w14:val="none"/>
        </w:rPr>
        <w:footnoteReference w:id="1"/>
      </w:r>
      <w:r w:rsidRPr="00474532">
        <w:rPr>
          <w:rFonts w:ascii="Calibri" w:hAnsi="Calibri" w:eastAsia="Verdana" w:cs="Calibri"/>
          <w:kern w:val="0"/>
          <w14:ligatures w14:val="none"/>
        </w:rPr>
        <w:t xml:space="preserve"> De Commissie raamt de bbp-groei in de eurozone op 0,8% in 2024, 1,3% in 2025 en 1,6% in 2026. Dit is een negatieve bijstelling van 0,1%-pt voor 2025 ten opzichte van de vorige Commissieraming van 15 mei jl. De neerwaartse bijstelling van de groeiverwachting komt voornamelijk door een lager dan verwachte binnenlandse vraag in de eurozone.</w:t>
      </w:r>
    </w:p>
    <w:p w:rsidRPr="00474532" w:rsidR="00B87B11" w:rsidP="00B87B11" w:rsidRDefault="00B87B11" w14:paraId="4874A3A3" w14:textId="77777777">
      <w:pPr>
        <w:spacing w:after="0" w:line="240" w:lineRule="atLeast"/>
        <w:rPr>
          <w:rFonts w:ascii="Calibri" w:hAnsi="Calibri" w:eastAsia="Verdana" w:cs="Calibri"/>
          <w:kern w:val="0"/>
          <w14:ligatures w14:val="none"/>
        </w:rPr>
      </w:pPr>
    </w:p>
    <w:p w:rsidRPr="00474532" w:rsidR="00B87B11" w:rsidP="00B87B11" w:rsidRDefault="00B87B11" w14:paraId="3DB66D58"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Op 12 december jl. heeft de Europese Centrale Bank (ECB) haar meest recente raming gepubliceerd.</w:t>
      </w:r>
      <w:r w:rsidRPr="00474532">
        <w:rPr>
          <w:rFonts w:ascii="Calibri" w:hAnsi="Calibri" w:eastAsia="Verdana" w:cs="Calibri"/>
          <w:kern w:val="0"/>
          <w:vertAlign w:val="superscript"/>
          <w14:ligatures w14:val="none"/>
        </w:rPr>
        <w:footnoteReference w:id="2"/>
      </w:r>
      <w:r w:rsidRPr="00474532">
        <w:rPr>
          <w:rFonts w:ascii="Calibri" w:hAnsi="Calibri" w:eastAsia="Verdana" w:cs="Calibri"/>
          <w:kern w:val="0"/>
          <w14:ligatures w14:val="none"/>
        </w:rPr>
        <w:t xml:space="preserve"> Hierin schetst de ECB dat de economie van de eurozone zich de komende jaren geleidelijk zal blijven herstellen, ondanks de grote geopolitieke onzekerheden. Met name stijgende reële lonen en hoge werkgelegenheid zullen naar verwachting een herstel van groei ondersteunen. Ook uitgaven uit het herstel- en veerkrachtfonds zouden moeten bijdragen aan groei, evenals de buitenlandse vraag. De ECB verwacht dat de inflatie eind 2024 tijdelijk zal stijgen, als gevolg van tijdelijk relatief hogere energieprijzen. De ECB raamt dat de inflatie in de eurozone na 2024 zal dalen, van 2,4% in 2024 naar 2,1% in 2025 en verder naar 1,9% in 2026. Deze daling zal naar verwachting worden geleid door een daling van de diensteninflatie, die tot nu toe relatief hardnekkig is geweest. De arbeidsmarkt blijft ondanks lagere groeicijfers dan voorheen, robuust. De ECB verwacht dat de werkloosheid in de EU na een kleine toename begin 2025, weer verder af zal nemen naar 6,1% in 2027. De ECB verwacht dat het begrotingsbeleid in 2024 aanzienlijk verkrappend is geworden, meer dan verwacht in de raming van september. Dit is onder meer het gevolg van onder andere de afzwakking van een groot deel van de energie- en inflatie ondersteunende maatregelen. Over het geheel genomen blijft het geaggregeerde begrotingsbeleid voor de periode 2020-2024 zeer ruim, als gevolg van de grote hoeveelheid begrotingssteun die lidstaten hebben geboden sinds het uitbreken van de pandemie.</w:t>
      </w:r>
    </w:p>
    <w:p w:rsidRPr="00474532" w:rsidR="00B87B11" w:rsidP="00B87B11" w:rsidRDefault="00B87B11" w14:paraId="1A8DAD9A" w14:textId="77777777">
      <w:pPr>
        <w:spacing w:after="0" w:line="240" w:lineRule="atLeast"/>
        <w:rPr>
          <w:rFonts w:ascii="Calibri" w:hAnsi="Calibri" w:eastAsia="Verdana" w:cs="Calibri"/>
          <w:kern w:val="0"/>
          <w14:ligatures w14:val="none"/>
        </w:rPr>
      </w:pPr>
    </w:p>
    <w:p w:rsidRPr="00474532" w:rsidR="00B87B11" w:rsidP="00B87B11" w:rsidRDefault="00B87B11" w14:paraId="48499E3F"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lastRenderedPageBreak/>
        <w:t xml:space="preserve">Voor Nederland blijft aandacht voor de houdbaarheid van de overheidsfinanciën van belang. Verder blijft het van belang dat lidstaten aandacht besteden aan het versterken van hun economie om duurzame economische groei en weerbaarheid te vergroten. Daarbij is het cruciaal dat lidstaten structurele hervormingen implementeren. Indien opportuun zal Nederland op basis van bovenstaande deelnemen aan de gedachtewisseling. </w:t>
      </w:r>
    </w:p>
    <w:p w:rsidRPr="00474532" w:rsidR="00B87B11" w:rsidP="00B87B11" w:rsidRDefault="00B87B11" w14:paraId="4B48C4A8" w14:textId="77777777">
      <w:pPr>
        <w:keepNext/>
        <w:keepLines/>
        <w:spacing w:after="0" w:line="240" w:lineRule="atLeast"/>
        <w:outlineLvl w:val="2"/>
        <w:rPr>
          <w:rFonts w:ascii="Calibri" w:hAnsi="Calibri" w:eastAsia="Times New Roman" w:cs="Calibri"/>
          <w:color w:val="1F3763"/>
          <w:kern w:val="0"/>
          <w14:ligatures w14:val="none"/>
        </w:rPr>
      </w:pPr>
    </w:p>
    <w:p w:rsidRPr="00474532" w:rsidR="00B87B11" w:rsidP="00B87B11" w:rsidRDefault="00B87B11" w14:paraId="41AD3ED7" w14:textId="77777777">
      <w:pPr>
        <w:keepNext/>
        <w:keepLines/>
        <w:spacing w:after="0" w:line="240" w:lineRule="atLeast"/>
        <w:outlineLvl w:val="2"/>
        <w:rPr>
          <w:rFonts w:ascii="Calibri" w:hAnsi="Calibri" w:eastAsia="Times New Roman" w:cs="Calibri"/>
          <w:b/>
          <w:bCs/>
          <w:color w:val="1F3763"/>
          <w:kern w:val="0"/>
          <w14:ligatures w14:val="none"/>
        </w:rPr>
      </w:pPr>
      <w:r w:rsidRPr="00474532">
        <w:rPr>
          <w:rFonts w:ascii="Calibri" w:hAnsi="Calibri" w:eastAsia="Times New Roman" w:cs="Calibri"/>
          <w:color w:val="1F3763"/>
          <w:kern w:val="0"/>
          <w14:ligatures w14:val="none"/>
        </w:rPr>
        <w:t>Ecofinraad</w:t>
      </w:r>
    </w:p>
    <w:p w:rsidRPr="00474532" w:rsidR="00B87B11" w:rsidP="00B87B11" w:rsidRDefault="00B87B11" w14:paraId="2E50A7D5" w14:textId="77777777">
      <w:pPr>
        <w:spacing w:after="0" w:line="240" w:lineRule="atLeast"/>
        <w:rPr>
          <w:rFonts w:ascii="Calibri" w:hAnsi="Calibri" w:eastAsia="Verdana" w:cs="Calibri"/>
          <w:b/>
          <w:bCs/>
          <w:kern w:val="0"/>
          <w14:ligatures w14:val="none"/>
        </w:rPr>
      </w:pPr>
      <w:bookmarkStart w:name="_Hlk185326277" w:id="0"/>
      <w:r w:rsidRPr="00474532">
        <w:rPr>
          <w:rFonts w:ascii="Calibri" w:hAnsi="Calibri" w:eastAsia="Verdana" w:cs="Calibri"/>
          <w:b/>
          <w:bCs/>
          <w:kern w:val="0"/>
          <w14:ligatures w14:val="none"/>
        </w:rPr>
        <w:t>Informeel diner en Ecofin-ontbijt over actuele Europese uitdagingen</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Document: </w:t>
      </w:r>
      <w:r w:rsidRPr="00474532">
        <w:rPr>
          <w:rFonts w:ascii="Calibri" w:hAnsi="Calibri" w:eastAsia="Verdana" w:cs="Calibri"/>
          <w:kern w:val="0"/>
          <w14:ligatures w14:val="none"/>
        </w:rPr>
        <w:t>N.v.t.</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Aard bespreking: </w:t>
      </w:r>
      <w:r w:rsidRPr="00474532">
        <w:rPr>
          <w:rFonts w:ascii="Calibri" w:hAnsi="Calibri" w:eastAsia="Verdana" w:cs="Calibri"/>
          <w:kern w:val="0"/>
          <w14:ligatures w14:val="none"/>
        </w:rPr>
        <w:t>Gedachtewisseling</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Besluitvormingsprocedure: </w:t>
      </w:r>
      <w:r w:rsidRPr="00474532">
        <w:rPr>
          <w:rFonts w:ascii="Calibri" w:hAnsi="Calibri" w:eastAsia="Verdana" w:cs="Calibri"/>
          <w:kern w:val="0"/>
          <w14:ligatures w14:val="none"/>
        </w:rPr>
        <w:t>N.v.t.</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Toelichting:</w:t>
      </w:r>
    </w:p>
    <w:p w:rsidRPr="00474532" w:rsidR="00B87B11" w:rsidP="00B87B11" w:rsidRDefault="00B87B11" w14:paraId="6743552B"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Het Pools voorzitterschap heeft aangegeven aan de vooravond van de Ecofinraad een informeel diner te organiseren met alle ministers van Financiën. Tijdens dit diner zal naar verwachting gesproken worden over actuele Europese uitdagingen, waaronder hoge energieprijzen en energieveiligheid. Daarnaast zal mogelijk tijdens een ontbijtsessie voorafgaand aan de Ecofinraad ook over deze onderwerpen gesproken worden.</w:t>
      </w:r>
    </w:p>
    <w:p w:rsidRPr="00474532" w:rsidR="00B87B11" w:rsidP="00B87B11" w:rsidRDefault="00B87B11" w14:paraId="1D2734B4" w14:textId="77777777">
      <w:pPr>
        <w:spacing w:after="0" w:line="240" w:lineRule="atLeast"/>
        <w:rPr>
          <w:rFonts w:ascii="Calibri" w:hAnsi="Calibri" w:eastAsia="Verdana" w:cs="Calibri"/>
          <w:kern w:val="0"/>
          <w14:ligatures w14:val="none"/>
        </w:rPr>
      </w:pPr>
    </w:p>
    <w:p w:rsidRPr="00474532" w:rsidR="00B87B11" w:rsidP="00B87B11" w:rsidRDefault="00B87B11" w14:paraId="041DAE51"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Het Poolse voorzitterschap heeft de energietransitie als een van de prioriteiten van haar voorzitterschap voor het komende half jaar aangemerkt. Besprekingen richten zich onder andere op hoge energieprijzen en energieveiligheid. Polen wil ook maatregelen nemen om de onafhankelijkheid van de EU te bevorderen ten aanzien van de import van Russische energie. Voor Nederland is in het energiedomein diversificatie van energiebronnen en afbouw van risicovolle strategische afhankelijkheden van belang. Nederland is voorstander van de afbouw van import van Russische fossiele brandstoffen, en zet zich in voor concrete maatregelen ten aanzien van het afbouwen van import van Russische LNG.</w:t>
      </w:r>
    </w:p>
    <w:p w:rsidRPr="00474532" w:rsidR="00B87B11" w:rsidP="00B87B11" w:rsidRDefault="00B87B11" w14:paraId="01B51380" w14:textId="77777777">
      <w:pPr>
        <w:spacing w:after="0" w:line="240" w:lineRule="atLeast"/>
        <w:rPr>
          <w:rFonts w:ascii="Calibri" w:hAnsi="Calibri" w:eastAsia="Verdana" w:cs="Calibri"/>
          <w:kern w:val="0"/>
          <w14:ligatures w14:val="none"/>
        </w:rPr>
      </w:pPr>
    </w:p>
    <w:p w:rsidRPr="00474532" w:rsidR="00B87B11" w:rsidP="00B87B11" w:rsidRDefault="00B87B11" w14:paraId="1AB9C036"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 xml:space="preserve">Nederland deelt in zijn algemeenheid het geschetste belang van het adresseren van de hoge energieprijzen voor bedrijven en huishoudens. Om de prijzen te verlagen zijn er volgens Nederland vooral structurele maatregelen nodig, waaronder een sterkere integratie van de Europese energiemarkt met voldoende interconnectie, het versterken van flexibiliteit in het systeem, en bevordering van energiebesparing. Voor Nederland zijn prijs- en marktprikkels en de efficiënte werking van de interne markt cruciaal om energiekosten betaalbaar te houden en efficiënte investeringen te stimuleren. Onnodig ingrijpen op de werking van de energiemarkt, bijvoorbeeld door het instellen van prijslimieten, een infra-marginale elektriciteitsheffing of gerichte prijssteun voor de industrie beziet Nederland daarom kritisch. </w:t>
      </w:r>
    </w:p>
    <w:p w:rsidRPr="00474532" w:rsidR="00B87B11" w:rsidP="00B87B11" w:rsidRDefault="00B87B11" w14:paraId="630F9FA0" w14:textId="77777777">
      <w:pPr>
        <w:spacing w:after="0" w:line="240" w:lineRule="atLeast"/>
        <w:rPr>
          <w:rFonts w:ascii="Calibri" w:hAnsi="Calibri" w:eastAsia="Verdana" w:cs="Calibri"/>
          <w:kern w:val="0"/>
          <w14:ligatures w14:val="none"/>
        </w:rPr>
      </w:pPr>
    </w:p>
    <w:p w:rsidRPr="00474532" w:rsidR="00B87B11" w:rsidP="00B87B11" w:rsidRDefault="00B87B11" w14:paraId="696B9CF5" w14:textId="77777777">
      <w:pPr>
        <w:spacing w:after="0" w:line="240" w:lineRule="atLeast"/>
        <w:rPr>
          <w:rFonts w:ascii="Calibri" w:hAnsi="Calibri" w:eastAsia="Verdana" w:cs="Calibri"/>
          <w:kern w:val="0"/>
          <w14:ligatures w14:val="none"/>
        </w:rPr>
      </w:pPr>
      <w:r w:rsidRPr="00474532">
        <w:rPr>
          <w:rFonts w:ascii="Calibri" w:hAnsi="Calibri" w:eastAsia="Calibri" w:cs="Calibri"/>
          <w:kern w:val="0"/>
          <w14:ligatures w14:val="none"/>
        </w:rPr>
        <w:t xml:space="preserve">Mocht een bredere discussie plaatsvinden kan Nederland indien opportuun en in het kader van actuele Europese uitdagingen, haar financieel-economische prioriteiten over het voetlicht brengen, met o.a. een nadruk op het verbeteren van het vestigingsklimaat, versterken van de kapitaalmarktunie en het mobiliseren van privaat kapitaal, het effectief inzetten van publieke middelen, versterken van de </w:t>
      </w:r>
      <w:r w:rsidRPr="00474532">
        <w:rPr>
          <w:rFonts w:ascii="Calibri" w:hAnsi="Calibri" w:eastAsia="Calibri" w:cs="Calibri"/>
          <w:kern w:val="0"/>
          <w14:ligatures w14:val="none"/>
        </w:rPr>
        <w:lastRenderedPageBreak/>
        <w:t>interne markt, verlagen van de regeldruk voor bedrijven, en gerichte industrie- en innovatiebeleid.</w:t>
      </w:r>
      <w:bookmarkEnd w:id="0"/>
    </w:p>
    <w:p w:rsidRPr="00474532" w:rsidR="00B87B11" w:rsidP="00B87B11" w:rsidRDefault="00B87B11" w14:paraId="6071490E" w14:textId="77777777">
      <w:pPr>
        <w:spacing w:after="0" w:line="240" w:lineRule="atLeast"/>
        <w:rPr>
          <w:rFonts w:ascii="Calibri" w:hAnsi="Calibri" w:eastAsia="Verdana" w:cs="Calibri"/>
          <w:kern w:val="0"/>
          <w14:ligatures w14:val="none"/>
        </w:rPr>
      </w:pPr>
    </w:p>
    <w:p w:rsidRPr="00474532" w:rsidR="00B87B11" w:rsidP="00B87B11" w:rsidRDefault="00B87B11" w14:paraId="750C870F" w14:textId="77777777">
      <w:pPr>
        <w:spacing w:after="0" w:line="240" w:lineRule="atLeast"/>
        <w:rPr>
          <w:rFonts w:ascii="Calibri" w:hAnsi="Calibri" w:eastAsia="Verdana" w:cs="Calibri"/>
          <w:b/>
          <w:bCs/>
          <w:kern w:val="0"/>
          <w14:ligatures w14:val="none"/>
        </w:rPr>
      </w:pPr>
    </w:p>
    <w:p w:rsidRPr="00474532" w:rsidR="00B87B11" w:rsidP="00B87B11" w:rsidRDefault="00B87B11" w14:paraId="7CA636A4" w14:textId="77777777">
      <w:pPr>
        <w:spacing w:after="0" w:line="240" w:lineRule="atLeast"/>
        <w:rPr>
          <w:rFonts w:ascii="Calibri" w:hAnsi="Calibri" w:eastAsia="Verdana" w:cs="Calibri"/>
          <w:b/>
          <w:bCs/>
          <w:kern w:val="0"/>
          <w14:ligatures w14:val="none"/>
        </w:rPr>
      </w:pPr>
      <w:r w:rsidRPr="00474532">
        <w:rPr>
          <w:rFonts w:ascii="Calibri" w:hAnsi="Calibri" w:eastAsia="Verdana" w:cs="Calibri"/>
          <w:b/>
          <w:bCs/>
          <w:kern w:val="0"/>
          <w14:ligatures w14:val="none"/>
        </w:rPr>
        <w:t>Werkprogramma Pools voorzitterschap</w:t>
      </w:r>
    </w:p>
    <w:p w:rsidRPr="00474532" w:rsidR="00B87B11" w:rsidP="00B87B11" w:rsidRDefault="00B87B11" w14:paraId="0F8B3CE0" w14:textId="77777777">
      <w:pPr>
        <w:spacing w:after="0" w:line="240" w:lineRule="atLeast"/>
        <w:rPr>
          <w:rFonts w:ascii="Calibri" w:hAnsi="Calibri" w:eastAsia="Verdana" w:cs="Calibri"/>
          <w:b/>
          <w:bCs/>
          <w:kern w:val="0"/>
          <w14:ligatures w14:val="none"/>
        </w:rPr>
      </w:pPr>
      <w:r w:rsidRPr="00474532">
        <w:rPr>
          <w:rFonts w:ascii="Calibri" w:hAnsi="Calibri" w:eastAsia="Verdana" w:cs="Calibri"/>
          <w:b/>
          <w:bCs/>
          <w:kern w:val="0"/>
          <w14:ligatures w14:val="none"/>
        </w:rPr>
        <w:t xml:space="preserve">Document: </w:t>
      </w:r>
      <w:r w:rsidRPr="00474532">
        <w:rPr>
          <w:rFonts w:ascii="Calibri" w:hAnsi="Calibri" w:eastAsia="Verdana" w:cs="Calibri"/>
          <w:kern w:val="0"/>
          <w14:ligatures w14:val="none"/>
        </w:rPr>
        <w:t>N.v.t.</w:t>
      </w:r>
    </w:p>
    <w:p w:rsidRPr="00474532" w:rsidR="00B87B11" w:rsidP="00B87B11" w:rsidRDefault="00B87B11" w14:paraId="6BAB0443" w14:textId="77777777">
      <w:pPr>
        <w:spacing w:after="0" w:line="240" w:lineRule="atLeast"/>
        <w:rPr>
          <w:rFonts w:ascii="Calibri" w:hAnsi="Calibri" w:eastAsia="Verdana" w:cs="Calibri"/>
          <w:kern w:val="0"/>
          <w14:ligatures w14:val="none"/>
        </w:rPr>
      </w:pPr>
      <w:r w:rsidRPr="00474532">
        <w:rPr>
          <w:rFonts w:ascii="Calibri" w:hAnsi="Calibri" w:eastAsia="Verdana" w:cs="Calibri"/>
          <w:b/>
          <w:bCs/>
          <w:kern w:val="0"/>
          <w14:ligatures w14:val="none"/>
        </w:rPr>
        <w:t xml:space="preserve">Aard bespreking: </w:t>
      </w:r>
      <w:r w:rsidRPr="00474532">
        <w:rPr>
          <w:rFonts w:ascii="Calibri" w:hAnsi="Calibri" w:eastAsia="Verdana" w:cs="Calibri"/>
          <w:kern w:val="0"/>
          <w14:ligatures w14:val="none"/>
        </w:rPr>
        <w:t>Presentatie en gedachtewisseling</w:t>
      </w:r>
    </w:p>
    <w:p w:rsidRPr="00474532" w:rsidR="00B87B11" w:rsidP="00B87B11" w:rsidRDefault="00B87B11" w14:paraId="1ACF6299" w14:textId="77777777">
      <w:pPr>
        <w:spacing w:after="0" w:line="240" w:lineRule="atLeast"/>
        <w:rPr>
          <w:rFonts w:ascii="Calibri" w:hAnsi="Calibri" w:eastAsia="Verdana" w:cs="Calibri"/>
          <w:b/>
          <w:bCs/>
          <w:kern w:val="0"/>
          <w14:ligatures w14:val="none"/>
        </w:rPr>
      </w:pPr>
      <w:r w:rsidRPr="00474532">
        <w:rPr>
          <w:rFonts w:ascii="Calibri" w:hAnsi="Calibri" w:eastAsia="Verdana" w:cs="Calibri"/>
          <w:b/>
          <w:bCs/>
          <w:kern w:val="0"/>
          <w14:ligatures w14:val="none"/>
        </w:rPr>
        <w:t xml:space="preserve">Besluitvormingsprocedure: </w:t>
      </w:r>
      <w:r w:rsidRPr="00474532">
        <w:rPr>
          <w:rFonts w:ascii="Calibri" w:hAnsi="Calibri" w:eastAsia="Verdana" w:cs="Calibri"/>
          <w:kern w:val="0"/>
          <w14:ligatures w14:val="none"/>
        </w:rPr>
        <w:t>N.v.t.</w:t>
      </w:r>
    </w:p>
    <w:p w:rsidRPr="00474532" w:rsidR="00B87B11" w:rsidP="00B87B11" w:rsidRDefault="00B87B11" w14:paraId="21063C8F" w14:textId="77777777">
      <w:pPr>
        <w:spacing w:after="0" w:line="240" w:lineRule="atLeast"/>
        <w:rPr>
          <w:rFonts w:ascii="Calibri" w:hAnsi="Calibri" w:eastAsia="Verdana" w:cs="Calibri"/>
          <w:b/>
          <w:bCs/>
          <w:kern w:val="0"/>
          <w14:ligatures w14:val="none"/>
        </w:rPr>
      </w:pPr>
      <w:r w:rsidRPr="00474532">
        <w:rPr>
          <w:rFonts w:ascii="Calibri" w:hAnsi="Calibri" w:eastAsia="Verdana" w:cs="Calibri"/>
          <w:b/>
          <w:bCs/>
          <w:kern w:val="0"/>
          <w14:ligatures w14:val="none"/>
        </w:rPr>
        <w:t>Toelichting:</w:t>
      </w:r>
    </w:p>
    <w:p w:rsidRPr="00474532" w:rsidR="00B87B11" w:rsidP="00B87B11" w:rsidRDefault="00B87B11" w14:paraId="074DFD8A"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Polen is in de eerste helft van 2025 de voorzitter van de Raad van de Europese Unie en heeft voor die periode haar werkprogramma gepubliceerd.</w:t>
      </w:r>
      <w:r w:rsidRPr="00474532">
        <w:rPr>
          <w:rFonts w:ascii="Calibri" w:hAnsi="Calibri" w:eastAsia="Verdana" w:cs="Calibri"/>
          <w:kern w:val="0"/>
          <w:vertAlign w:val="superscript"/>
          <w14:ligatures w14:val="none"/>
        </w:rPr>
        <w:footnoteReference w:id="3"/>
      </w:r>
      <w:r w:rsidRPr="00474532">
        <w:rPr>
          <w:rFonts w:ascii="Calibri" w:hAnsi="Calibri" w:eastAsia="Verdana" w:cs="Calibri"/>
          <w:kern w:val="0"/>
          <w14:ligatures w14:val="none"/>
        </w:rPr>
        <w:t xml:space="preserve"> Daarin zijn de volgende 7 prioriteiten gepubliceerd; 1) defensie en veiligheid, 2) bescherming van mensen en grenzen, 3) weerstand tegen buitenlandse inmenging en desinformatie, 4) het waarborgen van de veiligheid en de vrijheid van zakendoen, 5) energietransitie, 6) concurrerende en veerkrachtige landbouw en 7) gezondheidsveiligheid.</w:t>
      </w:r>
    </w:p>
    <w:p w:rsidRPr="00474532" w:rsidR="00B87B11" w:rsidP="00B87B11" w:rsidRDefault="00B87B11" w14:paraId="56044477" w14:textId="77777777">
      <w:pPr>
        <w:spacing w:after="0" w:line="240" w:lineRule="atLeast"/>
        <w:rPr>
          <w:rFonts w:ascii="Calibri" w:hAnsi="Calibri" w:eastAsia="Verdana" w:cs="Calibri"/>
          <w:b/>
          <w:bCs/>
          <w:kern w:val="0"/>
          <w14:ligatures w14:val="none"/>
        </w:rPr>
      </w:pPr>
    </w:p>
    <w:p w:rsidRPr="00474532" w:rsidR="00B87B11" w:rsidP="00B87B11" w:rsidRDefault="00B87B11" w14:paraId="7CC35EF2"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Op specifiek het economische en financiële beleidsterrein schrijft het Pools voorzitterschap zich te richten op het stroomlijnen van de interne markt en het versterken van het concurrentievermogen door middel van inspanningen om de Kapitaalmarktunie te versterken, overregulering te verminderen en aandacht te besteden aan de energietransitie. Ook zal Polen zich inzetten voor het versterken van de defensiecapaciteiten van de EU en het blijven ondersteunen van Oekraïne. Verder zal er verder gewerkt worden aan de implementatie van het Europese begrotingsraamwerk, wetgeving inzake financiële diensten, dossiers op het gebied van directe en indirecte belastingen, hervorming van de Douane-unie, EU-begroting voor 2026 en een evenwichtige en efficiënte inkomstenzijde van de EU-begroting.</w:t>
      </w:r>
    </w:p>
    <w:p w:rsidRPr="00474532" w:rsidR="00B87B11" w:rsidP="00B87B11" w:rsidRDefault="00B87B11" w14:paraId="6E1E6252" w14:textId="77777777">
      <w:pPr>
        <w:spacing w:after="0" w:line="240" w:lineRule="atLeast"/>
        <w:rPr>
          <w:rFonts w:ascii="Calibri" w:hAnsi="Calibri" w:eastAsia="Verdana" w:cs="Calibri"/>
          <w:kern w:val="0"/>
          <w14:ligatures w14:val="none"/>
        </w:rPr>
      </w:pPr>
    </w:p>
    <w:p w:rsidRPr="00474532" w:rsidR="00B87B11" w:rsidP="00B87B11" w:rsidRDefault="00B87B11" w14:paraId="1EAEE019"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In deze Ecofinraad zal Polen het werkprogramma presenteren en aangeven wat de prioriteiten zijn voor de periode januari 2025 tot en met juni 2025. Nederland kan de presentatie van het Poolse voorzitterschap aanhoren.</w:t>
      </w:r>
    </w:p>
    <w:p w:rsidRPr="00474532" w:rsidR="00B87B11" w:rsidP="00B87B11" w:rsidRDefault="00B87B11" w14:paraId="35D7DFBF" w14:textId="77777777">
      <w:pPr>
        <w:spacing w:after="0" w:line="240" w:lineRule="atLeast"/>
        <w:rPr>
          <w:rFonts w:ascii="Calibri" w:hAnsi="Calibri" w:eastAsia="Verdana" w:cs="Calibri"/>
          <w:b/>
          <w:bCs/>
          <w:kern w:val="0"/>
          <w14:ligatures w14:val="none"/>
        </w:rPr>
      </w:pPr>
    </w:p>
    <w:p w:rsidRPr="00474532" w:rsidR="00B87B11" w:rsidP="00B87B11" w:rsidRDefault="00B87B11" w14:paraId="35AF72DC" w14:textId="77777777">
      <w:pPr>
        <w:spacing w:after="0" w:line="240" w:lineRule="atLeast"/>
        <w:rPr>
          <w:rFonts w:ascii="Calibri" w:hAnsi="Calibri" w:eastAsia="Verdana" w:cs="Calibri"/>
          <w:kern w:val="0"/>
          <w14:ligatures w14:val="none"/>
        </w:rPr>
      </w:pPr>
      <w:r w:rsidRPr="00474532">
        <w:rPr>
          <w:rFonts w:ascii="Calibri" w:hAnsi="Calibri" w:eastAsia="Verdana" w:cs="Calibri"/>
          <w:b/>
          <w:bCs/>
          <w:kern w:val="0"/>
          <w14:ligatures w14:val="none"/>
        </w:rPr>
        <w:t>Europees Semester 2025</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Document: </w:t>
      </w:r>
      <w:r w:rsidRPr="00474532">
        <w:rPr>
          <w:rFonts w:ascii="Calibri" w:hAnsi="Calibri" w:eastAsia="Verdana" w:cs="Calibri"/>
          <w:kern w:val="0"/>
          <w14:ligatures w14:val="none"/>
        </w:rPr>
        <w:t>Het</w:t>
      </w:r>
      <w:r w:rsidRPr="00474532">
        <w:rPr>
          <w:rFonts w:ascii="Calibri" w:hAnsi="Calibri" w:eastAsia="Verdana" w:cs="Calibri"/>
          <w:i/>
          <w:iCs/>
          <w:kern w:val="0"/>
          <w14:ligatures w14:val="none"/>
        </w:rPr>
        <w:t xml:space="preserve"> ‘Alert Mechanism Report 2025’ </w:t>
      </w:r>
      <w:r w:rsidRPr="00474532">
        <w:rPr>
          <w:rFonts w:ascii="Calibri" w:hAnsi="Calibri" w:eastAsia="Verdana" w:cs="Calibri"/>
          <w:kern w:val="0"/>
          <w14:ligatures w14:val="none"/>
        </w:rPr>
        <w:t xml:space="preserve">de </w:t>
      </w:r>
      <w:r w:rsidRPr="00474532">
        <w:rPr>
          <w:rFonts w:ascii="Calibri" w:hAnsi="Calibri" w:eastAsia="Verdana" w:cs="Calibri"/>
          <w:i/>
          <w:iCs/>
          <w:kern w:val="0"/>
          <w14:ligatures w14:val="none"/>
        </w:rPr>
        <w:t xml:space="preserve">‘Recommendation on the economic policy of the euro area’ </w:t>
      </w:r>
      <w:r w:rsidRPr="00474532">
        <w:rPr>
          <w:rFonts w:ascii="Calibri" w:hAnsi="Calibri" w:eastAsia="Verdana" w:cs="Calibri"/>
          <w:kern w:val="0"/>
          <w14:ligatures w14:val="none"/>
        </w:rPr>
        <w:t>en de ‘</w:t>
      </w:r>
      <w:r w:rsidRPr="00474532">
        <w:rPr>
          <w:rFonts w:ascii="Calibri" w:hAnsi="Calibri" w:eastAsia="Verdana" w:cs="Calibri"/>
          <w:i/>
          <w:iCs/>
          <w:kern w:val="0"/>
          <w14:ligatures w14:val="none"/>
        </w:rPr>
        <w:t>Proposal for a Joint Employment Report</w:t>
      </w:r>
      <w:r w:rsidRPr="00474532">
        <w:rPr>
          <w:rFonts w:ascii="Calibri" w:hAnsi="Calibri" w:eastAsia="Verdana" w:cs="Calibri"/>
          <w:kern w:val="0"/>
          <w14:ligatures w14:val="none"/>
        </w:rPr>
        <w:t>’ zijn nog niet beschikbaar. Deze worden medio december gepubliceerd.</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Aard bespreking: </w:t>
      </w:r>
      <w:r w:rsidRPr="00474532">
        <w:rPr>
          <w:rFonts w:ascii="Calibri" w:hAnsi="Calibri" w:eastAsia="Verdana" w:cs="Calibri"/>
          <w:kern w:val="0"/>
          <w14:ligatures w14:val="none"/>
        </w:rPr>
        <w:t>Gedachtewisseling</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Besluitvormingsprocedure: </w:t>
      </w:r>
      <w:r w:rsidRPr="00474532">
        <w:rPr>
          <w:rFonts w:ascii="Calibri" w:hAnsi="Calibri" w:eastAsia="Verdana" w:cs="Calibri"/>
          <w:kern w:val="0"/>
          <w14:ligatures w14:val="none"/>
        </w:rPr>
        <w:t>N.v.t.</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Toelichting:</w:t>
      </w:r>
      <w:r w:rsidRPr="00474532">
        <w:rPr>
          <w:rFonts w:ascii="Calibri" w:hAnsi="Calibri" w:eastAsia="Calibri" w:cs="Calibri"/>
          <w:kern w:val="0"/>
          <w14:ligatures w14:val="none"/>
        </w:rPr>
        <w:br/>
      </w:r>
      <w:r w:rsidRPr="00474532">
        <w:rPr>
          <w:rFonts w:ascii="Calibri" w:hAnsi="Calibri" w:eastAsia="Verdana" w:cs="Calibri"/>
          <w:kern w:val="0"/>
          <w14:ligatures w14:val="none"/>
        </w:rPr>
        <w:t>De Commissie publiceert medio december het tweede deel van het herfstpakket in het kader van het Europees Semester (Semester). In verband met het aantreden van de nieuwe Commissie vindt deze publicatie dit jaar later plaats dan in voorgaande jaren. Het pakket bestaat uit verschillende onderdelen, waaronder: het jaarlijkse rapport over het waarschuwingsmechanisme (</w:t>
      </w:r>
      <w:r w:rsidRPr="00474532">
        <w:rPr>
          <w:rFonts w:ascii="Calibri" w:hAnsi="Calibri" w:eastAsia="Verdana" w:cs="Calibri"/>
          <w:i/>
          <w:iCs/>
          <w:kern w:val="0"/>
          <w14:ligatures w14:val="none"/>
        </w:rPr>
        <w:t>Alert Mechanism Report</w:t>
      </w:r>
      <w:r w:rsidRPr="00474532">
        <w:rPr>
          <w:rFonts w:ascii="Calibri" w:hAnsi="Calibri" w:eastAsia="Verdana" w:cs="Calibri"/>
          <w:kern w:val="0"/>
          <w14:ligatures w14:val="none"/>
        </w:rPr>
        <w:t xml:space="preserve">, AMR) in het kader van de macro-economische onevenwichtighedenprocedure </w:t>
      </w:r>
      <w:r w:rsidRPr="00474532">
        <w:rPr>
          <w:rFonts w:ascii="Calibri" w:hAnsi="Calibri" w:eastAsia="Verdana" w:cs="Calibri"/>
          <w:kern w:val="0"/>
          <w14:ligatures w14:val="none"/>
        </w:rPr>
        <w:lastRenderedPageBreak/>
        <w:t>(MEOP), het voorstel voor de aanbeveling van de Raad over het economisch beeld van de eurozone (</w:t>
      </w:r>
      <w:r w:rsidRPr="00474532">
        <w:rPr>
          <w:rFonts w:ascii="Calibri" w:hAnsi="Calibri" w:eastAsia="Verdana" w:cs="Calibri"/>
          <w:i/>
          <w:iCs/>
          <w:kern w:val="0"/>
          <w14:ligatures w14:val="none"/>
        </w:rPr>
        <w:t xml:space="preserve">Euro Area Recommendation, </w:t>
      </w:r>
      <w:r w:rsidRPr="00474532">
        <w:rPr>
          <w:rFonts w:ascii="Calibri" w:hAnsi="Calibri" w:eastAsia="Verdana" w:cs="Calibri"/>
          <w:kern w:val="0"/>
          <w14:ligatures w14:val="none"/>
        </w:rPr>
        <w:t>EAR) en het voorstel voor een gezamenlijk verslag over de sociale en werkgelegenheidsontwikkelingen (</w:t>
      </w:r>
      <w:r w:rsidRPr="00474532">
        <w:rPr>
          <w:rFonts w:ascii="Calibri" w:hAnsi="Calibri" w:eastAsia="Verdana" w:cs="Calibri"/>
          <w:i/>
          <w:iCs/>
          <w:kern w:val="0"/>
          <w14:ligatures w14:val="none"/>
        </w:rPr>
        <w:t xml:space="preserve">Proposal for a Joint Employment Report, </w:t>
      </w:r>
      <w:r w:rsidRPr="00474532">
        <w:rPr>
          <w:rFonts w:ascii="Calibri" w:hAnsi="Calibri" w:eastAsia="Verdana" w:cs="Calibri"/>
          <w:kern w:val="0"/>
          <w14:ligatures w14:val="none"/>
        </w:rPr>
        <w:t xml:space="preserve">JER). De Commissie zal tijdens de Ecofin van januari 2025 een presentatie geven van de AMR en de EAR. </w:t>
      </w:r>
    </w:p>
    <w:p w:rsidRPr="00474532" w:rsidR="00B87B11" w:rsidP="00B87B11" w:rsidRDefault="00B87B11" w14:paraId="26D63EE9"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In het verleden publiceerde de Commissie als onderdeel van het herfstpakket ook de analyse van duurzame groeiprioriteiten van de Europese Unie (EU) (</w:t>
      </w:r>
      <w:r w:rsidRPr="00474532">
        <w:rPr>
          <w:rFonts w:ascii="Calibri" w:hAnsi="Calibri" w:eastAsia="Verdana" w:cs="Calibri"/>
          <w:i/>
          <w:iCs/>
          <w:kern w:val="0"/>
          <w14:ligatures w14:val="none"/>
        </w:rPr>
        <w:t>Annual Sustainable Growth Survey</w:t>
      </w:r>
      <w:r w:rsidRPr="00474532">
        <w:rPr>
          <w:rFonts w:ascii="Calibri" w:hAnsi="Calibri" w:eastAsia="Verdana" w:cs="Calibri"/>
          <w:kern w:val="0"/>
          <w14:ligatures w14:val="none"/>
        </w:rPr>
        <w:t xml:space="preserve">, ASGS). De Commissie heeft aangegeven dat de ASGS dit jaar </w:t>
      </w:r>
      <w:r w:rsidRPr="00474532">
        <w:rPr>
          <w:rFonts w:ascii="Calibri" w:hAnsi="Calibri" w:eastAsia="Verdana" w:cs="Calibri"/>
          <w:i/>
          <w:iCs/>
          <w:kern w:val="0"/>
          <w14:ligatures w14:val="none"/>
        </w:rPr>
        <w:t xml:space="preserve">geen </w:t>
      </w:r>
      <w:r w:rsidRPr="00474532">
        <w:rPr>
          <w:rFonts w:ascii="Calibri" w:hAnsi="Calibri" w:eastAsia="Verdana" w:cs="Calibri"/>
          <w:kern w:val="0"/>
          <w14:ligatures w14:val="none"/>
        </w:rPr>
        <w:t xml:space="preserve">onderdeel uitmaakt van het herfstpakket. </w:t>
      </w:r>
    </w:p>
    <w:p w:rsidRPr="00474532" w:rsidR="00B87B11" w:rsidP="00B87B11" w:rsidRDefault="00B87B11" w14:paraId="04383415" w14:textId="77777777">
      <w:pPr>
        <w:spacing w:after="0" w:line="240" w:lineRule="atLeast"/>
        <w:rPr>
          <w:rFonts w:ascii="Calibri" w:hAnsi="Calibri" w:eastAsia="Verdana" w:cs="Calibri"/>
          <w:kern w:val="0"/>
          <w14:ligatures w14:val="none"/>
        </w:rPr>
      </w:pPr>
    </w:p>
    <w:p w:rsidRPr="00474532" w:rsidR="00B87B11" w:rsidP="00B87B11" w:rsidRDefault="00B87B11" w14:paraId="7B32CF62"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 xml:space="preserve">In het AMR worden aan de hand van een scorebord met indicatoren mogelijke macro-economische onevenwichtigheden gesignaleerd en bepaald welke lidstaten onderworpen worden aan nader onderzoek (de zogenaamde </w:t>
      </w:r>
      <w:r w:rsidRPr="00474532">
        <w:rPr>
          <w:rFonts w:ascii="Calibri" w:hAnsi="Calibri" w:eastAsia="Verdana" w:cs="Calibri"/>
          <w:i/>
          <w:iCs/>
          <w:kern w:val="0"/>
          <w14:ligatures w14:val="none"/>
        </w:rPr>
        <w:t>in-depth reviews)</w:t>
      </w:r>
      <w:r w:rsidRPr="00474532">
        <w:rPr>
          <w:rFonts w:ascii="Calibri" w:hAnsi="Calibri" w:eastAsia="Verdana" w:cs="Calibri"/>
          <w:kern w:val="0"/>
          <w14:ligatures w14:val="none"/>
        </w:rPr>
        <w:t xml:space="preserve">. Deze onderzoeken moeten uitwijzen of en in welke mate de betreffende lidstaten te kampen hebben met macro-economische onevenwichtigheden en in hoeverre deze een risico vormen voor de lidstaten zelf, de eurozone, of de Europese Unie als geheel. De Raad zal naar verwachting in februari conclusies aannemen over de AMR. </w:t>
      </w:r>
    </w:p>
    <w:p w:rsidRPr="00474532" w:rsidR="00B87B11" w:rsidP="00B87B11" w:rsidRDefault="00B87B11" w14:paraId="674AE6EC" w14:textId="77777777">
      <w:pPr>
        <w:spacing w:after="0" w:line="240" w:lineRule="atLeast"/>
        <w:rPr>
          <w:rFonts w:ascii="Calibri" w:hAnsi="Calibri" w:eastAsia="Verdana" w:cs="Calibri"/>
          <w:kern w:val="0"/>
          <w14:ligatures w14:val="none"/>
        </w:rPr>
      </w:pPr>
    </w:p>
    <w:p w:rsidRPr="00474532" w:rsidR="00B87B11" w:rsidP="00B87B11" w:rsidRDefault="00B87B11" w14:paraId="3F89E38C"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 xml:space="preserve">In de EAR worden de gezamenlijke (beleids-)uitdagingen voor het eurogebied geïdentificeerd. Na de presentatie van de EAR in de Eurogroep van januari, zal de Eurogroep de EAR in februari nogmaals bespreken, waarna de Ecofinraad de (aangepaste) EAR goedkeurt. De werkgelegenheids- en sociale aspecten van de EAR worden in de Raad Werkgelegenheid en Sociaal Beleid (WSBVC) van maart 2025 besproken en goedgekeurd. De Europese Raad bekrachtigt daarna de aanbevelingen opgenomen in de EAR, waarna de Ecofinraad deze formeel aanneemt in mei 2025. </w:t>
      </w:r>
    </w:p>
    <w:p w:rsidRPr="00474532" w:rsidR="00B87B11" w:rsidP="00B87B11" w:rsidRDefault="00B87B11" w14:paraId="27EB3658" w14:textId="77777777">
      <w:pPr>
        <w:spacing w:after="0" w:line="240" w:lineRule="atLeast"/>
        <w:rPr>
          <w:rFonts w:ascii="Calibri" w:hAnsi="Calibri" w:eastAsia="Verdana" w:cs="Calibri"/>
          <w:kern w:val="0"/>
          <w14:ligatures w14:val="none"/>
        </w:rPr>
      </w:pPr>
    </w:p>
    <w:p w:rsidRPr="00474532" w:rsidR="00B87B11" w:rsidP="00B87B11" w:rsidRDefault="00B87B11" w14:paraId="0590A890"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 xml:space="preserve">In het JER brengt de Commissie verslag uit over de belangrijkste werkgelegenheids- en sociale ontwikkelingen in de EU. Het rapport zal naar verwachting in de Raad WSBVC van maart 2025 definitief worden vastgesteld. </w:t>
      </w:r>
    </w:p>
    <w:p w:rsidRPr="00474532" w:rsidR="00B87B11" w:rsidP="00B87B11" w:rsidRDefault="00B87B11" w14:paraId="199F4095" w14:textId="77777777">
      <w:pPr>
        <w:spacing w:after="0" w:line="240" w:lineRule="atLeast"/>
        <w:rPr>
          <w:rFonts w:ascii="Calibri" w:hAnsi="Calibri" w:eastAsia="Verdana" w:cs="Calibri"/>
          <w:kern w:val="0"/>
          <w14:ligatures w14:val="none"/>
        </w:rPr>
      </w:pPr>
    </w:p>
    <w:p w:rsidRPr="00474532" w:rsidR="00B87B11" w:rsidP="00B87B11" w:rsidRDefault="00B87B11" w14:paraId="0D7D4450"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 xml:space="preserve">In verband met de beoogde publicatiedatum van de stukken, zal de Kamer middels een nazending op de voorliggende geannoteerde agenda begin januari geïnformeerd worden over de Nederlandse inzet ten aanzien van het AMR en de EAR. De kabinetsappreciatie van de JER wordt opgenomen in de geannoteerde agenda over de Raad WSBVC van begin maart 2025. </w:t>
      </w:r>
    </w:p>
    <w:p w:rsidRPr="00474532" w:rsidR="00B87B11" w:rsidP="00B87B11" w:rsidRDefault="00B87B11" w14:paraId="19B25CAC" w14:textId="77777777">
      <w:pPr>
        <w:spacing w:after="0" w:line="240" w:lineRule="atLeast"/>
        <w:rPr>
          <w:rFonts w:ascii="Calibri" w:hAnsi="Calibri" w:eastAsia="Verdana" w:cs="Calibri"/>
          <w:b/>
          <w:bCs/>
          <w:kern w:val="0"/>
          <w14:ligatures w14:val="none"/>
        </w:rPr>
      </w:pPr>
    </w:p>
    <w:p w:rsidRPr="00474532" w:rsidR="00B87B11" w:rsidP="00B87B11" w:rsidRDefault="00B87B11" w14:paraId="6A9A0162" w14:textId="77777777">
      <w:pPr>
        <w:spacing w:after="0" w:line="240" w:lineRule="atLeast"/>
        <w:rPr>
          <w:rFonts w:ascii="Calibri" w:hAnsi="Calibri" w:eastAsia="Verdana" w:cs="Calibri"/>
          <w:kern w:val="0"/>
          <w14:ligatures w14:val="none"/>
        </w:rPr>
      </w:pPr>
      <w:r w:rsidRPr="00474532">
        <w:rPr>
          <w:rFonts w:ascii="Calibri" w:hAnsi="Calibri" w:eastAsia="Verdana" w:cs="Calibri"/>
          <w:b/>
          <w:bCs/>
          <w:kern w:val="0"/>
          <w14:ligatures w14:val="none"/>
        </w:rPr>
        <w:t>Implementatie Europees begrotingsraamwerk: Raadsaanbevelingen budgettair-structurele plannen en buitensporigtekortprocedure</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Document:</w:t>
      </w:r>
      <w:r w:rsidRPr="00474532">
        <w:rPr>
          <w:rFonts w:ascii="Calibri" w:hAnsi="Calibri" w:eastAsia="Verdana" w:cs="Calibri"/>
          <w:kern w:val="0"/>
          <w14:ligatures w14:val="none"/>
        </w:rPr>
        <w:t xml:space="preserve"> Het document wordt voorafgaand aan de vergadering op het </w:t>
      </w:r>
      <w:r w:rsidRPr="00474532">
        <w:rPr>
          <w:rFonts w:ascii="Calibri" w:hAnsi="Calibri" w:eastAsia="Verdana" w:cs="Calibri"/>
          <w:i/>
          <w:iCs/>
          <w:kern w:val="0"/>
          <w14:ligatures w14:val="none"/>
        </w:rPr>
        <w:t>Delegates Portal</w:t>
      </w:r>
      <w:r w:rsidRPr="00474532">
        <w:rPr>
          <w:rFonts w:ascii="Calibri" w:hAnsi="Calibri" w:eastAsia="Verdana" w:cs="Calibri"/>
          <w:kern w:val="0"/>
          <w14:ligatures w14:val="none"/>
        </w:rPr>
        <w:t xml:space="preserve"> geplaatst onder de titel ‘</w:t>
      </w:r>
      <w:r w:rsidRPr="00474532">
        <w:rPr>
          <w:rFonts w:ascii="Calibri" w:hAnsi="Calibri" w:eastAsia="Verdana" w:cs="Calibri"/>
          <w:i/>
          <w:iCs/>
          <w:kern w:val="0"/>
          <w14:ligatures w14:val="none"/>
        </w:rPr>
        <w:t>MTFSPs recommendations’</w:t>
      </w:r>
      <w:r w:rsidRPr="00474532">
        <w:rPr>
          <w:rFonts w:ascii="Calibri" w:hAnsi="Calibri" w:eastAsia="Verdana" w:cs="Calibri"/>
          <w:kern w:val="0"/>
          <w14:ligatures w14:val="none"/>
        </w:rPr>
        <w:t>.</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Aard bespreking: </w:t>
      </w:r>
      <w:r w:rsidRPr="00474532">
        <w:rPr>
          <w:rFonts w:ascii="Calibri" w:hAnsi="Calibri" w:eastAsia="Verdana" w:cs="Calibri"/>
          <w:kern w:val="0"/>
          <w14:ligatures w14:val="none"/>
        </w:rPr>
        <w:t>Besluitvorming Raadsaanbevelingen</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Besluitvormingsprocedure: </w:t>
      </w:r>
      <w:r w:rsidRPr="00474532">
        <w:rPr>
          <w:rFonts w:ascii="Calibri" w:hAnsi="Calibri" w:eastAsia="Verdana" w:cs="Calibri"/>
          <w:kern w:val="0"/>
          <w14:ligatures w14:val="none"/>
        </w:rPr>
        <w:t>Gekwalificeerde meerderheid (lidstaat zelf stemt niet mee over eigen plan en voor eurozonelanden enkel de eurozonelidstaten)</w:t>
      </w:r>
    </w:p>
    <w:p w:rsidRPr="00474532" w:rsidR="00B87B11" w:rsidP="00B87B11" w:rsidRDefault="00B87B11" w14:paraId="3133F0B5" w14:textId="77777777">
      <w:pPr>
        <w:spacing w:after="0" w:line="240" w:lineRule="atLeast"/>
        <w:rPr>
          <w:rFonts w:ascii="Calibri" w:hAnsi="Calibri" w:eastAsia="Verdana" w:cs="Calibri"/>
          <w:kern w:val="0"/>
          <w14:ligatures w14:val="none"/>
        </w:rPr>
      </w:pPr>
      <w:r w:rsidRPr="00474532">
        <w:rPr>
          <w:rFonts w:ascii="Calibri" w:hAnsi="Calibri" w:eastAsia="Verdana" w:cs="Calibri"/>
          <w:b/>
          <w:bCs/>
          <w:kern w:val="0"/>
          <w14:ligatures w14:val="none"/>
        </w:rPr>
        <w:t>Toelichting:</w:t>
      </w:r>
    </w:p>
    <w:p w:rsidRPr="00474532" w:rsidR="00B87B11" w:rsidP="00B87B11" w:rsidRDefault="00B87B11" w14:paraId="30A61D02"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lastRenderedPageBreak/>
        <w:t>In het kader van het herziene Europese begrotingsraamwerk hebben lidstaten budgettair-structurele plannen (hierna: plannen) voor de middellange termijn ingediend, met daarin hun voorgenomen begrotingsbeleid, hervormingen en investeringen. De Commissie heeft deze plannen beoordeeld en op 26 november 2024 aanbevelingen aan de Raad van de Europese Unie gedaan</w:t>
      </w:r>
      <w:r w:rsidRPr="00474532">
        <w:rPr>
          <w:rFonts w:ascii="Calibri" w:hAnsi="Calibri" w:eastAsia="Verdana" w:cs="Calibri"/>
          <w:kern w:val="0"/>
          <w:vertAlign w:val="superscript"/>
          <w14:ligatures w14:val="none"/>
        </w:rPr>
        <w:footnoteReference w:id="4"/>
      </w:r>
      <w:r w:rsidRPr="00474532">
        <w:rPr>
          <w:rFonts w:ascii="Calibri" w:hAnsi="Calibri" w:eastAsia="Verdana" w:cs="Calibri"/>
          <w:kern w:val="0"/>
          <w14:ligatures w14:val="none"/>
        </w:rPr>
        <w:t xml:space="preserve">. De aanbevelingen zien toe op i) het vaststellen van het meerjarig uitgavenpad van 21 lidstaten, ii) het goedkeuren van hervormingen en investeringen die ten grondslag liggen aan een verlenging van de budgettaire aanpassingsperiode voor vijf lidstaten en iii) de correctie van buitensporige tekorten voor acht lidstaten. </w:t>
      </w:r>
    </w:p>
    <w:p w:rsidRPr="00474532" w:rsidR="00B87B11" w:rsidP="00B87B11" w:rsidRDefault="00B87B11" w14:paraId="6FB3939D" w14:textId="77777777">
      <w:pPr>
        <w:spacing w:after="0" w:line="240" w:lineRule="atLeast"/>
        <w:rPr>
          <w:rFonts w:ascii="Calibri" w:hAnsi="Calibri" w:eastAsia="Verdana" w:cs="Calibri"/>
          <w:kern w:val="0"/>
          <w14:ligatures w14:val="none"/>
        </w:rPr>
      </w:pPr>
    </w:p>
    <w:p w:rsidRPr="00474532" w:rsidR="00B87B11" w:rsidP="00B87B11" w:rsidRDefault="00B87B11" w14:paraId="5732EF96"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De Ecofinraad op 21 januari besluit over deze Raadsaanbevelingen, waarmee de implementatie van het herziene Europese begrotingsraamwerk wordt geconcretiseerd. De rechtsbasis voor het herziene Europees begrotingsraamwerk is Verordening 1467/97 en 2024/1263 waarin de correctieve arm en preventieve arm van het herziene begrotingsraamwerk zijn uitgewerkt. De besluitvorming is met gekwalificeerde meerderheid</w:t>
      </w:r>
      <w:bookmarkStart w:name="_Ref184891049" w:id="1"/>
      <w:r w:rsidRPr="00474532">
        <w:rPr>
          <w:rFonts w:ascii="Calibri" w:hAnsi="Calibri" w:eastAsia="Verdana" w:cs="Calibri"/>
          <w:kern w:val="0"/>
          <w:vertAlign w:val="superscript"/>
          <w14:ligatures w14:val="none"/>
        </w:rPr>
        <w:footnoteReference w:id="5"/>
      </w:r>
      <w:bookmarkEnd w:id="1"/>
      <w:r w:rsidRPr="00474532">
        <w:rPr>
          <w:rFonts w:ascii="Calibri" w:hAnsi="Calibri" w:eastAsia="Verdana" w:cs="Calibri"/>
          <w:kern w:val="0"/>
          <w14:ligatures w14:val="none"/>
        </w:rPr>
        <w:t xml:space="preserve">. De lidstaat stemt zelf niet mee over het eigen plan; en voor eurozonelidstaten wordt in eurozonesamenstelling gestemd. </w:t>
      </w:r>
    </w:p>
    <w:p w:rsidRPr="00474532" w:rsidR="00B87B11" w:rsidP="00B87B11" w:rsidRDefault="00B87B11" w14:paraId="581E2994" w14:textId="77777777">
      <w:pPr>
        <w:spacing w:after="0" w:line="240" w:lineRule="atLeast"/>
        <w:rPr>
          <w:rFonts w:ascii="Calibri" w:hAnsi="Calibri" w:eastAsia="Verdana" w:cs="Calibri"/>
          <w:kern w:val="0"/>
          <w14:ligatures w14:val="none"/>
        </w:rPr>
      </w:pPr>
    </w:p>
    <w:p w:rsidRPr="00474532" w:rsidR="00B87B11" w:rsidP="00B87B11" w:rsidRDefault="00B87B11" w14:paraId="182DF5AC"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Het kabinet kan zich vinden in de beoordeling van de Commissie en is voornemens om in te stemmen met de Raadsaanbevelingen. De Eerste en Tweede Kamer worden in een separate Kamerbrief uitgebreider geïnformeerd over de kabinetsinzet ten aanzien van deze Raadsaanbevelingen. Deze Kamerbrief wordt naar verwachting op 20 december verstuurd.</w:t>
      </w:r>
    </w:p>
    <w:p w:rsidRPr="00474532" w:rsidR="00B87B11" w:rsidP="00B87B11" w:rsidRDefault="00B87B11" w14:paraId="36369855" w14:textId="77777777">
      <w:pPr>
        <w:spacing w:after="0" w:line="240" w:lineRule="atLeast"/>
        <w:rPr>
          <w:rFonts w:ascii="Calibri" w:hAnsi="Calibri" w:eastAsia="Verdana" w:cs="Calibri"/>
          <w:b/>
          <w:bCs/>
          <w:kern w:val="0"/>
          <w14:ligatures w14:val="none"/>
        </w:rPr>
      </w:pPr>
    </w:p>
    <w:p w:rsidRPr="00474532" w:rsidR="00B87B11" w:rsidP="00B87B11" w:rsidRDefault="00B87B11" w14:paraId="677ECE57" w14:textId="77777777">
      <w:pPr>
        <w:spacing w:after="0" w:line="240" w:lineRule="atLeast"/>
        <w:rPr>
          <w:rFonts w:ascii="Calibri" w:hAnsi="Calibri" w:eastAsia="Verdana" w:cs="Calibri"/>
          <w:b/>
          <w:bCs/>
          <w:kern w:val="0"/>
          <w14:ligatures w14:val="none"/>
        </w:rPr>
      </w:pPr>
      <w:r w:rsidRPr="00474532">
        <w:rPr>
          <w:rFonts w:ascii="Calibri" w:hAnsi="Calibri" w:eastAsia="Verdana" w:cs="Calibri"/>
          <w:b/>
          <w:bCs/>
          <w:kern w:val="0"/>
          <w14:ligatures w14:val="none"/>
        </w:rPr>
        <w:t>Economische en financiële impact van de Russische agressieoorlog tegen Oekraïne</w:t>
      </w:r>
    </w:p>
    <w:p w:rsidRPr="00474532" w:rsidR="00B87B11" w:rsidP="00B87B11" w:rsidRDefault="00B87B11" w14:paraId="06BEDB2B" w14:textId="77777777">
      <w:pPr>
        <w:spacing w:after="0" w:line="240" w:lineRule="atLeast"/>
        <w:rPr>
          <w:rFonts w:ascii="Calibri" w:hAnsi="Calibri" w:eastAsia="Verdana" w:cs="Calibri"/>
          <w:b/>
          <w:bCs/>
          <w:kern w:val="0"/>
          <w14:ligatures w14:val="none"/>
        </w:rPr>
      </w:pPr>
      <w:r w:rsidRPr="00474532">
        <w:rPr>
          <w:rFonts w:ascii="Calibri" w:hAnsi="Calibri" w:eastAsia="Verdana" w:cs="Calibri"/>
          <w:b/>
          <w:bCs/>
          <w:kern w:val="0"/>
          <w14:ligatures w14:val="none"/>
        </w:rPr>
        <w:t xml:space="preserve">Document: </w:t>
      </w:r>
      <w:r w:rsidRPr="00474532">
        <w:rPr>
          <w:rFonts w:ascii="Calibri" w:hAnsi="Calibri" w:eastAsia="Verdana" w:cs="Calibri"/>
          <w:kern w:val="0"/>
          <w14:ligatures w14:val="none"/>
        </w:rPr>
        <w:t>N.v.t.</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Aard bespreking: </w:t>
      </w:r>
      <w:r w:rsidRPr="00474532">
        <w:rPr>
          <w:rFonts w:ascii="Calibri" w:hAnsi="Calibri" w:eastAsia="Verdana" w:cs="Calibri"/>
          <w:kern w:val="0"/>
          <w14:ligatures w14:val="none"/>
        </w:rPr>
        <w:t xml:space="preserve">Gedachtewisseling </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 xml:space="preserve">Besluitvormingsprocedure: </w:t>
      </w:r>
      <w:r w:rsidRPr="00474532">
        <w:rPr>
          <w:rFonts w:ascii="Calibri" w:hAnsi="Calibri" w:eastAsia="Verdana" w:cs="Calibri"/>
          <w:kern w:val="0"/>
          <w14:ligatures w14:val="none"/>
        </w:rPr>
        <w:t>N.v.t.</w:t>
      </w:r>
      <w:r w:rsidRPr="00474532">
        <w:rPr>
          <w:rFonts w:ascii="Calibri" w:hAnsi="Calibri" w:eastAsia="Calibri" w:cs="Calibri"/>
          <w:kern w:val="0"/>
          <w14:ligatures w14:val="none"/>
        </w:rPr>
        <w:br/>
      </w:r>
      <w:r w:rsidRPr="00474532">
        <w:rPr>
          <w:rFonts w:ascii="Calibri" w:hAnsi="Calibri" w:eastAsia="Verdana" w:cs="Calibri"/>
          <w:b/>
          <w:bCs/>
          <w:kern w:val="0"/>
          <w14:ligatures w14:val="none"/>
        </w:rPr>
        <w:t>Toelichting:</w:t>
      </w:r>
    </w:p>
    <w:p w:rsidRPr="00474532" w:rsidR="00B87B11" w:rsidP="00B87B11" w:rsidRDefault="00B87B11" w14:paraId="62EAA1E3"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De Ecofinraad zal naar verwachting van gedachten wisselen over de economische en financiële impact van de Russische agressie tegen Oekraïne en over Europese steunmaatregelen. Dit is een terugkerend agenda-item op de Ecofinraad. Oekraïne is afhankelijk van externe steun om de Russische agressie te blijven weren en de maatschappij overeind te houden. Het IMF raamt het totale externe financieringstekort voor de periode 2023-2027Q1 op tussen de USD 151,4 mld. en USD 187,1 mld. afhankelijk van wanneer de oorlog eindigt.</w:t>
      </w:r>
      <w:r w:rsidRPr="00474532">
        <w:rPr>
          <w:rFonts w:ascii="Calibri" w:hAnsi="Calibri" w:eastAsia="Verdana" w:cs="Calibri"/>
          <w:kern w:val="0"/>
          <w:vertAlign w:val="superscript"/>
          <w14:ligatures w14:val="none"/>
        </w:rPr>
        <w:footnoteReference w:id="6"/>
      </w:r>
      <w:r w:rsidRPr="00474532">
        <w:rPr>
          <w:rFonts w:ascii="Calibri" w:hAnsi="Calibri" w:eastAsia="Verdana" w:cs="Calibri"/>
          <w:kern w:val="0"/>
          <w14:ligatures w14:val="none"/>
        </w:rPr>
        <w:t xml:space="preserve"> De totale herstel- en wederopbouwnoden worden door de Wereldbank geschat op USD 486 mld.</w:t>
      </w:r>
      <w:r w:rsidRPr="00474532">
        <w:rPr>
          <w:rFonts w:ascii="Calibri" w:hAnsi="Calibri" w:eastAsia="Verdana" w:cs="Calibri"/>
          <w:kern w:val="0"/>
          <w:vertAlign w:val="superscript"/>
          <w14:ligatures w14:val="none"/>
        </w:rPr>
        <w:footnoteReference w:id="7"/>
      </w:r>
      <w:r w:rsidRPr="00474532">
        <w:rPr>
          <w:rFonts w:ascii="Calibri" w:hAnsi="Calibri" w:eastAsia="Verdana" w:cs="Calibri"/>
          <w:kern w:val="0"/>
          <w14:ligatures w14:val="none"/>
        </w:rPr>
        <w:t xml:space="preserve"> De </w:t>
      </w:r>
      <w:r w:rsidRPr="00474532">
        <w:rPr>
          <w:rFonts w:ascii="Calibri" w:hAnsi="Calibri" w:eastAsia="Verdana" w:cs="Calibri"/>
          <w:kern w:val="0"/>
          <w14:ligatures w14:val="none"/>
        </w:rPr>
        <w:lastRenderedPageBreak/>
        <w:t>EU-Oekraïne-faciliteit van 50 mld. euro, waarvan ca. 38 mld. euro macro-financiële bijstand voor de periode 2024-2027 en het IMF-programma</w:t>
      </w:r>
      <w:r w:rsidRPr="00474532">
        <w:rPr>
          <w:rFonts w:ascii="Calibri" w:hAnsi="Calibri" w:eastAsia="Verdana" w:cs="Calibri"/>
          <w:kern w:val="0"/>
          <w:vertAlign w:val="superscript"/>
          <w14:ligatures w14:val="none"/>
        </w:rPr>
        <w:footnoteReference w:id="8"/>
      </w:r>
      <w:r w:rsidRPr="00474532">
        <w:rPr>
          <w:rFonts w:ascii="Calibri" w:hAnsi="Calibri" w:eastAsia="Verdana" w:cs="Calibri"/>
          <w:kern w:val="0"/>
          <w14:ligatures w14:val="none"/>
        </w:rPr>
        <w:t xml:space="preserve"> zijn belangrijke onderdelen van de internationale inzet om de begrotingstekorten (deels) te dekken en om Oekraïne in staat te stellen de strijd tegen Russische agressie voort te zetten. De Wereldbank heeft sinds de uitbraak van de oorlog ongeveer USD 48 mld. gemobiliseerd voor kritieke herstelwerkzaamheden en wederopbouwsteun. Kabinetsbeleid is dat Nederland Oekraïne politiek, militair, financieel en moreel actief en onverminderd blijft steunen in tijd van oorlog, herstel en wederopbouw, zolang als dat nodig is.</w:t>
      </w:r>
    </w:p>
    <w:p w:rsidRPr="00474532" w:rsidR="00B87B11" w:rsidP="00B87B11" w:rsidRDefault="00B87B11" w14:paraId="5E51742E" w14:textId="77777777">
      <w:pPr>
        <w:spacing w:after="0" w:line="240" w:lineRule="atLeast"/>
        <w:rPr>
          <w:rFonts w:ascii="Calibri" w:hAnsi="Calibri" w:eastAsia="Verdana" w:cs="Calibri"/>
          <w:kern w:val="0"/>
          <w14:ligatures w14:val="none"/>
        </w:rPr>
      </w:pPr>
    </w:p>
    <w:p w:rsidRPr="00474532" w:rsidR="00B87B11" w:rsidP="00B87B11" w:rsidRDefault="00B87B11" w14:paraId="75E2E612"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 xml:space="preserve">De Ecofinraad zal de laatste stand van zaken bespreken van de opvolging van het politieke G7-akkoord om USD 50 mld. aan </w:t>
      </w:r>
      <w:r w:rsidRPr="00474532">
        <w:rPr>
          <w:rFonts w:ascii="Calibri" w:hAnsi="Calibri" w:eastAsia="Verdana" w:cs="Calibri"/>
          <w:i/>
          <w:iCs/>
          <w:kern w:val="0"/>
          <w14:ligatures w14:val="none"/>
        </w:rPr>
        <w:t>Extraordinary Revenue Accelerated</w:t>
      </w:r>
      <w:r w:rsidRPr="00474532">
        <w:rPr>
          <w:rFonts w:ascii="Calibri" w:hAnsi="Calibri" w:eastAsia="Verdana" w:cs="Calibri"/>
          <w:kern w:val="0"/>
          <w14:ligatures w14:val="none"/>
        </w:rPr>
        <w:t>-leningen te verschaffen aan Oekraïne voor het eind van 2024, waarbij de buitengewone inkomsten op bevroren Russische Centrale-banktegoeden aan Oekraïne ter beschikking gesteld worden voor het terugbetalen van de leningen en rentebetalingen. De Commissie heeft op 28 november jl. de leenovereenkomst getekend met Oekraïne. De verwachting is dat de bijdrage van de VS aan de ERA-lening voor het einde van het jaar definitief zal zijn via een Financial Intermediary Fund (FIF) van de Wereldbank. Daardoor wordt het EU-aandeel in de lening naar verwachting verlaagd naar ongeveer 18,1 mld. euro. De uitbetaling van de eerste tranche wordt begin 2025 verwacht. In lijn met de motie Boswijk c.s.</w:t>
      </w:r>
      <w:r w:rsidRPr="00474532">
        <w:rPr>
          <w:rFonts w:ascii="Calibri" w:hAnsi="Calibri" w:eastAsia="Verdana" w:cs="Calibri"/>
          <w:kern w:val="0"/>
          <w:vertAlign w:val="superscript"/>
          <w14:ligatures w14:val="none"/>
        </w:rPr>
        <w:footnoteReference w:id="9"/>
      </w:r>
      <w:r w:rsidRPr="00474532">
        <w:rPr>
          <w:rFonts w:ascii="Calibri" w:hAnsi="Calibri" w:eastAsia="Verdana" w:cs="Calibri"/>
          <w:kern w:val="0"/>
          <w14:ligatures w14:val="none"/>
        </w:rPr>
        <w:t xml:space="preserve"> blijft het kabinet ambitieus ten aanzien van het verkennen van verdere maatregelen voor het gebruik van de (opbrengsten over) de bevroren Russische Centrale-banktegoeden. Dit dient in EU-verband en in nauwe samenwerking met G7-partners te gebeuren.</w:t>
      </w:r>
    </w:p>
    <w:p w:rsidRPr="00474532" w:rsidR="00B87B11" w:rsidP="00B87B11" w:rsidRDefault="00B87B11" w14:paraId="1CA126D2" w14:textId="77777777">
      <w:pPr>
        <w:spacing w:after="0" w:line="240" w:lineRule="atLeast"/>
        <w:rPr>
          <w:rFonts w:ascii="Calibri" w:hAnsi="Calibri" w:eastAsia="Verdana" w:cs="Calibri"/>
          <w:kern w:val="0"/>
          <w14:ligatures w14:val="none"/>
        </w:rPr>
      </w:pPr>
    </w:p>
    <w:p w:rsidRPr="00474532" w:rsidR="00B87B11" w:rsidP="00B87B11" w:rsidRDefault="00B87B11" w14:paraId="6D5AF784" w14:textId="77777777">
      <w:pPr>
        <w:spacing w:after="0" w:line="240" w:lineRule="atLeast"/>
        <w:rPr>
          <w:rFonts w:ascii="Calibri" w:hAnsi="Calibri" w:eastAsia="Verdana" w:cs="Calibri"/>
          <w:kern w:val="0"/>
          <w14:ligatures w14:val="none"/>
        </w:rPr>
      </w:pPr>
      <w:r w:rsidRPr="00474532">
        <w:rPr>
          <w:rFonts w:ascii="Calibri" w:hAnsi="Calibri" w:eastAsia="Verdana" w:cs="Calibri"/>
          <w:kern w:val="0"/>
          <w14:ligatures w14:val="none"/>
        </w:rPr>
        <w:t>De Ecofinraad zal ook stilstaan bij de macro-financiële steun vanuit de Oekraïnefaciliteit. Deze steun is gekoppeld aan het Oekraïneplan, de door Oekraïne opgestelde hervormings- en investeringsagenda. Het Oekraïneplan bevat stappen waar Oekraïne aan moet voldoen voordat tot uitbetaling van nieuwe tranches overgegaan kan worden. Oekraïne kan driemaandelijks een aanvraag indienen bij de Commissie. De Commissie beoordeelt de mate waarin Oekraïne aan de corresponderende conditionaliteiten uit het Oekraïneplan voldoet en legt een concept-Raadsuitvoeringsbesluit voor aan de Raad. De Raad stemde op 9 december jl. per Raadsuitvoeringsbesluit in met de uitbetaling van de tweede tranche uit de Oekraïnefaciliteit. Tot nu toe is er in totaal 16,1 mld. euro betaald uit de faciliteit.</w:t>
      </w:r>
    </w:p>
    <w:p w:rsidRPr="00474532" w:rsidR="00B87B11" w:rsidP="00B87B11" w:rsidRDefault="00B87B11" w14:paraId="55D669C1" w14:textId="77777777">
      <w:pPr>
        <w:spacing w:after="0" w:line="240" w:lineRule="atLeast"/>
        <w:rPr>
          <w:rFonts w:ascii="Calibri" w:hAnsi="Calibri" w:eastAsia="Verdana" w:cs="Calibri"/>
          <w:kern w:val="0"/>
          <w14:ligatures w14:val="none"/>
        </w:rPr>
      </w:pPr>
    </w:p>
    <w:p w:rsidRPr="00474532" w:rsidR="00B87B11" w:rsidP="00B87B11" w:rsidRDefault="00B87B11" w14:paraId="1DA3F30C" w14:textId="77777777">
      <w:pPr>
        <w:spacing w:after="0"/>
        <w:rPr>
          <w:rFonts w:ascii="Calibri" w:hAnsi="Calibri" w:eastAsia="Calibri" w:cs="Calibri"/>
          <w:b/>
          <w:bCs/>
          <w:kern w:val="0"/>
          <w14:ligatures w14:val="none"/>
        </w:rPr>
      </w:pPr>
      <w:bookmarkStart w:name="_Hlk185325211" w:id="2"/>
      <w:r w:rsidRPr="00474532">
        <w:rPr>
          <w:rFonts w:ascii="Calibri" w:hAnsi="Calibri" w:eastAsia="Calibri" w:cs="Calibri"/>
          <w:b/>
          <w:bCs/>
          <w:kern w:val="0"/>
          <w14:ligatures w14:val="none"/>
        </w:rPr>
        <w:t>Economisch herstel in Europa: Implementatie van de Herstel- en Veerkrachtfaciliteit (HVF) en uitvoeringsbesluiten van de Raad onder het HVF</w:t>
      </w:r>
    </w:p>
    <w:p w:rsidRPr="00474532" w:rsidR="00B87B11" w:rsidP="00B87B11" w:rsidRDefault="00B87B11" w14:paraId="35AFD659" w14:textId="77777777">
      <w:pPr>
        <w:spacing w:after="0" w:line="276" w:lineRule="auto"/>
        <w:jc w:val="both"/>
        <w:rPr>
          <w:rFonts w:ascii="Calibri" w:hAnsi="Calibri" w:eastAsia="Times New Roman" w:cs="Calibri"/>
          <w:kern w:val="0"/>
          <w:lang w:eastAsia="nl-NL"/>
          <w14:ligatures w14:val="none"/>
        </w:rPr>
      </w:pPr>
      <w:r w:rsidRPr="00474532">
        <w:rPr>
          <w:rFonts w:ascii="Calibri" w:hAnsi="Calibri" w:eastAsia="Times New Roman" w:cs="Calibri"/>
          <w:b/>
          <w:bCs/>
          <w:kern w:val="0"/>
          <w:lang w:eastAsia="nl-NL"/>
          <w14:ligatures w14:val="none"/>
        </w:rPr>
        <w:t xml:space="preserve">Document: </w:t>
      </w:r>
      <w:r w:rsidRPr="00474532">
        <w:rPr>
          <w:rFonts w:ascii="Calibri" w:hAnsi="Calibri" w:eastAsia="Times New Roman" w:cs="Calibri"/>
          <w:kern w:val="0"/>
          <w:lang w:eastAsia="nl-NL"/>
          <w14:ligatures w14:val="none"/>
        </w:rPr>
        <w:t>Nog niet beschikbaar</w:t>
      </w:r>
    </w:p>
    <w:p w:rsidRPr="00474532" w:rsidR="00B87B11" w:rsidP="00B87B11" w:rsidRDefault="00B87B11" w14:paraId="35BED6A5" w14:textId="77777777">
      <w:pPr>
        <w:spacing w:after="0" w:line="276" w:lineRule="auto"/>
        <w:jc w:val="both"/>
        <w:rPr>
          <w:rFonts w:ascii="Calibri" w:hAnsi="Calibri" w:eastAsia="Times New Roman" w:cs="Calibri"/>
          <w:kern w:val="0"/>
          <w:lang w:eastAsia="nl-NL"/>
          <w14:ligatures w14:val="none"/>
        </w:rPr>
      </w:pPr>
      <w:r w:rsidRPr="00474532">
        <w:rPr>
          <w:rFonts w:ascii="Calibri" w:hAnsi="Calibri" w:eastAsia="Times New Roman" w:cs="Calibri"/>
          <w:b/>
          <w:bCs/>
          <w:kern w:val="0"/>
          <w:lang w:eastAsia="nl-NL"/>
          <w14:ligatures w14:val="none"/>
        </w:rPr>
        <w:t xml:space="preserve">Aard bespreking: </w:t>
      </w:r>
      <w:r w:rsidRPr="00474532">
        <w:rPr>
          <w:rFonts w:ascii="Calibri" w:hAnsi="Calibri" w:eastAsia="Times New Roman" w:cs="Calibri"/>
          <w:bCs/>
          <w:kern w:val="0"/>
          <w:lang w:eastAsia="nl-NL"/>
          <w14:ligatures w14:val="none"/>
        </w:rPr>
        <w:t>Aanname uitvoeringsbesluit van de Raad</w:t>
      </w:r>
    </w:p>
    <w:p w:rsidRPr="00474532" w:rsidR="00B87B11" w:rsidP="00B87B11" w:rsidRDefault="00B87B11" w14:paraId="753D4843" w14:textId="77777777">
      <w:pPr>
        <w:spacing w:after="0" w:line="276" w:lineRule="auto"/>
        <w:jc w:val="both"/>
        <w:rPr>
          <w:rFonts w:ascii="Calibri" w:hAnsi="Calibri" w:eastAsia="Times New Roman" w:cs="Calibri"/>
          <w:bCs/>
          <w:kern w:val="0"/>
          <w:lang w:eastAsia="nl-NL"/>
          <w14:ligatures w14:val="none"/>
        </w:rPr>
      </w:pPr>
      <w:r w:rsidRPr="00474532">
        <w:rPr>
          <w:rFonts w:ascii="Calibri" w:hAnsi="Calibri" w:eastAsia="Times New Roman" w:cs="Calibri"/>
          <w:b/>
          <w:bCs/>
          <w:kern w:val="0"/>
          <w:lang w:eastAsia="nl-NL"/>
          <w14:ligatures w14:val="none"/>
        </w:rPr>
        <w:t xml:space="preserve">Besluitvormingsprocedure: </w:t>
      </w:r>
      <w:r w:rsidRPr="00474532">
        <w:rPr>
          <w:rFonts w:ascii="Calibri" w:hAnsi="Calibri" w:eastAsia="Times New Roman" w:cs="Calibri"/>
          <w:bCs/>
          <w:kern w:val="0"/>
          <w:lang w:eastAsia="nl-NL"/>
          <w14:ligatures w14:val="none"/>
        </w:rPr>
        <w:t>gekwalificeerde meerderheid</w:t>
      </w:r>
    </w:p>
    <w:p w:rsidRPr="00474532" w:rsidR="00B87B11" w:rsidP="00B87B11" w:rsidRDefault="00B87B11" w14:paraId="4B0A27C1" w14:textId="77777777">
      <w:pPr>
        <w:spacing w:after="0" w:line="276" w:lineRule="auto"/>
        <w:jc w:val="both"/>
        <w:rPr>
          <w:rFonts w:ascii="Calibri" w:hAnsi="Calibri" w:eastAsia="Times New Roman" w:cs="Calibri"/>
          <w:bCs/>
          <w:kern w:val="0"/>
          <w:lang w:eastAsia="nl-NL"/>
          <w14:ligatures w14:val="none"/>
        </w:rPr>
      </w:pPr>
      <w:r w:rsidRPr="00474532">
        <w:rPr>
          <w:rFonts w:ascii="Calibri" w:hAnsi="Calibri" w:eastAsia="Calibri" w:cs="Calibri"/>
          <w:b/>
          <w:bCs/>
          <w:kern w:val="0"/>
          <w:lang w:eastAsia="nl-NL"/>
          <w14:ligatures w14:val="none"/>
        </w:rPr>
        <w:lastRenderedPageBreak/>
        <w:t>Toelichting:</w:t>
      </w:r>
    </w:p>
    <w:bookmarkEnd w:id="2"/>
    <w:p w:rsidRPr="00474532" w:rsidR="00B87B11" w:rsidP="00B87B11" w:rsidRDefault="00B87B11" w14:paraId="5FA3E2DD" w14:textId="77777777">
      <w:pPr>
        <w:spacing w:after="0" w:line="276" w:lineRule="auto"/>
        <w:rPr>
          <w:rFonts w:ascii="Calibri" w:hAnsi="Calibri" w:eastAsia="Calibri" w:cs="Calibri"/>
          <w:kern w:val="0"/>
          <w14:ligatures w14:val="none"/>
        </w:rPr>
      </w:pPr>
      <w:r w:rsidRPr="00474532">
        <w:rPr>
          <w:rFonts w:ascii="Calibri" w:hAnsi="Calibri" w:eastAsia="Calibri" w:cs="Calibri"/>
          <w:kern w:val="0"/>
          <w14:ligatures w14:val="none"/>
        </w:rPr>
        <w:t>Tijdens de Ecofinraad zal worden stilgestaan bij de stand van zaken ten aanzien van de Herstel- en Veerkrachtfaciliteit (HVF). Naar verwachting zal de Europese Commissie (de Commissie) een update geven over de implementatie. Nederland kan de update aanhoren.</w:t>
      </w:r>
    </w:p>
    <w:p w:rsidRPr="00474532" w:rsidR="00B87B11" w:rsidP="00B87B11" w:rsidRDefault="00B87B11" w14:paraId="2D432AA1" w14:textId="77777777">
      <w:pPr>
        <w:spacing w:after="0" w:line="276" w:lineRule="auto"/>
        <w:rPr>
          <w:rFonts w:ascii="Calibri" w:hAnsi="Calibri" w:eastAsia="Calibri" w:cs="Calibri"/>
          <w:kern w:val="0"/>
          <w14:ligatures w14:val="none"/>
        </w:rPr>
      </w:pPr>
    </w:p>
    <w:p w:rsidRPr="00474532" w:rsidR="00B87B11" w:rsidP="00B87B11" w:rsidRDefault="00B87B11" w14:paraId="04C71D03" w14:textId="77777777">
      <w:pPr>
        <w:spacing w:after="0" w:line="276" w:lineRule="auto"/>
        <w:rPr>
          <w:rFonts w:ascii="Calibri" w:hAnsi="Calibri" w:eastAsia="Calibri" w:cs="Calibri"/>
          <w:kern w:val="0"/>
          <w14:ligatures w14:val="none"/>
        </w:rPr>
      </w:pPr>
      <w:r w:rsidRPr="00474532">
        <w:rPr>
          <w:rFonts w:ascii="Calibri" w:hAnsi="Calibri" w:eastAsia="Calibri" w:cs="Calibri"/>
          <w:kern w:val="0"/>
          <w14:ligatures w14:val="none"/>
        </w:rPr>
        <w:t>Daarnaast zal tijdens de Ecofinraad een aanpassingen van het uitvoeringsbesluit ter goedkeuring van het Herstel- en Veerkrachtplan (HVP) van Cyprus ter besluitvorming voorliggen.</w:t>
      </w:r>
    </w:p>
    <w:p w:rsidRPr="00474532" w:rsidR="00B87B11" w:rsidP="00B87B11" w:rsidRDefault="00B87B11" w14:paraId="65B0AA3E" w14:textId="77777777">
      <w:pPr>
        <w:spacing w:after="0" w:line="276" w:lineRule="auto"/>
        <w:rPr>
          <w:rFonts w:ascii="Calibri" w:hAnsi="Calibri" w:eastAsia="Calibri" w:cs="Calibri"/>
          <w:kern w:val="0"/>
          <w14:ligatures w14:val="none"/>
        </w:rPr>
      </w:pPr>
    </w:p>
    <w:p w:rsidRPr="00474532" w:rsidR="00B87B11" w:rsidP="00B87B11" w:rsidRDefault="00B87B11" w14:paraId="45800888" w14:textId="77777777">
      <w:pPr>
        <w:spacing w:after="0" w:line="276" w:lineRule="auto"/>
        <w:rPr>
          <w:rFonts w:ascii="Calibri" w:hAnsi="Calibri" w:eastAsia="Calibri" w:cs="Calibri"/>
          <w:kern w:val="0"/>
          <w:u w:val="single"/>
          <w14:ligatures w14:val="none"/>
        </w:rPr>
      </w:pPr>
      <w:r w:rsidRPr="00474532">
        <w:rPr>
          <w:rFonts w:ascii="Calibri" w:hAnsi="Calibri" w:eastAsia="Calibri" w:cs="Calibri"/>
          <w:kern w:val="0"/>
          <w:u w:val="single"/>
          <w14:ligatures w14:val="none"/>
        </w:rPr>
        <w:t>Cyprus</w:t>
      </w:r>
    </w:p>
    <w:p w:rsidRPr="00474532" w:rsidR="00B87B11" w:rsidP="00B87B11" w:rsidRDefault="00B87B11" w14:paraId="5BD4147C" w14:textId="77777777">
      <w:pPr>
        <w:spacing w:after="0" w:line="276" w:lineRule="auto"/>
        <w:rPr>
          <w:rFonts w:ascii="Calibri" w:hAnsi="Calibri" w:eastAsia="Calibri" w:cs="Calibri"/>
          <w:iCs/>
          <w:kern w:val="0"/>
          <w14:ligatures w14:val="none"/>
        </w:rPr>
      </w:pPr>
      <w:r w:rsidRPr="00474532">
        <w:rPr>
          <w:rFonts w:ascii="Calibri" w:hAnsi="Calibri" w:eastAsia="Calibri" w:cs="Calibri"/>
          <w:iCs/>
          <w:kern w:val="0"/>
          <w14:ligatures w14:val="none"/>
        </w:rPr>
        <w:t xml:space="preserve">De Commissie heeft op 13 december het voorstel </w:t>
      </w:r>
      <w:r w:rsidRPr="00474532">
        <w:rPr>
          <w:rFonts w:ascii="Calibri" w:hAnsi="Calibri" w:eastAsia="Calibri" w:cs="Calibri"/>
          <w:kern w:val="0"/>
          <w14:ligatures w14:val="none"/>
        </w:rPr>
        <w:t xml:space="preserve">tot aanpassing van het uitvoeringsbesluit van de Raad ter goedkeuring van het Cypriotisch herstel- en veerkrachtplan (HVP) gepubliceerd. </w:t>
      </w:r>
      <w:r w:rsidRPr="00474532">
        <w:rPr>
          <w:rFonts w:ascii="Calibri" w:hAnsi="Calibri" w:eastAsia="DejaVu Sans" w:cs="Calibri"/>
          <w:color w:val="000000"/>
          <w:kern w:val="0"/>
          <w:lang w:eastAsia="nl-NL"/>
          <w14:ligatures w14:val="none"/>
        </w:rPr>
        <w:t xml:space="preserve">Er wordt geen discussie verwacht in de Ecofin. </w:t>
      </w:r>
      <w:r w:rsidRPr="00474532">
        <w:rPr>
          <w:rFonts w:ascii="Calibri" w:hAnsi="Calibri" w:eastAsia="Calibri" w:cs="Calibri"/>
          <w:kern w:val="0"/>
          <w14:ligatures w14:val="none"/>
        </w:rPr>
        <w:t>Hieronder volgt een beschrijving van de aanpassing en de beoordeling van het kabinet</w:t>
      </w:r>
    </w:p>
    <w:p w:rsidRPr="00474532" w:rsidR="00B87B11" w:rsidP="00B87B11" w:rsidRDefault="00B87B11" w14:paraId="7222B308" w14:textId="77777777">
      <w:pPr>
        <w:spacing w:after="0" w:line="276" w:lineRule="auto"/>
        <w:rPr>
          <w:rFonts w:ascii="Calibri" w:hAnsi="Calibri" w:eastAsia="Calibri" w:cs="Calibri"/>
          <w:iCs/>
          <w:kern w:val="0"/>
          <w14:ligatures w14:val="none"/>
        </w:rPr>
      </w:pPr>
    </w:p>
    <w:p w:rsidRPr="00474532" w:rsidR="00B87B11" w:rsidP="00B87B11" w:rsidRDefault="00B87B11" w14:paraId="383B3FE1" w14:textId="77777777">
      <w:pPr>
        <w:spacing w:after="0" w:line="276" w:lineRule="auto"/>
        <w:rPr>
          <w:rFonts w:ascii="Calibri" w:hAnsi="Calibri" w:eastAsia="Calibri" w:cs="Calibri"/>
          <w:iCs/>
          <w:kern w:val="0"/>
          <w14:ligatures w14:val="none"/>
        </w:rPr>
      </w:pPr>
      <w:r w:rsidRPr="00474532">
        <w:rPr>
          <w:rFonts w:ascii="Calibri" w:hAnsi="Calibri" w:eastAsia="Calibri" w:cs="Calibri"/>
          <w:iCs/>
          <w:kern w:val="0"/>
          <w14:ligatures w14:val="none"/>
        </w:rPr>
        <w:t>Cyprus heeft op 25 oktober 2024 een verzoek ingediend voor een aanpassing van het oorspronkelijke HVP dat middels een uitvoeringsbesluit van de Raad op 28 juli 2021 is goedgekeurd. Dit uitvoeringsbesluit is op 8 december 2023 en 16 juli 2024 aangepast.</w:t>
      </w:r>
    </w:p>
    <w:p w:rsidRPr="00474532" w:rsidR="00B87B11" w:rsidP="00B87B11" w:rsidRDefault="00B87B11" w14:paraId="540E6BE2" w14:textId="77777777">
      <w:pPr>
        <w:spacing w:after="0" w:line="276" w:lineRule="auto"/>
        <w:rPr>
          <w:rFonts w:ascii="Calibri" w:hAnsi="Calibri" w:eastAsia="Calibri" w:cs="Calibri"/>
          <w:iCs/>
          <w:kern w:val="0"/>
          <w14:ligatures w14:val="none"/>
        </w:rPr>
      </w:pPr>
    </w:p>
    <w:p w:rsidRPr="00474532" w:rsidR="00B87B11" w:rsidP="00B87B11" w:rsidRDefault="00B87B11" w14:paraId="484DB270" w14:textId="77777777">
      <w:pPr>
        <w:spacing w:after="0" w:line="276" w:lineRule="auto"/>
        <w:rPr>
          <w:rFonts w:ascii="Calibri" w:hAnsi="Calibri" w:eastAsia="Calibri" w:cs="Calibri"/>
          <w:iCs/>
          <w:kern w:val="0"/>
          <w14:ligatures w14:val="none"/>
        </w:rPr>
      </w:pPr>
      <w:r w:rsidRPr="00474532">
        <w:rPr>
          <w:rFonts w:ascii="Calibri" w:hAnsi="Calibri" w:eastAsia="Calibri" w:cs="Calibri"/>
          <w:kern w:val="0"/>
          <w14:ligatures w14:val="none"/>
        </w:rPr>
        <w:t xml:space="preserve">Cyprus maakt gebruik van de mogelijkheid om het HVP aan te passen op grond van objectieve omstandigheden. </w:t>
      </w:r>
      <w:r w:rsidRPr="00474532">
        <w:rPr>
          <w:rFonts w:ascii="Calibri" w:hAnsi="Calibri" w:eastAsia="Calibri" w:cs="Calibri"/>
          <w:iCs/>
          <w:kern w:val="0"/>
          <w14:ligatures w14:val="none"/>
        </w:rPr>
        <w:t>Voor een uitgebreide toelichting op deze grondslag voor wijziging verwijs ik u graag naar het verslag van de Eurogroep- en Ecofinraad van juni 2024</w:t>
      </w:r>
      <w:r w:rsidRPr="00474532">
        <w:rPr>
          <w:rFonts w:ascii="Calibri" w:hAnsi="Calibri" w:eastAsia="Calibri" w:cs="Calibri"/>
          <w:iCs/>
          <w:kern w:val="0"/>
          <w:vertAlign w:val="superscript"/>
          <w14:ligatures w14:val="none"/>
        </w:rPr>
        <w:footnoteReference w:id="10"/>
      </w:r>
      <w:r w:rsidRPr="00474532">
        <w:rPr>
          <w:rFonts w:ascii="Calibri" w:hAnsi="Calibri" w:eastAsia="Calibri" w:cs="Calibri"/>
          <w:iCs/>
          <w:kern w:val="0"/>
          <w14:ligatures w14:val="none"/>
        </w:rPr>
        <w:t xml:space="preserve">. De aanpassing heeft betrekking op twee maatregelen. Beide maatregelen worden aangepast omdat er betere alternatieven geïmplementeerd kunnen worden om de oorspronkelijke ambitie van de maatregelen te verwezenlijken. Deze maatregelen hebben onder andere betrekking op energie efficiëntie, klimaat en hernieuwbare energie, en bedrijfsondersteuning voor concurrentievermogen.  </w:t>
      </w:r>
    </w:p>
    <w:p w:rsidRPr="00474532" w:rsidR="00B87B11" w:rsidP="00B87B11" w:rsidRDefault="00B87B11" w14:paraId="67C35DC2" w14:textId="77777777">
      <w:pPr>
        <w:spacing w:after="0" w:line="276" w:lineRule="auto"/>
        <w:rPr>
          <w:rFonts w:ascii="Calibri" w:hAnsi="Calibri" w:eastAsia="Calibri" w:cs="Calibri"/>
          <w:iCs/>
          <w:kern w:val="0"/>
          <w14:ligatures w14:val="none"/>
        </w:rPr>
      </w:pPr>
    </w:p>
    <w:p w:rsidRPr="00474532" w:rsidR="00B87B11" w:rsidP="00B87B11" w:rsidRDefault="00B87B11" w14:paraId="4CF0CAF8" w14:textId="77777777">
      <w:pPr>
        <w:spacing w:after="0" w:line="276" w:lineRule="auto"/>
        <w:rPr>
          <w:rFonts w:ascii="Calibri" w:hAnsi="Calibri" w:eastAsia="Calibri" w:cs="Calibri"/>
          <w:iCs/>
          <w:kern w:val="0"/>
          <w14:ligatures w14:val="none"/>
        </w:rPr>
      </w:pPr>
      <w:r w:rsidRPr="00474532">
        <w:rPr>
          <w:rFonts w:ascii="Calibri" w:hAnsi="Calibri" w:eastAsia="Calibri" w:cs="Calibri"/>
          <w:iCs/>
          <w:kern w:val="0"/>
          <w14:ligatures w14:val="none"/>
        </w:rPr>
        <w:t>De Commissie oordeelt dat de redenen die Cyprus aandraagt een aanpassing van het plan rechtvaardigen en dat het Cypriotisch herstelplan ook na de aanpassing voldoet aan de eisen van de HVF-verordening. Het kabinet kan zich vinden in het oordeel van de Commissie. Nederland is daarom voornemens om in te stemmen met het voorstel tot aanpassing van het uitvoeringsbesluit van de Raad.</w:t>
      </w:r>
    </w:p>
    <w:p w:rsidRPr="00474532" w:rsidR="00B87B11" w:rsidP="00B87B11" w:rsidRDefault="00B87B11" w14:paraId="4CA770B9" w14:textId="77777777">
      <w:pPr>
        <w:spacing w:after="0" w:line="276" w:lineRule="auto"/>
        <w:rPr>
          <w:rFonts w:ascii="Calibri" w:hAnsi="Calibri" w:eastAsia="Calibri" w:cs="Calibri"/>
          <w:iCs/>
          <w:kern w:val="0"/>
          <w14:ligatures w14:val="none"/>
        </w:rPr>
      </w:pPr>
    </w:p>
    <w:p w:rsidRPr="00474532" w:rsidR="00B87B11" w:rsidP="00B87B11" w:rsidRDefault="00B87B11" w14:paraId="4E9C40DF" w14:textId="77777777">
      <w:pPr>
        <w:spacing w:after="0" w:line="276" w:lineRule="auto"/>
        <w:rPr>
          <w:rFonts w:ascii="Calibri" w:hAnsi="Calibri" w:eastAsia="Calibri" w:cs="Calibri"/>
          <w:kern w:val="0"/>
          <w14:ligatures w14:val="none"/>
        </w:rPr>
      </w:pPr>
      <w:r w:rsidRPr="00474532">
        <w:rPr>
          <w:rFonts w:ascii="Calibri" w:hAnsi="Calibri" w:eastAsia="Calibri" w:cs="Calibri"/>
          <w:kern w:val="0"/>
          <w14:ligatures w14:val="none"/>
        </w:rPr>
        <w:t>Overige plannen</w:t>
      </w:r>
    </w:p>
    <w:p w:rsidRPr="00474532" w:rsidR="00B87B11" w:rsidP="00B87B11" w:rsidRDefault="00B87B11" w14:paraId="5B7198C8" w14:textId="77777777">
      <w:pPr>
        <w:spacing w:after="0" w:line="276" w:lineRule="auto"/>
        <w:rPr>
          <w:rFonts w:ascii="Calibri" w:hAnsi="Calibri" w:eastAsia="Calibri" w:cs="Calibri"/>
          <w:kern w:val="0"/>
          <w14:ligatures w14:val="none"/>
        </w:rPr>
      </w:pPr>
      <w:r w:rsidRPr="00474532">
        <w:rPr>
          <w:rFonts w:ascii="Calibri" w:hAnsi="Calibri" w:eastAsia="Calibri" w:cs="Calibri"/>
          <w:kern w:val="0"/>
          <w14:ligatures w14:val="none"/>
        </w:rPr>
        <w:lastRenderedPageBreak/>
        <w:t>Mogelijk zullen er meer voorstellen tot aanpassing van uitvoeringsbesluiten ter goedkeuring van een HVP van lidstaten worden gepubliceerd in aanloop naar de Ecofinraad. In dat geval zal de Kamer hierover een nazending van deze geannoteerde agenda ontvangen waarin de aanpassing wordt toegelicht en een kabinetsappreciatie wordt gegeven.</w:t>
      </w:r>
    </w:p>
    <w:p w:rsidRPr="00474532" w:rsidR="00B87B11" w:rsidP="00B87B11" w:rsidRDefault="00B87B11" w14:paraId="2FFF0E78" w14:textId="77777777">
      <w:pPr>
        <w:spacing w:after="0" w:line="240" w:lineRule="atLeast"/>
        <w:rPr>
          <w:rFonts w:ascii="Calibri" w:hAnsi="Calibri" w:eastAsia="Verdana" w:cs="Calibri"/>
          <w:kern w:val="0"/>
          <w14:ligatures w14:val="none"/>
        </w:rPr>
      </w:pPr>
    </w:p>
    <w:p w:rsidRPr="00474532" w:rsidR="00B87B11" w:rsidRDefault="00B87B11" w14:paraId="2D225043" w14:textId="77777777">
      <w:pPr>
        <w:rPr>
          <w:rFonts w:ascii="Calibri" w:hAnsi="Calibri" w:cs="Calibri"/>
        </w:rPr>
      </w:pPr>
    </w:p>
    <w:sectPr w:rsidRPr="00474532" w:rsidR="00B87B11" w:rsidSect="00B87B11">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02DB4" w14:textId="77777777" w:rsidR="00B87B11" w:rsidRDefault="00B87B11" w:rsidP="00B87B11">
      <w:pPr>
        <w:spacing w:after="0" w:line="240" w:lineRule="auto"/>
      </w:pPr>
      <w:r>
        <w:separator/>
      </w:r>
    </w:p>
  </w:endnote>
  <w:endnote w:type="continuationSeparator" w:id="0">
    <w:p w14:paraId="3911B5B7" w14:textId="77777777" w:rsidR="00B87B11" w:rsidRDefault="00B87B11" w:rsidP="00B8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B54C" w14:textId="77777777" w:rsidR="00B87B11" w:rsidRPr="00B87B11" w:rsidRDefault="00B87B11" w:rsidP="00B87B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044F8" w14:textId="77777777" w:rsidR="00B87B11" w:rsidRPr="00B87B11" w:rsidRDefault="00B87B11" w:rsidP="00B87B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B3EFE" w14:textId="77777777" w:rsidR="00B87B11" w:rsidRPr="00B87B11" w:rsidRDefault="00B87B11" w:rsidP="00B87B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1F867" w14:textId="77777777" w:rsidR="00B87B11" w:rsidRDefault="00B87B11" w:rsidP="00B87B11">
      <w:pPr>
        <w:spacing w:after="0" w:line="240" w:lineRule="auto"/>
      </w:pPr>
      <w:r>
        <w:separator/>
      </w:r>
    </w:p>
  </w:footnote>
  <w:footnote w:type="continuationSeparator" w:id="0">
    <w:p w14:paraId="4C77DCC0" w14:textId="77777777" w:rsidR="00B87B11" w:rsidRDefault="00B87B11" w:rsidP="00B87B11">
      <w:pPr>
        <w:spacing w:after="0" w:line="240" w:lineRule="auto"/>
      </w:pPr>
      <w:r>
        <w:continuationSeparator/>
      </w:r>
    </w:p>
  </w:footnote>
  <w:footnote w:id="1">
    <w:p w14:paraId="66DAD4F4" w14:textId="77777777" w:rsidR="00B87B11" w:rsidRPr="00474532" w:rsidRDefault="00B87B11" w:rsidP="00B87B11">
      <w:pPr>
        <w:pStyle w:val="Voetnoottekst"/>
        <w:rPr>
          <w:rFonts w:ascii="Calibri" w:hAnsi="Calibri" w:cs="Calibri"/>
          <w:szCs w:val="16"/>
          <w:lang w:val="en-US"/>
        </w:rPr>
      </w:pPr>
      <w:r w:rsidRPr="00474532">
        <w:rPr>
          <w:rStyle w:val="Voetnootmarkering"/>
          <w:rFonts w:ascii="Calibri" w:hAnsi="Calibri" w:cs="Calibri"/>
          <w:szCs w:val="16"/>
        </w:rPr>
        <w:footnoteRef/>
      </w:r>
      <w:r w:rsidRPr="00474532">
        <w:rPr>
          <w:rFonts w:ascii="Calibri" w:hAnsi="Calibri" w:cs="Calibri"/>
          <w:szCs w:val="16"/>
          <w:lang w:val="en-US"/>
        </w:rPr>
        <w:t xml:space="preserve"> </w:t>
      </w:r>
      <w:hyperlink r:id="rId1" w:history="1">
        <w:r w:rsidRPr="00474532">
          <w:rPr>
            <w:rStyle w:val="Hyperlink"/>
            <w:rFonts w:ascii="Calibri" w:hAnsi="Calibri" w:cs="Calibri"/>
            <w:szCs w:val="16"/>
            <w:lang w:val="en-US"/>
          </w:rPr>
          <w:t>https://economy-finance.ec.europa.eu/economic-forecast-and-surveys/economic-forecasts/autumn-2024-economic-forecast-gradual-rebound-adverse-environment_en?prefLang=nl</w:t>
        </w:r>
      </w:hyperlink>
      <w:r w:rsidRPr="00474532">
        <w:rPr>
          <w:rFonts w:ascii="Calibri" w:hAnsi="Calibri" w:cs="Calibri"/>
          <w:szCs w:val="16"/>
          <w:lang w:val="en-US"/>
        </w:rPr>
        <w:t xml:space="preserve"> </w:t>
      </w:r>
    </w:p>
  </w:footnote>
  <w:footnote w:id="2">
    <w:p w14:paraId="742879CA" w14:textId="77777777" w:rsidR="00B87B11" w:rsidRPr="00474532" w:rsidRDefault="00B87B11" w:rsidP="00B87B11">
      <w:pPr>
        <w:pStyle w:val="Voetnoottekst"/>
        <w:rPr>
          <w:rFonts w:ascii="Calibri" w:hAnsi="Calibri" w:cs="Calibri"/>
          <w:szCs w:val="16"/>
          <w:lang w:val="en-GB"/>
        </w:rPr>
      </w:pPr>
      <w:r w:rsidRPr="00474532">
        <w:rPr>
          <w:rStyle w:val="Voetnootmarkering"/>
          <w:rFonts w:ascii="Calibri" w:hAnsi="Calibri" w:cs="Calibri"/>
          <w:szCs w:val="16"/>
        </w:rPr>
        <w:footnoteRef/>
      </w:r>
      <w:hyperlink r:id="rId2" w:history="1">
        <w:r w:rsidRPr="00474532">
          <w:rPr>
            <w:rStyle w:val="Hyperlink"/>
            <w:rFonts w:ascii="Calibri" w:eastAsia="Verdana" w:hAnsi="Calibri" w:cs="Calibri"/>
            <w:szCs w:val="16"/>
            <w:lang w:val="en-US"/>
          </w:rPr>
          <w:t>https://www.ecb.europa.eu/press/projections/html/ecb.projections202412_eurosystemstaff~71a06224a5.en.html</w:t>
        </w:r>
      </w:hyperlink>
    </w:p>
  </w:footnote>
  <w:footnote w:id="3">
    <w:p w14:paraId="4FD542D4" w14:textId="77777777" w:rsidR="00B87B11" w:rsidRPr="00474532" w:rsidRDefault="00B87B11" w:rsidP="00B87B11">
      <w:pPr>
        <w:pStyle w:val="Voetnoottekst"/>
        <w:rPr>
          <w:rFonts w:ascii="Calibri" w:hAnsi="Calibri" w:cs="Calibri"/>
          <w:szCs w:val="16"/>
          <w:lang w:val="en-GB"/>
        </w:rPr>
      </w:pPr>
      <w:r w:rsidRPr="00474532">
        <w:rPr>
          <w:rStyle w:val="Voetnootmarkering"/>
          <w:rFonts w:ascii="Calibri" w:hAnsi="Calibri" w:cs="Calibri"/>
          <w:szCs w:val="16"/>
        </w:rPr>
        <w:footnoteRef/>
      </w:r>
      <w:r w:rsidRPr="00474532">
        <w:rPr>
          <w:rFonts w:ascii="Calibri" w:hAnsi="Calibri" w:cs="Calibri"/>
          <w:szCs w:val="16"/>
          <w:lang w:val="en-GB"/>
        </w:rPr>
        <w:t xml:space="preserve"> </w:t>
      </w:r>
      <w:hyperlink r:id="rId3">
        <w:r w:rsidRPr="00474532">
          <w:rPr>
            <w:rStyle w:val="Hyperlink"/>
            <w:rFonts w:ascii="Calibri" w:eastAsia="Calibri" w:hAnsi="Calibri" w:cs="Calibri"/>
            <w:szCs w:val="16"/>
            <w:lang w:val="en-US"/>
          </w:rPr>
          <w:t>Programme-of-the-polish-presidency-of-the-council-of-the-european-union.pdf</w:t>
        </w:r>
      </w:hyperlink>
    </w:p>
  </w:footnote>
  <w:footnote w:id="4">
    <w:p w14:paraId="43719003" w14:textId="77777777" w:rsidR="00B87B11" w:rsidRPr="00474532" w:rsidRDefault="00B87B11" w:rsidP="00B87B11">
      <w:pPr>
        <w:pStyle w:val="Voetnoottekst"/>
        <w:rPr>
          <w:rFonts w:ascii="Calibri" w:hAnsi="Calibri" w:cs="Calibri"/>
          <w:szCs w:val="16"/>
        </w:rPr>
      </w:pPr>
      <w:r w:rsidRPr="00474532">
        <w:rPr>
          <w:rStyle w:val="Voetnootmarkering"/>
          <w:rFonts w:ascii="Calibri" w:hAnsi="Calibri" w:cs="Calibri"/>
          <w:szCs w:val="16"/>
        </w:rPr>
        <w:footnoteRef/>
      </w:r>
      <w:r w:rsidRPr="00474532">
        <w:rPr>
          <w:rFonts w:ascii="Calibri" w:hAnsi="Calibri" w:cs="Calibri"/>
          <w:szCs w:val="16"/>
        </w:rPr>
        <w:t xml:space="preserve"> Deze zijn te vinden op de website van de Commissie: </w:t>
      </w:r>
      <w:hyperlink r:id="rId4" w:anchor=":~:text=National%20medium-term%20fiscal-structural%20plans%20(MTPs)%20bring%20together%20the" w:history="1">
        <w:r w:rsidRPr="00474532">
          <w:rPr>
            <w:rStyle w:val="Hyperlink"/>
            <w:rFonts w:ascii="Calibri" w:hAnsi="Calibri" w:cs="Calibri"/>
            <w:szCs w:val="16"/>
          </w:rPr>
          <w:t>National medium-term fiscal-structural plans - European Commission</w:t>
        </w:r>
      </w:hyperlink>
    </w:p>
  </w:footnote>
  <w:footnote w:id="5">
    <w:p w14:paraId="76AEAA7D" w14:textId="77777777" w:rsidR="00B87B11" w:rsidRPr="00474532" w:rsidRDefault="00B87B11" w:rsidP="00B87B11">
      <w:pPr>
        <w:pStyle w:val="Voetnoottekst"/>
        <w:rPr>
          <w:rFonts w:ascii="Calibri" w:hAnsi="Calibri" w:cs="Calibri"/>
          <w:szCs w:val="16"/>
        </w:rPr>
      </w:pPr>
      <w:r w:rsidRPr="00474532">
        <w:rPr>
          <w:rStyle w:val="Voetnootmarkering"/>
          <w:rFonts w:ascii="Calibri" w:hAnsi="Calibri" w:cs="Calibri"/>
          <w:szCs w:val="16"/>
        </w:rPr>
        <w:footnoteRef/>
      </w:r>
      <w:r w:rsidRPr="00474532">
        <w:rPr>
          <w:rFonts w:ascii="Calibri" w:hAnsi="Calibri" w:cs="Calibri"/>
          <w:szCs w:val="16"/>
        </w:rPr>
        <w:t xml:space="preserve"> Gekwalificeerde meerderheid in lijn met artikel 238(3)(a) Verdrag Betreffende de Werking van de EU.</w:t>
      </w:r>
    </w:p>
  </w:footnote>
  <w:footnote w:id="6">
    <w:p w14:paraId="25CF70BA" w14:textId="77777777" w:rsidR="00B87B11" w:rsidRPr="00474532" w:rsidRDefault="00B87B11" w:rsidP="00B87B11">
      <w:pPr>
        <w:pStyle w:val="Voetnoottekst"/>
        <w:rPr>
          <w:rFonts w:ascii="Calibri" w:hAnsi="Calibri" w:cs="Calibri"/>
          <w:szCs w:val="16"/>
        </w:rPr>
      </w:pPr>
      <w:r w:rsidRPr="00474532">
        <w:rPr>
          <w:rStyle w:val="Voetnootmarkering"/>
          <w:rFonts w:ascii="Calibri" w:hAnsi="Calibri" w:cs="Calibri"/>
          <w:szCs w:val="16"/>
        </w:rPr>
        <w:footnoteRef/>
      </w:r>
      <w:r w:rsidRPr="00474532">
        <w:rPr>
          <w:rFonts w:ascii="Calibri" w:hAnsi="Calibri" w:cs="Calibri"/>
          <w:szCs w:val="16"/>
        </w:rPr>
        <w:t xml:space="preserve"> </w:t>
      </w:r>
      <w:hyperlink r:id="rId5">
        <w:r w:rsidRPr="00474532">
          <w:rPr>
            <w:rStyle w:val="Hyperlink"/>
            <w:rFonts w:ascii="Calibri" w:eastAsia="Verdana" w:hAnsi="Calibri" w:cs="Calibri"/>
            <w:szCs w:val="16"/>
          </w:rPr>
          <w:t>https://www.imf.org/en/Publications/CR/Issues/2024/06/28/Ukraine-Fourth-Review-of-the-Extended-Arrangement-under-the-Extended-Fund-Facility-Request-551207</w:t>
        </w:r>
      </w:hyperlink>
    </w:p>
  </w:footnote>
  <w:footnote w:id="7">
    <w:p w14:paraId="22245807" w14:textId="77777777" w:rsidR="00B87B11" w:rsidRPr="00474532" w:rsidRDefault="00B87B11" w:rsidP="00B87B11">
      <w:pPr>
        <w:pStyle w:val="Voetnoottekst"/>
        <w:rPr>
          <w:rFonts w:ascii="Calibri" w:hAnsi="Calibri" w:cs="Calibri"/>
          <w:szCs w:val="16"/>
        </w:rPr>
      </w:pPr>
      <w:r w:rsidRPr="00474532">
        <w:rPr>
          <w:rStyle w:val="Voetnootmarkering"/>
          <w:rFonts w:ascii="Calibri" w:hAnsi="Calibri" w:cs="Calibri"/>
          <w:szCs w:val="16"/>
        </w:rPr>
        <w:footnoteRef/>
      </w:r>
      <w:r w:rsidRPr="00474532">
        <w:rPr>
          <w:rFonts w:ascii="Calibri" w:hAnsi="Calibri" w:cs="Calibri"/>
          <w:szCs w:val="16"/>
        </w:rPr>
        <w:t xml:space="preserve"> </w:t>
      </w:r>
      <w:hyperlink r:id="rId6">
        <w:r w:rsidRPr="00474532">
          <w:rPr>
            <w:rStyle w:val="Hyperlink"/>
            <w:rFonts w:ascii="Calibri" w:eastAsia="Verdana" w:hAnsi="Calibri" w:cs="Calibri"/>
            <w:szCs w:val="16"/>
          </w:rPr>
          <w:t>https://ukraine.un.org/sites/default/files/2024-02/UA%20RDNA3%20report%20EN.pdf</w:t>
        </w:r>
      </w:hyperlink>
    </w:p>
  </w:footnote>
  <w:footnote w:id="8">
    <w:p w14:paraId="6751D0D1" w14:textId="77777777" w:rsidR="00B87B11" w:rsidRPr="00474532" w:rsidRDefault="00B87B11" w:rsidP="00B87B11">
      <w:pPr>
        <w:pStyle w:val="Voetnoottekst"/>
        <w:rPr>
          <w:rFonts w:ascii="Calibri" w:hAnsi="Calibri" w:cs="Calibri"/>
          <w:szCs w:val="16"/>
        </w:rPr>
      </w:pPr>
      <w:r w:rsidRPr="00474532">
        <w:rPr>
          <w:rStyle w:val="Voetnootmarkering"/>
          <w:rFonts w:ascii="Calibri" w:hAnsi="Calibri" w:cs="Calibri"/>
          <w:szCs w:val="16"/>
        </w:rPr>
        <w:footnoteRef/>
      </w:r>
      <w:r w:rsidRPr="00474532">
        <w:rPr>
          <w:rFonts w:ascii="Calibri" w:hAnsi="Calibri" w:cs="Calibri"/>
          <w:szCs w:val="16"/>
        </w:rPr>
        <w:t xml:space="preserve"> </w:t>
      </w:r>
      <w:hyperlink r:id="rId7">
        <w:r w:rsidRPr="00474532">
          <w:rPr>
            <w:rStyle w:val="Hyperlink"/>
            <w:rFonts w:ascii="Calibri" w:eastAsia="Verdana" w:hAnsi="Calibri" w:cs="Calibri"/>
            <w:szCs w:val="16"/>
          </w:rPr>
          <w:t>https://www.imf.org/en/Publications/CR/Issues/2024/06/28/Ukraine-Fourth-Review-of-the-Extended-Arrangement-under-the-Extended-Fund-Facility-Request-551207</w:t>
        </w:r>
      </w:hyperlink>
    </w:p>
  </w:footnote>
  <w:footnote w:id="9">
    <w:p w14:paraId="48C4DEAE" w14:textId="77777777" w:rsidR="00B87B11" w:rsidRPr="00474532" w:rsidRDefault="00B87B11" w:rsidP="00B87B11">
      <w:pPr>
        <w:pStyle w:val="Voetnoottekst"/>
        <w:rPr>
          <w:rFonts w:ascii="Calibri" w:hAnsi="Calibri" w:cs="Calibri"/>
          <w:szCs w:val="16"/>
        </w:rPr>
      </w:pPr>
      <w:r w:rsidRPr="00474532">
        <w:rPr>
          <w:rStyle w:val="Voetnootmarkering"/>
          <w:rFonts w:ascii="Calibri" w:hAnsi="Calibri" w:cs="Calibri"/>
          <w:szCs w:val="16"/>
        </w:rPr>
        <w:footnoteRef/>
      </w:r>
      <w:r w:rsidRPr="00474532">
        <w:rPr>
          <w:rFonts w:ascii="Calibri" w:hAnsi="Calibri" w:cs="Calibri"/>
          <w:szCs w:val="16"/>
        </w:rPr>
        <w:t xml:space="preserve"> </w:t>
      </w:r>
      <w:r w:rsidRPr="00474532">
        <w:rPr>
          <w:rFonts w:ascii="Calibri" w:eastAsia="Verdana" w:hAnsi="Calibri" w:cs="Calibri"/>
          <w:szCs w:val="16"/>
        </w:rPr>
        <w:t>Kamerstuk 21 501-02, nr. 2962</w:t>
      </w:r>
    </w:p>
  </w:footnote>
  <w:footnote w:id="10">
    <w:p w14:paraId="439FA39C" w14:textId="77777777" w:rsidR="00B87B11" w:rsidRPr="00474532" w:rsidRDefault="00B87B11" w:rsidP="00B87B11">
      <w:pPr>
        <w:pStyle w:val="Voetnoottekst"/>
        <w:rPr>
          <w:rFonts w:ascii="Calibri" w:hAnsi="Calibri" w:cs="Calibri"/>
          <w:szCs w:val="16"/>
        </w:rPr>
      </w:pPr>
      <w:r w:rsidRPr="00474532">
        <w:rPr>
          <w:rStyle w:val="Voetnootmarkering"/>
          <w:rFonts w:ascii="Calibri" w:hAnsi="Calibri" w:cs="Calibri"/>
          <w:szCs w:val="16"/>
        </w:rPr>
        <w:footnoteRef/>
      </w:r>
      <w:r w:rsidRPr="00474532">
        <w:rPr>
          <w:rFonts w:ascii="Calibri" w:hAnsi="Calibri" w:cs="Calibri"/>
          <w:szCs w:val="16"/>
        </w:rPr>
        <w:t xml:space="preserve"> </w:t>
      </w:r>
      <w:hyperlink r:id="rId8" w:history="1">
        <w:r w:rsidRPr="00474532">
          <w:rPr>
            <w:rStyle w:val="Hyperlink"/>
            <w:rFonts w:ascii="Calibri" w:hAnsi="Calibri" w:cs="Calibri"/>
            <w:szCs w:val="16"/>
          </w:rPr>
          <w:t>Verslag Eurogroep en Ecofinraad 20 en 21 juni 2024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78E1" w14:textId="77777777" w:rsidR="00B87B11" w:rsidRPr="00B87B11" w:rsidRDefault="00B87B11" w:rsidP="00B87B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4355D" w14:textId="77777777" w:rsidR="00B87B11" w:rsidRPr="00B87B11" w:rsidRDefault="00B87B11" w:rsidP="00B87B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8228F" w14:textId="77777777" w:rsidR="00B87B11" w:rsidRPr="00B87B11" w:rsidRDefault="00B87B11" w:rsidP="00B87B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11"/>
    <w:rsid w:val="0025703A"/>
    <w:rsid w:val="00474532"/>
    <w:rsid w:val="00A75A38"/>
    <w:rsid w:val="00B87B11"/>
    <w:rsid w:val="00C31BF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100C"/>
  <w15:chartTrackingRefBased/>
  <w15:docId w15:val="{7E6D4561-A0B7-4D2A-A87D-8C0AEA15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7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7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7B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7B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7B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7B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7B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7B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7B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7B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7B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7B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7B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7B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7B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7B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7B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7B11"/>
    <w:rPr>
      <w:rFonts w:eastAsiaTheme="majorEastAsia" w:cstheme="majorBidi"/>
      <w:color w:val="272727" w:themeColor="text1" w:themeTint="D8"/>
    </w:rPr>
  </w:style>
  <w:style w:type="paragraph" w:styleId="Titel">
    <w:name w:val="Title"/>
    <w:basedOn w:val="Standaard"/>
    <w:next w:val="Standaard"/>
    <w:link w:val="TitelChar"/>
    <w:uiPriority w:val="10"/>
    <w:qFormat/>
    <w:rsid w:val="00B87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7B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7B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7B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7B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7B11"/>
    <w:rPr>
      <w:i/>
      <w:iCs/>
      <w:color w:val="404040" w:themeColor="text1" w:themeTint="BF"/>
    </w:rPr>
  </w:style>
  <w:style w:type="paragraph" w:styleId="Lijstalinea">
    <w:name w:val="List Paragraph"/>
    <w:basedOn w:val="Standaard"/>
    <w:uiPriority w:val="34"/>
    <w:qFormat/>
    <w:rsid w:val="00B87B11"/>
    <w:pPr>
      <w:ind w:left="720"/>
      <w:contextualSpacing/>
    </w:pPr>
  </w:style>
  <w:style w:type="character" w:styleId="Intensievebenadrukking">
    <w:name w:val="Intense Emphasis"/>
    <w:basedOn w:val="Standaardalinea-lettertype"/>
    <w:uiPriority w:val="21"/>
    <w:qFormat/>
    <w:rsid w:val="00B87B11"/>
    <w:rPr>
      <w:i/>
      <w:iCs/>
      <w:color w:val="0F4761" w:themeColor="accent1" w:themeShade="BF"/>
    </w:rPr>
  </w:style>
  <w:style w:type="paragraph" w:styleId="Duidelijkcitaat">
    <w:name w:val="Intense Quote"/>
    <w:basedOn w:val="Standaard"/>
    <w:next w:val="Standaard"/>
    <w:link w:val="DuidelijkcitaatChar"/>
    <w:uiPriority w:val="30"/>
    <w:qFormat/>
    <w:rsid w:val="00B87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7B11"/>
    <w:rPr>
      <w:i/>
      <w:iCs/>
      <w:color w:val="0F4761" w:themeColor="accent1" w:themeShade="BF"/>
    </w:rPr>
  </w:style>
  <w:style w:type="character" w:styleId="Intensieveverwijzing">
    <w:name w:val="Intense Reference"/>
    <w:basedOn w:val="Standaardalinea-lettertype"/>
    <w:uiPriority w:val="32"/>
    <w:qFormat/>
    <w:rsid w:val="00B87B11"/>
    <w:rPr>
      <w:b/>
      <w:bCs/>
      <w:smallCaps/>
      <w:color w:val="0F4761" w:themeColor="accent1" w:themeShade="BF"/>
      <w:spacing w:val="5"/>
    </w:rPr>
  </w:style>
  <w:style w:type="paragraph" w:customStyle="1" w:styleId="Rubricering">
    <w:name w:val="Rubricering"/>
    <w:basedOn w:val="Standaard"/>
    <w:next w:val="Standaard"/>
    <w:rsid w:val="00B87B1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B87B1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B87B1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B87B1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87B1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87B1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B87B1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87B1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87B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7B11"/>
  </w:style>
  <w:style w:type="paragraph" w:styleId="Voettekst">
    <w:name w:val="footer"/>
    <w:basedOn w:val="Standaard"/>
    <w:link w:val="VoettekstChar"/>
    <w:uiPriority w:val="99"/>
    <w:unhideWhenUsed/>
    <w:rsid w:val="00B87B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7B11"/>
  </w:style>
  <w:style w:type="paragraph" w:styleId="Voetnoottekst">
    <w:name w:val="footnote text"/>
    <w:basedOn w:val="Standaard"/>
    <w:link w:val="VoetnoottekstChar"/>
    <w:uiPriority w:val="99"/>
    <w:semiHidden/>
    <w:unhideWhenUsed/>
    <w:rsid w:val="00B87B1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87B11"/>
    <w:rPr>
      <w:sz w:val="20"/>
      <w:szCs w:val="20"/>
    </w:rPr>
  </w:style>
  <w:style w:type="character" w:styleId="Hyperlink">
    <w:name w:val="Hyperlink"/>
    <w:uiPriority w:val="99"/>
    <w:unhideWhenUsed/>
    <w:rsid w:val="00B87B11"/>
    <w:rPr>
      <w:color w:val="0000FF"/>
      <w:u w:val="single"/>
    </w:rPr>
  </w:style>
  <w:style w:type="character" w:styleId="Voetnootmarkering">
    <w:name w:val="footnote reference"/>
    <w:basedOn w:val="Standaardalinea-lettertype"/>
    <w:uiPriority w:val="99"/>
    <w:semiHidden/>
    <w:unhideWhenUsed/>
    <w:rsid w:val="00B87B11"/>
    <w:rPr>
      <w:vertAlign w:val="superscript"/>
    </w:rPr>
  </w:style>
  <w:style w:type="paragraph" w:styleId="Geenafstand">
    <w:name w:val="No Spacing"/>
    <w:uiPriority w:val="1"/>
    <w:qFormat/>
    <w:rsid w:val="00474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detail?id=2024D27551&amp;did=2024D27551" TargetMode="External"/><Relationship Id="rId3" Type="http://schemas.openxmlformats.org/officeDocument/2006/relationships/hyperlink" Target="https://polish-presidency.consilium.europa.eu/media/zkcno325/programme-of-the-polish-presidency-of-the-council-of-the-european-union.pdf" TargetMode="External"/><Relationship Id="rId7" Type="http://schemas.openxmlformats.org/officeDocument/2006/relationships/hyperlink" Target="https://www.imf.org/en/Publications/CR/Issues/2024/06/28/Ukraine-Fourth-Review-of-the-Extended-Arrangement-under-the-Extended-Fund-Facility-Request-551207" TargetMode="External"/><Relationship Id="rId2" Type="http://schemas.openxmlformats.org/officeDocument/2006/relationships/hyperlink" Target="https://www.ecb.europa.eu/press/projections/html/ecb.projections202412_eurosystemstaff~71a06224a5.en.html" TargetMode="External"/><Relationship Id="rId1" Type="http://schemas.openxmlformats.org/officeDocument/2006/relationships/hyperlink" Target="https://economy-finance.ec.europa.eu/economic-forecast-and-surveys/economic-forecasts/autumn-2024-economic-forecast-gradual-rebound-adverse-environment_en?prefLang=nl" TargetMode="External"/><Relationship Id="rId6" Type="http://schemas.openxmlformats.org/officeDocument/2006/relationships/hyperlink" Target="https://ukraine.un.org/sites/default/files/2024-02/UA%20RDNA3%20report%20EN.pdf" TargetMode="External"/><Relationship Id="rId5" Type="http://schemas.openxmlformats.org/officeDocument/2006/relationships/hyperlink" Target="https://www.imf.org/en/Publications/CR/Issues/2024/06/28/Ukraine-Fourth-Review-of-the-Extended-Arrangement-under-the-Extended-Fund-Facility-Request-551207" TargetMode="External"/><Relationship Id="rId4" Type="http://schemas.openxmlformats.org/officeDocument/2006/relationships/hyperlink" Target="https://economy-finance.ec.europa.eu/economic-and-fiscal-governance/stability-and-growth-pact/preventive-arm/national-medium-term-fiscal-structural-plan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3800</ap:Words>
  <ap:Characters>20901</ap:Characters>
  <ap:DocSecurity>0</ap:DocSecurity>
  <ap:Lines>174</ap:Lines>
  <ap:Paragraphs>49</ap:Paragraphs>
  <ap:ScaleCrop>false</ap:ScaleCrop>
  <ap:LinksUpToDate>false</ap:LinksUpToDate>
  <ap:CharactersWithSpaces>24652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2024-12-31T08:12:00.0000000Z</dcterms:created>
  <dcterms:modified xsi:type="dcterms:W3CDTF">2024-12-31T08:12:00.0000000Z</dcterms:modified>
  <version/>
  <category/>
</coreProperties>
</file>