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C35B9" w:rsidR="006B3295" w:rsidRDefault="002C6AE6" w14:paraId="30D7B250" w14:textId="77777777">
      <w:pPr>
        <w:rPr>
          <w:rFonts w:ascii="Times New (W1)" w:hAnsi="Times New (W1)"/>
        </w:rPr>
      </w:pPr>
      <w:r w:rsidRPr="002C6AE6">
        <w:rPr>
          <w:szCs w:val="18"/>
        </w:rPr>
        <w:t>31288</w:t>
      </w:r>
      <w:r w:rsidR="006B3295">
        <w:rPr>
          <w:szCs w:val="18"/>
        </w:rPr>
        <w:tab/>
      </w:r>
      <w:r w:rsidR="006B3295">
        <w:rPr>
          <w:szCs w:val="18"/>
        </w:rPr>
        <w:tab/>
      </w:r>
      <w:r w:rsidR="006B3295">
        <w:rPr>
          <w:szCs w:val="18"/>
        </w:rPr>
        <w:tab/>
      </w:r>
      <w:r w:rsidRPr="00EC35B9" w:rsidR="006B3295">
        <w:rPr>
          <w:rFonts w:ascii="Times New (W1)" w:hAnsi="Times New (W1)"/>
        </w:rPr>
        <w:t>Hoger Onderwijs-, Onderzoek- en Wetenschapsbeleid</w:t>
      </w:r>
    </w:p>
    <w:p w:rsidRPr="00D80872" w:rsidR="006B3295" w:rsidP="006B3295" w:rsidRDefault="006B3295" w14:paraId="55B89FA8" w14:textId="5C2E3FAB">
      <w:pPr>
        <w:ind w:left="2124" w:hanging="2124"/>
        <w:rPr>
          <w:rFonts w:ascii="Times New Roman" w:hAnsi="Times New Roman"/>
          <w:sz w:val="24"/>
          <w:szCs w:val="24"/>
        </w:rPr>
      </w:pPr>
      <w:r>
        <w:rPr>
          <w:szCs w:val="18"/>
        </w:rPr>
        <w:t xml:space="preserve">Nr. </w:t>
      </w:r>
      <w:r w:rsidRPr="002C6AE6">
        <w:rPr>
          <w:szCs w:val="18"/>
        </w:rPr>
        <w:t>1174</w:t>
      </w:r>
      <w:r>
        <w:rPr>
          <w:szCs w:val="18"/>
        </w:rPr>
        <w:tab/>
      </w:r>
      <w:r w:rsidRPr="006B3295">
        <w:rPr>
          <w:sz w:val="24"/>
          <w:szCs w:val="18"/>
        </w:rPr>
        <w:t>Brief van de</w:t>
      </w:r>
      <w:r>
        <w:rPr>
          <w:szCs w:val="18"/>
        </w:rPr>
        <w:t xml:space="preserve"> </w:t>
      </w:r>
      <w:r w:rsidRPr="00D80872">
        <w:rPr>
          <w:rFonts w:ascii="Times New Roman" w:hAnsi="Times New Roman"/>
          <w:sz w:val="24"/>
          <w:szCs w:val="24"/>
        </w:rPr>
        <w:t>minister van Onderwijs, Cultuur en Wetenschap</w:t>
      </w:r>
    </w:p>
    <w:p w:rsidR="006B3295" w:rsidP="002C6AE6" w:rsidRDefault="006B3295" w14:paraId="1914F6C3" w14:textId="137738B9">
      <w:pPr>
        <w:rPr>
          <w:szCs w:val="18"/>
        </w:rPr>
      </w:pPr>
      <w:r w:rsidRPr="006B3295">
        <w:rPr>
          <w:sz w:val="24"/>
          <w:szCs w:val="24"/>
        </w:rPr>
        <w:t>Aan de Voorzitter van de Tweede Kamer der Staten-Generaal</w:t>
      </w:r>
    </w:p>
    <w:p w:rsidR="006B3295" w:rsidP="002C6AE6" w:rsidRDefault="006B3295" w14:paraId="0D5884AE" w14:textId="1A72D8CF">
      <w:pPr>
        <w:rPr>
          <w:szCs w:val="18"/>
        </w:rPr>
      </w:pPr>
      <w:r>
        <w:rPr>
          <w:szCs w:val="18"/>
        </w:rPr>
        <w:t>Den Haag, 19 december 2024</w:t>
      </w:r>
    </w:p>
    <w:p w:rsidR="002C6AE6" w:rsidP="002C6AE6" w:rsidRDefault="002C6AE6" w14:paraId="197870F4" w14:textId="77777777">
      <w:pPr>
        <w:rPr>
          <w:szCs w:val="18"/>
        </w:rPr>
      </w:pPr>
    </w:p>
    <w:p w:rsidR="002C6AE6" w:rsidP="002C6AE6" w:rsidRDefault="002C6AE6" w14:paraId="0996FB75" w14:textId="0C6BAA7F">
      <w:pPr>
        <w:rPr>
          <w:szCs w:val="18"/>
        </w:rPr>
      </w:pPr>
      <w:r>
        <w:rPr>
          <w:szCs w:val="18"/>
        </w:rPr>
        <w:t xml:space="preserve">Met deze brief bied ik uw Kamer een onderzoek aan over kansengelijkheid van </w:t>
      </w:r>
      <w:proofErr w:type="spellStart"/>
      <w:r>
        <w:rPr>
          <w:szCs w:val="18"/>
        </w:rPr>
        <w:t>eerstegeneratiestudenten</w:t>
      </w:r>
      <w:proofErr w:type="spellEnd"/>
      <w:r>
        <w:rPr>
          <w:szCs w:val="18"/>
        </w:rPr>
        <w:t>.</w:t>
      </w:r>
      <w:r w:rsidRPr="00E86798">
        <w:rPr>
          <w:szCs w:val="18"/>
        </w:rPr>
        <w:t xml:space="preserve"> </w:t>
      </w:r>
      <w:r>
        <w:rPr>
          <w:szCs w:val="18"/>
        </w:rPr>
        <w:t xml:space="preserve">Het onderzoek, uitgevoerd door </w:t>
      </w:r>
      <w:proofErr w:type="spellStart"/>
      <w:r>
        <w:rPr>
          <w:szCs w:val="18"/>
        </w:rPr>
        <w:t>Dialogic</w:t>
      </w:r>
      <w:proofErr w:type="spellEnd"/>
      <w:r>
        <w:rPr>
          <w:szCs w:val="18"/>
        </w:rPr>
        <w:t>, geeft invulling aan de motie Peters</w:t>
      </w:r>
      <w:r>
        <w:rPr>
          <w:rStyle w:val="Voetnootmarkering"/>
          <w:szCs w:val="18"/>
        </w:rPr>
        <w:footnoteReference w:id="1"/>
      </w:r>
      <w:r>
        <w:rPr>
          <w:szCs w:val="18"/>
        </w:rPr>
        <w:t xml:space="preserve">, die vraagt om samen met de instellingen te onderzoeken hoe meer aandacht besteed kan worden aan </w:t>
      </w:r>
      <w:proofErr w:type="spellStart"/>
      <w:r>
        <w:rPr>
          <w:szCs w:val="18"/>
        </w:rPr>
        <w:t>eerstegeneratiestudenten</w:t>
      </w:r>
      <w:proofErr w:type="spellEnd"/>
      <w:r>
        <w:rPr>
          <w:szCs w:val="18"/>
        </w:rPr>
        <w:t xml:space="preserve"> en om daarbij in ieder geval in kaart te brengen hoe er beter zicht kan worden verkregen op deze groep. </w:t>
      </w:r>
      <w:r w:rsidRPr="00EF2F46">
        <w:rPr>
          <w:szCs w:val="18"/>
        </w:rPr>
        <w:t xml:space="preserve">In </w:t>
      </w:r>
      <w:r>
        <w:rPr>
          <w:szCs w:val="18"/>
        </w:rPr>
        <w:t>het voorjaar</w:t>
      </w:r>
      <w:r w:rsidRPr="00EF2F46">
        <w:rPr>
          <w:szCs w:val="18"/>
        </w:rPr>
        <w:t xml:space="preserve"> </w:t>
      </w:r>
      <w:r>
        <w:rPr>
          <w:szCs w:val="18"/>
        </w:rPr>
        <w:t xml:space="preserve">kom ik schriftelijk terug </w:t>
      </w:r>
      <w:r w:rsidRPr="00EF2F46">
        <w:rPr>
          <w:szCs w:val="18"/>
        </w:rPr>
        <w:t xml:space="preserve">op </w:t>
      </w:r>
      <w:r w:rsidRPr="00F02363">
        <w:t>de opgaven omtrent het studiesucces van studenten</w:t>
      </w:r>
      <w:r>
        <w:t xml:space="preserve"> en daarin betrek ik de bevindingen uit dit rapport</w:t>
      </w:r>
      <w:r w:rsidRPr="00F02363">
        <w:t xml:space="preserve">. </w:t>
      </w:r>
      <w:r>
        <w:rPr>
          <w:szCs w:val="18"/>
        </w:rPr>
        <w:t xml:space="preserve">Ik zal daarbij ook specifiek ingaan op de motie Peters. </w:t>
      </w:r>
    </w:p>
    <w:p w:rsidR="002C6AE6" w:rsidP="002C6AE6" w:rsidRDefault="002C6AE6" w14:paraId="36D544D4" w14:textId="77777777">
      <w:pPr>
        <w:rPr>
          <w:b/>
          <w:bCs/>
          <w:szCs w:val="18"/>
        </w:rPr>
      </w:pPr>
      <w:r>
        <w:rPr>
          <w:b/>
          <w:bCs/>
          <w:szCs w:val="18"/>
        </w:rPr>
        <w:t>Over het onderzoek</w:t>
      </w:r>
    </w:p>
    <w:p w:rsidR="002C6AE6" w:rsidP="002C6AE6" w:rsidRDefault="002C6AE6" w14:paraId="2EBE52C8" w14:textId="77777777">
      <w:pPr>
        <w:rPr>
          <w:szCs w:val="18"/>
        </w:rPr>
      </w:pPr>
      <w:proofErr w:type="spellStart"/>
      <w:r>
        <w:rPr>
          <w:szCs w:val="18"/>
        </w:rPr>
        <w:t>Dialogic</w:t>
      </w:r>
      <w:proofErr w:type="spellEnd"/>
      <w:r>
        <w:rPr>
          <w:szCs w:val="18"/>
        </w:rPr>
        <w:t xml:space="preserve"> heeft in opdracht van het ministerie van OCW een verdiepend onderzoek gedaan naar de kansengelijkheid van </w:t>
      </w:r>
      <w:proofErr w:type="spellStart"/>
      <w:r>
        <w:rPr>
          <w:szCs w:val="18"/>
        </w:rPr>
        <w:t>eerstegeneratiestudenten</w:t>
      </w:r>
      <w:proofErr w:type="spellEnd"/>
      <w:r>
        <w:rPr>
          <w:szCs w:val="18"/>
        </w:rPr>
        <w:t xml:space="preserve">. Naast het kenmerk </w:t>
      </w:r>
      <w:proofErr w:type="spellStart"/>
      <w:r>
        <w:rPr>
          <w:szCs w:val="18"/>
        </w:rPr>
        <w:t>eerstegeneratiestudent</w:t>
      </w:r>
      <w:proofErr w:type="spellEnd"/>
      <w:r>
        <w:rPr>
          <w:szCs w:val="18"/>
        </w:rPr>
        <w:t xml:space="preserve"> is ook gekeken naar andere achtergrondkenmerken. </w:t>
      </w:r>
      <w:proofErr w:type="spellStart"/>
      <w:r>
        <w:rPr>
          <w:szCs w:val="18"/>
        </w:rPr>
        <w:t>Eerstegeneratiestudenten</w:t>
      </w:r>
      <w:proofErr w:type="spellEnd"/>
      <w:r>
        <w:rPr>
          <w:szCs w:val="18"/>
        </w:rPr>
        <w:t xml:space="preserve"> zijn studenten wiens ouders geen hbo- of wo-opleiding hebben gevolgd. Daarmee zijn deze studenten pioniers in hun familie. Het onderzoek betreft een analyse van </w:t>
      </w:r>
      <w:r w:rsidRPr="0076366F">
        <w:rPr>
          <w:szCs w:val="18"/>
        </w:rPr>
        <w:t>verschillende achtergrondkenmerken in</w:t>
      </w:r>
      <w:r>
        <w:rPr>
          <w:szCs w:val="18"/>
        </w:rPr>
        <w:t xml:space="preserve"> relatie tot</w:t>
      </w:r>
      <w:r w:rsidRPr="0076366F">
        <w:rPr>
          <w:szCs w:val="18"/>
        </w:rPr>
        <w:t xml:space="preserve"> studiesucces, uitval en switch</w:t>
      </w:r>
      <w:r>
        <w:rPr>
          <w:szCs w:val="18"/>
        </w:rPr>
        <w:t xml:space="preserve">. Het is verklarend ingestoken en is gericht op oorzaken van kansenongelijkheid. </w:t>
      </w:r>
    </w:p>
    <w:p w:rsidR="002C6AE6" w:rsidP="002C6AE6" w:rsidRDefault="002C6AE6" w14:paraId="38B5C71A" w14:textId="77777777">
      <w:pPr>
        <w:rPr>
          <w:szCs w:val="18"/>
        </w:rPr>
      </w:pPr>
      <w:r>
        <w:rPr>
          <w:b/>
          <w:bCs/>
          <w:szCs w:val="18"/>
        </w:rPr>
        <w:t>Samenvatting onderzoek</w:t>
      </w:r>
    </w:p>
    <w:p w:rsidR="002C6AE6" w:rsidP="002C6AE6" w:rsidRDefault="002C6AE6" w14:paraId="30A40CAF" w14:textId="77777777">
      <w:pPr>
        <w:rPr>
          <w:szCs w:val="18"/>
        </w:rPr>
      </w:pPr>
      <w:r>
        <w:rPr>
          <w:szCs w:val="18"/>
        </w:rPr>
        <w:t xml:space="preserve">Eén op de drie studenten is </w:t>
      </w:r>
      <w:proofErr w:type="spellStart"/>
      <w:r>
        <w:rPr>
          <w:szCs w:val="18"/>
        </w:rPr>
        <w:t>eerstegeneratiestudent</w:t>
      </w:r>
      <w:proofErr w:type="spellEnd"/>
      <w:r>
        <w:rPr>
          <w:szCs w:val="18"/>
        </w:rPr>
        <w:t xml:space="preserve"> in het hbo en wo, waarvan de meeste van deze </w:t>
      </w:r>
      <w:proofErr w:type="spellStart"/>
      <w:r>
        <w:rPr>
          <w:szCs w:val="18"/>
        </w:rPr>
        <w:t>eerstegeneratiestudenten</w:t>
      </w:r>
      <w:proofErr w:type="spellEnd"/>
      <w:r>
        <w:rPr>
          <w:szCs w:val="18"/>
        </w:rPr>
        <w:t xml:space="preserve"> zich inschrijven voor een hbo-bachelor (70%). </w:t>
      </w:r>
      <w:proofErr w:type="spellStart"/>
      <w:r>
        <w:rPr>
          <w:szCs w:val="18"/>
        </w:rPr>
        <w:t>Dialogic</w:t>
      </w:r>
      <w:proofErr w:type="spellEnd"/>
      <w:r>
        <w:rPr>
          <w:szCs w:val="18"/>
        </w:rPr>
        <w:t xml:space="preserve"> concludeert in het onderzoek dat de kansengelijkheid van </w:t>
      </w:r>
      <w:proofErr w:type="spellStart"/>
      <w:r>
        <w:rPr>
          <w:szCs w:val="18"/>
        </w:rPr>
        <w:t>eerstegeneratiestudenten</w:t>
      </w:r>
      <w:proofErr w:type="spellEnd"/>
      <w:r>
        <w:rPr>
          <w:szCs w:val="18"/>
        </w:rPr>
        <w:t xml:space="preserve">, maar ook van andere groepen onder druk staat. Het onderzoek laat zien dat </w:t>
      </w:r>
      <w:proofErr w:type="spellStart"/>
      <w:r>
        <w:rPr>
          <w:szCs w:val="18"/>
        </w:rPr>
        <w:t>eerstegeneratiestudenten</w:t>
      </w:r>
      <w:proofErr w:type="spellEnd"/>
      <w:r>
        <w:rPr>
          <w:szCs w:val="18"/>
        </w:rPr>
        <w:t xml:space="preserve"> meer risico lopen om uit te vallen of te switchen. Echter, er zijn groepen studenten die een nog grotere kans hebben om uit te vallen of te switchen, </w:t>
      </w:r>
      <w:r w:rsidRPr="005809E7">
        <w:rPr>
          <w:szCs w:val="18"/>
        </w:rPr>
        <w:t xml:space="preserve">namelijk hbo-studenten, </w:t>
      </w:r>
      <w:proofErr w:type="spellStart"/>
      <w:r w:rsidRPr="005809E7">
        <w:rPr>
          <w:szCs w:val="18"/>
        </w:rPr>
        <w:t>bachelorstudenten</w:t>
      </w:r>
      <w:proofErr w:type="spellEnd"/>
      <w:r w:rsidRPr="005809E7">
        <w:rPr>
          <w:szCs w:val="18"/>
        </w:rPr>
        <w:t>,</w:t>
      </w:r>
      <w:r w:rsidRPr="00FF14BC">
        <w:rPr>
          <w:szCs w:val="18"/>
        </w:rPr>
        <w:t xml:space="preserve"> mannelijke studenten, studenten met een migratieachtergrond, en studenten met een lager gezinsinkomen.</w:t>
      </w:r>
      <w:r>
        <w:rPr>
          <w:szCs w:val="18"/>
        </w:rPr>
        <w:t xml:space="preserve"> Een deel van het effect van het zijn van </w:t>
      </w:r>
      <w:proofErr w:type="spellStart"/>
      <w:r>
        <w:rPr>
          <w:szCs w:val="18"/>
        </w:rPr>
        <w:t>eerstegeneratiestudent</w:t>
      </w:r>
      <w:proofErr w:type="spellEnd"/>
      <w:r>
        <w:rPr>
          <w:szCs w:val="18"/>
        </w:rPr>
        <w:t xml:space="preserve"> op de kans op uitval, kan verklaard worden door deze controlevariabelen. Zo is bijvoorbeeld bij uitval het effect van inkomensklasse en migratieachtergrond aanzienlijk sterker dan het </w:t>
      </w:r>
      <w:r>
        <w:rPr>
          <w:szCs w:val="18"/>
        </w:rPr>
        <w:lastRenderedPageBreak/>
        <w:t xml:space="preserve">effect van </w:t>
      </w:r>
      <w:proofErr w:type="spellStart"/>
      <w:r>
        <w:rPr>
          <w:szCs w:val="18"/>
        </w:rPr>
        <w:t>eerstegeneratiestudent</w:t>
      </w:r>
      <w:proofErr w:type="spellEnd"/>
      <w:r>
        <w:rPr>
          <w:szCs w:val="18"/>
        </w:rPr>
        <w:t xml:space="preserve">-zijn. Ook bij andere variabelen zoals studieduur is de impact van andere kenmerken te zien. Bovendien versterken combinaties van achtergrondkenmerken elkaar, in de zin dat een bepaalde combinatie van achtergrondkenmerken (bijv. man en </w:t>
      </w:r>
      <w:proofErr w:type="spellStart"/>
      <w:r>
        <w:rPr>
          <w:szCs w:val="18"/>
        </w:rPr>
        <w:t>bachelorstudent</w:t>
      </w:r>
      <w:proofErr w:type="spellEnd"/>
      <w:r>
        <w:rPr>
          <w:szCs w:val="18"/>
        </w:rPr>
        <w:t xml:space="preserve"> zijn en daarnaast een migratieachtergrond hebben) de kans op uitval, switch en lager studiesucces kan vergroten. </w:t>
      </w:r>
      <w:r w:rsidRPr="009F0688">
        <w:rPr>
          <w:szCs w:val="18"/>
        </w:rPr>
        <w:t xml:space="preserve">Uit het onderzoek blijkt </w:t>
      </w:r>
      <w:r>
        <w:rPr>
          <w:szCs w:val="18"/>
        </w:rPr>
        <w:t xml:space="preserve">dan ook </w:t>
      </w:r>
      <w:r w:rsidRPr="009F0688">
        <w:rPr>
          <w:szCs w:val="18"/>
        </w:rPr>
        <w:t xml:space="preserve">dat studenten vanwege allerlei achtergrondfactoren tegen barrières aanlopen, en dat is niet te reduceren tot één verklarend persoonskenmerk. </w:t>
      </w:r>
    </w:p>
    <w:p w:rsidR="002C6AE6" w:rsidP="002C6AE6" w:rsidRDefault="002C6AE6" w14:paraId="047CC1B2" w14:textId="77777777">
      <w:pPr>
        <w:rPr>
          <w:szCs w:val="18"/>
        </w:rPr>
      </w:pPr>
      <w:r w:rsidRPr="00B71E6F">
        <w:rPr>
          <w:rStyle w:val="cf01"/>
          <w:rFonts w:ascii="Verdana" w:hAnsi="Verdana"/>
        </w:rPr>
        <w:t xml:space="preserve">De onderzoekers constateren dat </w:t>
      </w:r>
      <w:proofErr w:type="spellStart"/>
      <w:r w:rsidRPr="00B71E6F">
        <w:rPr>
          <w:rStyle w:val="cf01"/>
          <w:rFonts w:ascii="Verdana" w:hAnsi="Verdana"/>
        </w:rPr>
        <w:t>eerstegeneratiestudenten</w:t>
      </w:r>
      <w:proofErr w:type="spellEnd"/>
      <w:r w:rsidRPr="00B71E6F">
        <w:rPr>
          <w:rStyle w:val="cf01"/>
          <w:rFonts w:ascii="Verdana" w:hAnsi="Verdana"/>
        </w:rPr>
        <w:t xml:space="preserve"> dermate gefocust zijn op het nominaal behalen van hun diploma, dat zij het zich minder kunnen permitteren om aan zelfontplooiing te doen tijdens de studie. De grote financiële verantwoordelijkheid die een grote groep </w:t>
      </w:r>
      <w:proofErr w:type="spellStart"/>
      <w:r w:rsidRPr="00B71E6F">
        <w:rPr>
          <w:rStyle w:val="cf01"/>
          <w:rFonts w:ascii="Verdana" w:hAnsi="Verdana"/>
        </w:rPr>
        <w:t>eerstegeneratiestudenten</w:t>
      </w:r>
      <w:proofErr w:type="spellEnd"/>
      <w:r w:rsidRPr="00B71E6F">
        <w:rPr>
          <w:rStyle w:val="cf01"/>
          <w:rFonts w:ascii="Verdana" w:hAnsi="Verdana"/>
        </w:rPr>
        <w:t xml:space="preserve"> voelt speelt mee in deze ervaren prestatiedruk. Uit de interviews komt hiermee de samenhang tussen </w:t>
      </w:r>
      <w:proofErr w:type="spellStart"/>
      <w:r w:rsidRPr="00B71E6F">
        <w:rPr>
          <w:rStyle w:val="cf01"/>
          <w:rFonts w:ascii="Verdana" w:hAnsi="Verdana"/>
        </w:rPr>
        <w:t>eerstegeneratiestudent</w:t>
      </w:r>
      <w:proofErr w:type="spellEnd"/>
      <w:r w:rsidRPr="00B71E6F">
        <w:rPr>
          <w:rStyle w:val="cf01"/>
          <w:rFonts w:ascii="Verdana" w:hAnsi="Verdana"/>
        </w:rPr>
        <w:t xml:space="preserve">-zijn en inkomensklasse naar voren; vaak zijn deze kenmerken in de praktijk nauwelijks te onderscheiden. </w:t>
      </w:r>
      <w:r>
        <w:rPr>
          <w:rStyle w:val="cf01"/>
          <w:rFonts w:ascii="Verdana" w:hAnsi="Verdana"/>
        </w:rPr>
        <w:t>Een</w:t>
      </w:r>
      <w:r w:rsidRPr="00B71E6F">
        <w:rPr>
          <w:rStyle w:val="cf01"/>
          <w:rFonts w:ascii="Verdana" w:hAnsi="Verdana"/>
        </w:rPr>
        <w:t xml:space="preserve"> verklarende factor die duidelijk uit het onderzoek springt, is het gebrek aan thuisgevoel dat </w:t>
      </w:r>
      <w:proofErr w:type="spellStart"/>
      <w:r w:rsidRPr="00B71E6F">
        <w:rPr>
          <w:rStyle w:val="cf01"/>
          <w:rFonts w:ascii="Verdana" w:hAnsi="Verdana"/>
        </w:rPr>
        <w:t>eerstegeneratiestudenten</w:t>
      </w:r>
      <w:proofErr w:type="spellEnd"/>
      <w:r w:rsidRPr="00B71E6F">
        <w:rPr>
          <w:rStyle w:val="cf01"/>
          <w:rFonts w:ascii="Verdana" w:hAnsi="Verdana"/>
        </w:rPr>
        <w:t xml:space="preserve"> </w:t>
      </w:r>
      <w:r>
        <w:rPr>
          <w:rStyle w:val="cf01"/>
          <w:rFonts w:ascii="Verdana" w:hAnsi="Verdana"/>
        </w:rPr>
        <w:t>ervare</w:t>
      </w:r>
      <w:r w:rsidRPr="00B71E6F">
        <w:rPr>
          <w:rStyle w:val="cf01"/>
          <w:rFonts w:ascii="Verdana" w:hAnsi="Verdana"/>
        </w:rPr>
        <w:t>n op de hogeschool of universiteit. Dit terwijl dit thuisgevoel juist belangrijk is om succesvol de opleiding te doorlopen.</w:t>
      </w:r>
      <w:r>
        <w:rPr>
          <w:rStyle w:val="cf01"/>
        </w:rPr>
        <w:t xml:space="preserve"> </w:t>
      </w:r>
      <w:r>
        <w:rPr>
          <w:szCs w:val="18"/>
        </w:rPr>
        <w:t xml:space="preserve">Bepaalde studenten krijgen te maken met een mismatch tussen de thuisomgeving en de nieuwe sociale omgeving van de onderwijsinstelling. Zij vinden het soms moeilijk om binnen het plaatje te passen en hebben minder vertrouwen in hun eigen kunnen ten opzichte van hun medestudenten. Of ze zijn nog niet bekend met de ongeschreven regels op een instelling. </w:t>
      </w:r>
    </w:p>
    <w:p w:rsidRPr="00C40087" w:rsidR="002C6AE6" w:rsidP="002C6AE6" w:rsidRDefault="002C6AE6" w14:paraId="701EFF1A" w14:textId="77777777">
      <w:pPr>
        <w:rPr>
          <w:b/>
          <w:bCs/>
          <w:szCs w:val="18"/>
        </w:rPr>
      </w:pPr>
      <w:r w:rsidRPr="00C40087">
        <w:rPr>
          <w:b/>
          <w:bCs/>
          <w:szCs w:val="18"/>
        </w:rPr>
        <w:t>Vervolg</w:t>
      </w:r>
    </w:p>
    <w:p w:rsidR="002C6AE6" w:rsidP="002C6AE6" w:rsidRDefault="002C6AE6" w14:paraId="702D7397" w14:textId="77777777">
      <w:pPr>
        <w:rPr>
          <w:szCs w:val="18"/>
        </w:rPr>
      </w:pPr>
      <w:proofErr w:type="spellStart"/>
      <w:r>
        <w:rPr>
          <w:szCs w:val="18"/>
        </w:rPr>
        <w:t>Dialogic</w:t>
      </w:r>
      <w:proofErr w:type="spellEnd"/>
      <w:r>
        <w:rPr>
          <w:szCs w:val="18"/>
        </w:rPr>
        <w:t xml:space="preserve"> constateert dat beleid gericht op een specifieke doelgroep zoals </w:t>
      </w:r>
      <w:proofErr w:type="spellStart"/>
      <w:r>
        <w:rPr>
          <w:szCs w:val="18"/>
        </w:rPr>
        <w:t>eerstegeneratiestudenten</w:t>
      </w:r>
      <w:proofErr w:type="spellEnd"/>
      <w:r>
        <w:rPr>
          <w:szCs w:val="18"/>
        </w:rPr>
        <w:t xml:space="preserve"> onvoldoende effectief lijkt, vanwege het feit dat verschillende achtergrondkenmerken kunnen zorgen voor ongelijke kansen. Veel achtergrondkenmerken komen ook in samenhang voor bij een student en zijn niet los van elkaar te zien. </w:t>
      </w:r>
      <w:proofErr w:type="spellStart"/>
      <w:r>
        <w:rPr>
          <w:szCs w:val="18"/>
        </w:rPr>
        <w:t>Dialogic</w:t>
      </w:r>
      <w:proofErr w:type="spellEnd"/>
      <w:r>
        <w:rPr>
          <w:szCs w:val="18"/>
        </w:rPr>
        <w:t xml:space="preserve"> concludeert dan ook dat monitoring van </w:t>
      </w:r>
      <w:proofErr w:type="spellStart"/>
      <w:r>
        <w:rPr>
          <w:szCs w:val="18"/>
        </w:rPr>
        <w:t>eerstegeneratiestudenten</w:t>
      </w:r>
      <w:proofErr w:type="spellEnd"/>
      <w:r>
        <w:rPr>
          <w:szCs w:val="18"/>
        </w:rPr>
        <w:t xml:space="preserve"> meer na- dan voordelen heeft, onder andere vanwege mogelijke stigmatisering. Er kan volgens de onderzoekers beter breder gekeken naar onderliggende mechanismen van kansenongelijkheid en verminderd studiesucces, zoals het gebrek aan thuisgevoel dat sommige groepen studenten ervaren. De onderzoekers stellen dat er aandacht moet zijn voor de overgangen van het vo naar het hbo/wo, waarbij in de route richting de hogeschool of universiteit al vroeg in ons systeem kansenongelijkheid kan spelen. Ook stelt </w:t>
      </w:r>
      <w:proofErr w:type="spellStart"/>
      <w:r>
        <w:rPr>
          <w:szCs w:val="18"/>
        </w:rPr>
        <w:t>Dialogic</w:t>
      </w:r>
      <w:proofErr w:type="spellEnd"/>
      <w:r>
        <w:rPr>
          <w:szCs w:val="18"/>
        </w:rPr>
        <w:t xml:space="preserve"> op basis van de interviews dat de verantwoordelijkheid primair bij instellingen ligt om dit probleem aan te pakken. Brede startprogramma’s zouden mogelijk een goede interventie kunnen zijn.</w:t>
      </w:r>
    </w:p>
    <w:p w:rsidRPr="00643B4B" w:rsidR="002C6AE6" w:rsidP="002C6AE6" w:rsidRDefault="002C6AE6" w14:paraId="2E0CE9C0" w14:textId="77777777">
      <w:pPr>
        <w:rPr>
          <w:szCs w:val="18"/>
        </w:rPr>
      </w:pPr>
      <w:r>
        <w:rPr>
          <w:szCs w:val="18"/>
        </w:rPr>
        <w:t xml:space="preserve">De uitkomsten van dit onderzoek geven mijns inziens meer kleuring aan de uitdagingen die door onder andere het Interdepartementaal Beleidsonderzoek (IBO) worden geschetst als het gaat om het vergroten van studiesucces en het verlagen van uitval en switch. Het onderzoek bespreek ik in dit kader met de VH en UNL. In het voorjaar zal ik breder ingaan op de aanbevelingen van dit </w:t>
      </w:r>
      <w:r>
        <w:rPr>
          <w:szCs w:val="18"/>
        </w:rPr>
        <w:lastRenderedPageBreak/>
        <w:t xml:space="preserve">onderzoek in relatie tot het IBO. Daarin zal ik ook de motie Peters inhoudelijk beantwoorden.  </w:t>
      </w:r>
    </w:p>
    <w:p w:rsidR="002C6AE6" w:rsidP="002C6AE6" w:rsidRDefault="002C6AE6" w14:paraId="40704184" w14:textId="77777777"/>
    <w:p w:rsidR="002C6AE6" w:rsidP="002C6AE6" w:rsidRDefault="002C6AE6" w14:paraId="2D8E4BD5" w14:textId="77777777"/>
    <w:p w:rsidR="002C6AE6" w:rsidP="002C6AE6" w:rsidRDefault="002C6AE6" w14:paraId="46FFECEA" w14:textId="77777777">
      <w:r w:rsidRPr="007851C4">
        <w:t xml:space="preserve"> </w:t>
      </w:r>
    </w:p>
    <w:p w:rsidR="002C6AE6" w:rsidP="002C6AE6" w:rsidRDefault="002C6AE6" w14:paraId="6330B23C" w14:textId="77777777"/>
    <w:p w:rsidR="002C6AE6" w:rsidP="006B3295" w:rsidRDefault="002C6AE6" w14:paraId="5E3290D8" w14:textId="77777777">
      <w:pPr>
        <w:pStyle w:val="Geenafstand"/>
      </w:pPr>
      <w:r>
        <w:t>De minister van Onderwijs, Cultuur en Wetenschap,</w:t>
      </w:r>
    </w:p>
    <w:p w:rsidR="002C6AE6" w:rsidP="006B3295" w:rsidRDefault="006B3295" w14:paraId="12359ACA" w14:textId="17742329">
      <w:pPr>
        <w:pStyle w:val="Geenafstand"/>
      </w:pPr>
      <w:r>
        <w:t xml:space="preserve">E.E.W. </w:t>
      </w:r>
      <w:r w:rsidR="002C6AE6">
        <w:t>Bruins</w:t>
      </w:r>
    </w:p>
    <w:p w:rsidR="002C6AE6" w:rsidP="002C6AE6" w:rsidRDefault="002C6AE6" w14:paraId="2D7FEA69" w14:textId="77777777"/>
    <w:p w:rsidR="002C6AE6" w:rsidP="002C6AE6" w:rsidRDefault="002C6AE6" w14:paraId="1F508C5F" w14:textId="77777777"/>
    <w:p w:rsidR="002C6AE6" w:rsidP="002C6AE6" w:rsidRDefault="002C6AE6" w14:paraId="7025E443" w14:textId="77777777"/>
    <w:p w:rsidR="002C6AE6" w:rsidP="002C6AE6" w:rsidRDefault="002C6AE6" w14:paraId="78B2D0AD" w14:textId="77777777"/>
    <w:p w:rsidRPr="00820DDA" w:rsidR="002C6AE6" w:rsidP="002C6AE6" w:rsidRDefault="002C6AE6" w14:paraId="7EFC843D" w14:textId="77777777">
      <w:pPr>
        <w:spacing w:line="240" w:lineRule="auto"/>
      </w:pPr>
    </w:p>
    <w:p w:rsidR="0065412C" w:rsidRDefault="0065412C" w14:paraId="386A210E" w14:textId="77777777"/>
    <w:sectPr w:rsidR="0065412C" w:rsidSect="002C6AE6">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60ECB" w14:textId="77777777" w:rsidR="002C6AE6" w:rsidRDefault="002C6AE6" w:rsidP="002C6AE6">
      <w:pPr>
        <w:spacing w:after="0" w:line="240" w:lineRule="auto"/>
      </w:pPr>
      <w:r>
        <w:separator/>
      </w:r>
    </w:p>
  </w:endnote>
  <w:endnote w:type="continuationSeparator" w:id="0">
    <w:p w14:paraId="6BD5A2C7" w14:textId="77777777" w:rsidR="002C6AE6" w:rsidRDefault="002C6AE6" w:rsidP="002C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4A4C1" w14:textId="77777777" w:rsidR="002C6AE6" w:rsidRPr="002C6AE6" w:rsidRDefault="002C6AE6" w:rsidP="002C6A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B5F42" w14:textId="77777777" w:rsidR="002C6AE6" w:rsidRPr="002C6AE6" w:rsidRDefault="002C6AE6" w:rsidP="002C6A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0087F" w14:textId="77777777" w:rsidR="002C6AE6" w:rsidRPr="002C6AE6" w:rsidRDefault="002C6AE6" w:rsidP="002C6A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C551B" w14:textId="77777777" w:rsidR="002C6AE6" w:rsidRDefault="002C6AE6" w:rsidP="002C6AE6">
      <w:pPr>
        <w:spacing w:after="0" w:line="240" w:lineRule="auto"/>
      </w:pPr>
      <w:r>
        <w:separator/>
      </w:r>
    </w:p>
  </w:footnote>
  <w:footnote w:type="continuationSeparator" w:id="0">
    <w:p w14:paraId="679CA008" w14:textId="77777777" w:rsidR="002C6AE6" w:rsidRDefault="002C6AE6" w:rsidP="002C6AE6">
      <w:pPr>
        <w:spacing w:after="0" w:line="240" w:lineRule="auto"/>
      </w:pPr>
      <w:r>
        <w:continuationSeparator/>
      </w:r>
    </w:p>
  </w:footnote>
  <w:footnote w:id="1">
    <w:p w14:paraId="0D7D2D47" w14:textId="699CAEDB" w:rsidR="002C6AE6" w:rsidRDefault="002C6AE6" w:rsidP="002C6AE6">
      <w:pPr>
        <w:pStyle w:val="Voetnoottekst"/>
      </w:pPr>
      <w:r w:rsidRPr="006B3295">
        <w:rPr>
          <w:rStyle w:val="Voetnootmarkering"/>
        </w:rPr>
        <w:footnoteRef/>
      </w:r>
      <w:r w:rsidRPr="006B3295">
        <w:t xml:space="preserve"> Kamerstuk </w:t>
      </w:r>
      <w:r w:rsidRPr="006B3295">
        <w:rPr>
          <w:sz w:val="18"/>
          <w:szCs w:val="18"/>
        </w:rPr>
        <w:t>2022-2023, 36200-VIII, nr. 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0CE04" w14:textId="77777777" w:rsidR="002C6AE6" w:rsidRPr="002C6AE6" w:rsidRDefault="002C6AE6" w:rsidP="002C6A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423D7" w14:textId="77777777" w:rsidR="002C6AE6" w:rsidRPr="002C6AE6" w:rsidRDefault="002C6AE6" w:rsidP="002C6A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8E314" w14:textId="77777777" w:rsidR="002C6AE6" w:rsidRPr="002C6AE6" w:rsidRDefault="002C6AE6" w:rsidP="002C6A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E6"/>
    <w:rsid w:val="002C6AE6"/>
    <w:rsid w:val="00594075"/>
    <w:rsid w:val="0065412C"/>
    <w:rsid w:val="006B3295"/>
    <w:rsid w:val="00861F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CF4E"/>
  <w15:chartTrackingRefBased/>
  <w15:docId w15:val="{B1E21056-4F2A-44C8-B565-397EC4BA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6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6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6A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6A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6A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6A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6A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6A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6A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6A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6A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6A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6A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6A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6A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6A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6A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6AE6"/>
    <w:rPr>
      <w:rFonts w:eastAsiaTheme="majorEastAsia" w:cstheme="majorBidi"/>
      <w:color w:val="272727" w:themeColor="text1" w:themeTint="D8"/>
    </w:rPr>
  </w:style>
  <w:style w:type="paragraph" w:styleId="Titel">
    <w:name w:val="Title"/>
    <w:basedOn w:val="Standaard"/>
    <w:next w:val="Standaard"/>
    <w:link w:val="TitelChar"/>
    <w:uiPriority w:val="10"/>
    <w:qFormat/>
    <w:rsid w:val="002C6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6A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6A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6A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6A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6AE6"/>
    <w:rPr>
      <w:i/>
      <w:iCs/>
      <w:color w:val="404040" w:themeColor="text1" w:themeTint="BF"/>
    </w:rPr>
  </w:style>
  <w:style w:type="paragraph" w:styleId="Lijstalinea">
    <w:name w:val="List Paragraph"/>
    <w:basedOn w:val="Standaard"/>
    <w:uiPriority w:val="34"/>
    <w:qFormat/>
    <w:rsid w:val="002C6AE6"/>
    <w:pPr>
      <w:ind w:left="720"/>
      <w:contextualSpacing/>
    </w:pPr>
  </w:style>
  <w:style w:type="character" w:styleId="Intensievebenadrukking">
    <w:name w:val="Intense Emphasis"/>
    <w:basedOn w:val="Standaardalinea-lettertype"/>
    <w:uiPriority w:val="21"/>
    <w:qFormat/>
    <w:rsid w:val="002C6AE6"/>
    <w:rPr>
      <w:i/>
      <w:iCs/>
      <w:color w:val="0F4761" w:themeColor="accent1" w:themeShade="BF"/>
    </w:rPr>
  </w:style>
  <w:style w:type="paragraph" w:styleId="Duidelijkcitaat">
    <w:name w:val="Intense Quote"/>
    <w:basedOn w:val="Standaard"/>
    <w:next w:val="Standaard"/>
    <w:link w:val="DuidelijkcitaatChar"/>
    <w:uiPriority w:val="30"/>
    <w:qFormat/>
    <w:rsid w:val="002C6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6AE6"/>
    <w:rPr>
      <w:i/>
      <w:iCs/>
      <w:color w:val="0F4761" w:themeColor="accent1" w:themeShade="BF"/>
    </w:rPr>
  </w:style>
  <w:style w:type="character" w:styleId="Intensieveverwijzing">
    <w:name w:val="Intense Reference"/>
    <w:basedOn w:val="Standaardalinea-lettertype"/>
    <w:uiPriority w:val="32"/>
    <w:qFormat/>
    <w:rsid w:val="002C6AE6"/>
    <w:rPr>
      <w:b/>
      <w:bCs/>
      <w:smallCaps/>
      <w:color w:val="0F4761" w:themeColor="accent1" w:themeShade="BF"/>
      <w:spacing w:val="5"/>
    </w:rPr>
  </w:style>
  <w:style w:type="paragraph" w:styleId="Koptekst">
    <w:name w:val="header"/>
    <w:basedOn w:val="Standaard"/>
    <w:link w:val="KoptekstChar"/>
    <w:rsid w:val="002C6A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C6AE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C6A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C6AE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C6AE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6AE6"/>
    <w:rPr>
      <w:rFonts w:ascii="Verdana" w:hAnsi="Verdana"/>
      <w:noProof/>
      <w:sz w:val="13"/>
      <w:szCs w:val="24"/>
      <w:lang w:eastAsia="nl-NL"/>
    </w:rPr>
  </w:style>
  <w:style w:type="paragraph" w:customStyle="1" w:styleId="Huisstijl-Gegeven">
    <w:name w:val="Huisstijl-Gegeven"/>
    <w:basedOn w:val="Standaard"/>
    <w:link w:val="Huisstijl-GegevenCharChar"/>
    <w:rsid w:val="002C6AE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6AE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C6AE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C6AE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C6AE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C6AE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C6AE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2C6AE6"/>
    <w:rPr>
      <w:vertAlign w:val="superscript"/>
    </w:rPr>
  </w:style>
  <w:style w:type="character" w:customStyle="1" w:styleId="cf01">
    <w:name w:val="cf01"/>
    <w:basedOn w:val="Standaardalinea-lettertype"/>
    <w:rsid w:val="002C6AE6"/>
    <w:rPr>
      <w:rFonts w:ascii="Segoe UI" w:hAnsi="Segoe UI" w:cs="Segoe UI" w:hint="default"/>
      <w:sz w:val="18"/>
      <w:szCs w:val="18"/>
    </w:rPr>
  </w:style>
  <w:style w:type="paragraph" w:styleId="Geenafstand">
    <w:name w:val="No Spacing"/>
    <w:uiPriority w:val="1"/>
    <w:qFormat/>
    <w:rsid w:val="006B3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878</ap:Words>
  <ap:Characters>4833</ap:Characters>
  <ap:DocSecurity>0</ap:DocSecurity>
  <ap:Lines>40</ap:Lines>
  <ap:Paragraphs>11</ap:Paragraphs>
  <ap:ScaleCrop>false</ap:ScaleCrop>
  <ap:LinksUpToDate>false</ap:LinksUpToDate>
  <ap:CharactersWithSpaces>5700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2024-12-24T09:06:00.0000000Z</dcterms:created>
  <dcterms:modified xsi:type="dcterms:W3CDTF">2024-12-24T09:06:00.0000000Z</dcterms:modified>
  <version/>
  <category/>
</coreProperties>
</file>