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2024Z21693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december 2024)</w:t>
        <w:br/>
      </w:r>
    </w:p>
    <w:p>
      <w:r>
        <w:t xml:space="preserve">Vragen van het lid Van der Plas (BBB) aan de staatssecretaris van Landbouw, Visserij, Voedselzekerheid en Natuur over garnalenvisserij in de Voordelta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Bent u bekend met het artikel 'Garnalenvisserij Voordelta gesloten t/m 31 december 2024’? 1)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Wat zijn ecologische vis-uren en hoe worden deze bepaald?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Waarom zijn de vis-uren in het Natura 2000-gebied Waddenzee, Voordelta en de Vlakte van de Raan op?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Is er gedurende de Wet natuurbescherming vergunning 2017 – 2022 een mutatie geweest in het aantal vis-uren voor de Waddenzee? Zo ja, waarom ?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Welke andere Natura2000-gebieden hebben vergelijkbare vis-uren beperkingen en hoe worden die gehandhaafd?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Is er ruimte voor flexibiliteit in de toewijzing van vis-uren, bijvoorbeeld door seizoensgebonden aanpassingen?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Welke voordelen zou een flexibeler vis-uren systeem kunnen opleveren voor de visserijsector?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Is het niet beter als er meer flexibiliteit in deze vis-uren komt in het kader van deze migratie gezien het feit dat de garnalenvisserij door de vis-uren gebiedsgebonden is, terwijl de garnalen een migrerende soort zijn?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Welke voorwaarden moeten er zijn om de vis-uren in Natura 2000-gebieden flexibeler te maken?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Waarom worden overschreden uren in een bepaald gebied in een bepaald jaar wel gekort op het volgende jaar en kunnen resterende uren niet worden meegenomen naar een nieuw jaar?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Hoe zou een systeem van compensatie kunnen werken, waarbij vissers die hun vis-uren overschrijden dit op een ander moment of in een ander gebied kunnen inhalen?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Wat kan de impact zijn van het flexibel maken van vis-uren op de ecologische bescherming van Natura 2000-gebieden, zoals de Waddenzee?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Hoe kan het ministerie van Landbouw, Vissrije, Voedselzekerheid en Natuur (LVVN) samenwerken met de visserijsector om flexibele vis-uren te testen? Is het mogelijk hierover met de sector in gesprek te gaan?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Is er voor het maken van de ecologische vis-uren gebruik gemaakt van één of meerdere referentie jaren? Zo ja, welke jaren?</w:t>
      </w:r>
      <w:r>
        <w:br/>
      </w:r>
    </w:p>
    <w:p>
      <w:pPr>
        <w:pStyle w:val="ListParagraph"/>
        <w:numPr>
          <w:ilvl w:val="0"/>
          <w:numId w:val="100463970"/>
        </w:numPr>
        <w:ind w:left="360"/>
      </w:pPr>
      <w:r>
        <w:t>Wat zijn de sancties voor garnalenvissers die zich niet aan het vis-urenverbod houden?</w:t>
      </w:r>
      <w:r>
        <w:br/>
      </w:r>
    </w:p>
    <w:p>
      <w:r>
        <w:t xml:space="preserve"> </w:t>
      </w:r>
      <w:r>
        <w:br/>
      </w:r>
    </w:p>
    <w:p>
      <w:r>
        <w:t xml:space="preserve">1) Nederlandse Vissersbond, 12 december 2024, 'Garnalenvisserij Voordelta gesloten t/m 31 december 2024', (vissersbond.nl/garnalenvisserij-voordelta-gesloten-t-m-31-december-2024/)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