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2024Z21907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december 2024)</w:t>
        <w:br/>
      </w:r>
    </w:p>
    <w:p>
      <w:r>
        <w:t xml:space="preserve">Vragen van het lid Diederik van Dijk (SGP) aan de staatssecretaris van Justitie en Veiligheid over het bericht ‘Kind met achternaam van beide ouders kan, maar niet iedereen geeft toestemming’.</w:t>
      </w:r>
      <w:r>
        <w:br/>
      </w:r>
    </w:p>
    <w:p>
      <w:pPr>
        <w:pStyle w:val="ListParagraph"/>
        <w:numPr>
          <w:ilvl w:val="0"/>
          <w:numId w:val="100463960"/>
        </w:numPr>
        <w:ind w:left="360"/>
      </w:pPr>
      <w:r>
        <w:t>Bent u bekend met het bericht ‘Kind met achternaam van beide ouders kan, maar niet iedereen geeft toestemming’? 1)</w:t>
      </w:r>
      <w:r>
        <w:br/>
      </w:r>
    </w:p>
    <w:p>
      <w:pPr>
        <w:pStyle w:val="ListParagraph"/>
        <w:numPr>
          <w:ilvl w:val="0"/>
          <w:numId w:val="100463960"/>
        </w:numPr>
        <w:ind w:left="360"/>
      </w:pPr>
      <w:r>
        <w:t>Wat vindt u ervan dat kinderen inzet dreigen te worden van een juridische strijd als gevolg van de nieuwe regeling inzake geslachtsnamen? Welke inzet pleegt u om verdere juridisering te voorkomen?</w:t>
      </w:r>
      <w:r>
        <w:br/>
      </w:r>
    </w:p>
    <w:p>
      <w:pPr>
        <w:pStyle w:val="ListParagraph"/>
        <w:numPr>
          <w:ilvl w:val="0"/>
          <w:numId w:val="100463960"/>
        </w:numPr>
        <w:ind w:left="360"/>
      </w:pPr>
      <w:r>
        <w:t>Kunt u bevestigen dat de wetgever weloverwogen voor de nieuwe regeling en het overgangsrecht heeft gekozen? Deelt u de mening dat het niet wenselijk is om de onrust en onzekerheid verder te vergroten door de regeling aan te passen?</w:t>
      </w:r>
      <w:r>
        <w:br/>
      </w:r>
    </w:p>
    <w:p>
      <w:pPr>
        <w:pStyle w:val="ListParagraph"/>
        <w:numPr>
          <w:ilvl w:val="0"/>
          <w:numId w:val="100463960"/>
        </w:numPr>
        <w:ind w:left="360"/>
      </w:pPr>
      <w:r>
        <w:t>Onderschrijft u de lezing van de rechtbanken, dat het niet aan de rechter is om vervangende toestemming te verlenen? Bent u ook van mening dat het zware middel van de vervangende rechterlijke toestemming niet voor situaties als deze bedoeld is?</w:t>
      </w:r>
      <w:r>
        <w:br/>
      </w:r>
    </w:p>
    <w:p>
      <w:r>
        <w:t xml:space="preserve"> </w:t>
      </w:r>
      <w:r>
        <w:br/>
      </w:r>
    </w:p>
    <w:p>
      <w:r>
        <w:t xml:space="preserve">1) NOS, 17 december 2024, https://nos.nl/artikel/2548724-kind-met-achternaam-van-beide-ouders-kan-maar-niet-iedereen-geeft-toestemming.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39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3960">
    <w:abstractNumId w:val="1004639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