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2024Z21921</w:t>
        <w:br/>
      </w:r>
      <w:proofErr w:type="spellEnd"/>
    </w:p>
    <w:p>
      <w:pPr>
        <w:pStyle w:val="Normal"/>
        <w:rPr>
          <w:b w:val="1"/>
          <w:bCs w:val="1"/>
        </w:rPr>
      </w:pPr>
      <w:r w:rsidR="250AE766">
        <w:rPr>
          <w:b w:val="0"/>
          <w:bCs w:val="0"/>
        </w:rPr>
        <w:t>(ingezonden 20 december 2024)</w:t>
        <w:br/>
      </w:r>
    </w:p>
    <w:p>
      <w:r>
        <w:t xml:space="preserve">Vragen van het lid Blaauw (PVV) aan de minister van Volksgezondheid, Welzijn en Sport over het Project Nieuwbouw RIVM.</w:t>
      </w:r>
      <w:r>
        <w:br/>
      </w:r>
    </w:p>
    <w:p>
      <w:r>
        <w:t xml:space="preserve"> </w:t>
      </w:r>
      <w:r>
        <w:br/>
      </w:r>
    </w:p>
    <w:p>
      <w:pPr>
        <w:pStyle w:val="ListParagraph"/>
        <w:numPr>
          <w:ilvl w:val="0"/>
          <w:numId w:val="100464130"/>
        </w:numPr>
        <w:ind w:left="360"/>
      </w:pPr>
      <w:r>
        <w:t>Wat houden de eisen van de Wereldgezondheidsorganisatie (WHO) precies in, zoals die in de brief worden gesteld over de derde geschillenprocedure over de toedeling van de opgelopen vertraging als gevolg van onder andere de wijzigingen die nodig waren door de nieuwe eisen van de WHO?</w:t>
      </w:r>
      <w:r>
        <w:br/>
      </w:r>
      <w:r>
        <w:t>
	 </w:t>
      </w:r>
      <w:r>
        <w:br/>
      </w:r>
    </w:p>
    <w:p>
      <w:pPr>
        <w:pStyle w:val="ListParagraph"/>
        <w:numPr>
          <w:ilvl w:val="0"/>
          <w:numId w:val="100464130"/>
        </w:numPr>
        <w:ind w:left="360"/>
      </w:pPr>
      <w:r>
        <w:t>Waarom heeft de WHO invloed op in hoeverre dit project uitgevoerd wordt en hoe groot is die invloed?</w:t>
      </w:r>
      <w:r>
        <w:br/>
      </w:r>
      <w:r>
        <w:t>
	 </w:t>
      </w:r>
      <w:r>
        <w:br/>
      </w:r>
    </w:p>
    <w:p>
      <w:pPr>
        <w:pStyle w:val="ListParagraph"/>
        <w:numPr>
          <w:ilvl w:val="0"/>
          <w:numId w:val="100464130"/>
        </w:numPr>
        <w:ind w:left="360"/>
      </w:pPr>
      <w:r>
        <w:t>Zou het consequenties hebben gehad als de staat deze eisen van de WHO niet had opgevolgd?</w:t>
      </w:r>
      <w:r>
        <w:br/>
      </w:r>
      <w:r>
        <w:t>
	 </w:t>
      </w:r>
      <w:r>
        <w:br/>
      </w:r>
    </w:p>
    <w:p>
      <w:pPr>
        <w:pStyle w:val="ListParagraph"/>
        <w:numPr>
          <w:ilvl w:val="0"/>
          <w:numId w:val="100464130"/>
        </w:numPr>
        <w:ind w:left="360"/>
      </w:pPr>
      <w:r>
        <w:t>In hoeverre zou het voorkomen kunnen worden dat de staat door de derde geschillenprocedure 40,6 miljoen euro aan MEET Strukton moet betalen?</w:t>
      </w:r>
      <w:r>
        <w:br/>
      </w:r>
      <w:r>
        <w:t>
	 </w:t>
      </w:r>
      <w:r>
        <w:br/>
      </w:r>
    </w:p>
    <w:p>
      <w:pPr>
        <w:pStyle w:val="ListParagraph"/>
        <w:numPr>
          <w:ilvl w:val="0"/>
          <w:numId w:val="100464130"/>
        </w:numPr>
        <w:ind w:left="360"/>
      </w:pPr>
      <w:r>
        <w:t>Gebeurt het vaker dat de WHO vergelijkbare eisen stelt bij vergelijkbare zaken en hoe vaak is dat al gebeurd?</w:t>
      </w:r>
      <w:r>
        <w:br/>
      </w:r>
    </w:p>
    <w:p>
      <w:r>
        <w:t xml:space="preserve"> </w:t>
      </w:r>
      <w:r>
        <w:br/>
      </w:r>
    </w:p>
    <w:p>
      <w:r>
        <w:t xml:space="preserve">1) Kamerstuk 36600 XVI nr. 144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