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8A" w:rsidRDefault="00F07478" w14:paraId="06D8D114" w14:textId="45497FEF">
      <w:bookmarkStart w:name="_GoBack" w:id="0"/>
      <w:bookmarkEnd w:id="0"/>
      <w:r>
        <w:t>Geachte voorzitter,</w:t>
      </w:r>
    </w:p>
    <w:p w:rsidR="00F07478" w:rsidRDefault="00F07478" w14:paraId="21790E0F" w14:textId="77777777"/>
    <w:p w:rsidR="00F07478" w:rsidRDefault="00F07478" w14:paraId="433F4300" w14:textId="23694ED9">
      <w:r>
        <w:t>Op 4 december 2024 kondigde u het schriftelijk overleg van 11 december 2024 aan en verzocht u ons om geen onomkeerbare stappen te zetten inzake het Ontwerpbesluit erkenningen wegverkeer (Kamerstuk 29398, nr. 1134) totdat de kamerbehandeling is afgerond. Op 4 december zijn door de leden van de PVV en VVD schriftelijke vragen ingediend inzake de voorhangprocedure van deze ontwerpregeling.</w:t>
      </w:r>
    </w:p>
    <w:p w:rsidR="00F07478" w:rsidRDefault="00F07478" w14:paraId="3948F9B8" w14:textId="77777777">
      <w:pPr>
        <w:pStyle w:val="WitregelW1bodytekst"/>
      </w:pPr>
    </w:p>
    <w:p w:rsidR="008B548A" w:rsidRDefault="00F07478" w14:paraId="46D9AB0E" w14:textId="72E9D9F2">
      <w:pPr>
        <w:pStyle w:val="WitregelW1bodytekst"/>
      </w:pPr>
      <w:r>
        <w:t>Onderstaand treft u de beantwoording aan.</w:t>
      </w:r>
      <w:r w:rsidR="00E63067">
        <w:t xml:space="preserve">  </w:t>
      </w:r>
    </w:p>
    <w:p w:rsidR="008B548A" w:rsidRDefault="00E63067" w14:paraId="27841A2B" w14:textId="77777777">
      <w:pPr>
        <w:pStyle w:val="Slotzin"/>
      </w:pPr>
      <w:r>
        <w:t>Hoogachtend,</w:t>
      </w:r>
    </w:p>
    <w:p w:rsidR="008B548A" w:rsidRDefault="00E63067" w14:paraId="11ECB48C" w14:textId="77777777">
      <w:pPr>
        <w:pStyle w:val="OndertekeningArea1"/>
      </w:pPr>
      <w:r>
        <w:t>DE MINISTER VAN INFRASTRUCTUUR EN WATERSTAAT,</w:t>
      </w:r>
    </w:p>
    <w:p w:rsidR="008B548A" w:rsidRDefault="008B548A" w14:paraId="40D718EE" w14:textId="77777777"/>
    <w:p w:rsidR="008B548A" w:rsidRDefault="008B548A" w14:paraId="16E43389" w14:textId="77777777"/>
    <w:p w:rsidR="008B548A" w:rsidRDefault="008B548A" w14:paraId="4B99D6C6" w14:textId="77777777"/>
    <w:p w:rsidR="008B548A" w:rsidRDefault="008B548A" w14:paraId="67D1591F" w14:textId="77777777"/>
    <w:p w:rsidR="00F07478" w:rsidRDefault="00E63067" w14:paraId="6554E961" w14:textId="03F96BFA">
      <w:r>
        <w:t>Barry Madlener</w:t>
      </w:r>
    </w:p>
    <w:p w:rsidR="00F07478" w:rsidRDefault="00F07478" w14:paraId="12B007A7" w14:textId="77777777">
      <w:pPr>
        <w:spacing w:line="240" w:lineRule="auto"/>
      </w:pPr>
      <w:r>
        <w:br w:type="page"/>
      </w:r>
    </w:p>
    <w:p w:rsidR="008B548A" w:rsidRDefault="00F07478" w14:paraId="0DB215C2" w14:textId="7330CF50">
      <w:pPr>
        <w:rPr>
          <w:b/>
          <w:bCs/>
        </w:rPr>
      </w:pPr>
      <w:r w:rsidRPr="00F07478">
        <w:rPr>
          <w:b/>
          <w:bCs/>
        </w:rPr>
        <w:lastRenderedPageBreak/>
        <w:t>Beantwoording schriftelijk overleg inzake de voorhangprocedure Ontwerpbesluit erkenningen wegverkeer (Kamerstuk 29398, nr. 1134)</w:t>
      </w:r>
    </w:p>
    <w:p w:rsidRPr="0074017E" w:rsidR="00F07478" w:rsidRDefault="00F07478" w14:paraId="717E82D2" w14:textId="77777777">
      <w:pPr>
        <w:rPr>
          <w:i/>
          <w:iCs/>
        </w:rPr>
      </w:pPr>
    </w:p>
    <w:p w:rsidRPr="00E10169" w:rsidR="00E10169" w:rsidRDefault="00E10169" w14:paraId="682FAC80" w14:textId="7E3F44ED">
      <w:pPr>
        <w:rPr>
          <w:b/>
          <w:bCs/>
        </w:rPr>
      </w:pPr>
      <w:r w:rsidRPr="00E10169">
        <w:rPr>
          <w:b/>
          <w:bCs/>
        </w:rPr>
        <w:t>PVV-fractie</w:t>
      </w:r>
    </w:p>
    <w:p w:rsidR="00E10169" w:rsidRDefault="00E10169" w14:paraId="0DC387D6" w14:textId="77777777">
      <w:pPr>
        <w:rPr>
          <w:i/>
          <w:iCs/>
        </w:rPr>
      </w:pPr>
    </w:p>
    <w:p w:rsidR="00F07478" w:rsidRDefault="0074017E" w14:paraId="1503767C" w14:textId="07F99B32">
      <w:pPr>
        <w:rPr>
          <w:i/>
          <w:iCs/>
        </w:rPr>
      </w:pPr>
      <w:bookmarkStart w:name="_Hlk185001411" w:id="1"/>
      <w:r w:rsidRPr="0074017E">
        <w:rPr>
          <w:i/>
          <w:iCs/>
        </w:rPr>
        <w:t>Vraag 1</w:t>
      </w:r>
    </w:p>
    <w:p w:rsidR="0074017E" w:rsidRDefault="0074017E" w14:paraId="1AA9B3D4" w14:textId="5BC5FB35">
      <w:pPr>
        <w:rPr>
          <w:i/>
          <w:iCs/>
        </w:rPr>
      </w:pPr>
      <w:bookmarkStart w:name="_Hlk184997433" w:id="2"/>
      <w:r>
        <w:rPr>
          <w:i/>
          <w:iCs/>
        </w:rPr>
        <w:t>De leden van de PVV-fractie vragen om de mogelijke risico’s rondom het gebruik misbruik van handelaarskentekens te bundelen en tevens te voorzien van potentieel mitigerende maatregelen die een potentieel risico zo klein als mogelijk houden.</w:t>
      </w:r>
    </w:p>
    <w:p w:rsidR="0074017E" w:rsidRDefault="0074017E" w14:paraId="06503315" w14:textId="77777777">
      <w:pPr>
        <w:rPr>
          <w:i/>
          <w:iCs/>
        </w:rPr>
      </w:pPr>
    </w:p>
    <w:p w:rsidR="00E52944" w:rsidP="00CE45AB" w:rsidRDefault="008849F1" w14:paraId="54B13DB5" w14:textId="49E6E790">
      <w:pPr>
        <w:pStyle w:val="elementtoproof"/>
        <w:rPr>
          <w:color w:val="000000"/>
        </w:rPr>
      </w:pPr>
      <w:r>
        <w:rPr>
          <w:color w:val="000000"/>
        </w:rPr>
        <w:t xml:space="preserve">Het handelaarskenteken is bedoeld voor het bedrijfsmatig ontplooien van voertuiggerelateerde activiteiten met het voertuig dat het handelaarskenteken voert. </w:t>
      </w:r>
      <w:r w:rsidR="000D7C39">
        <w:rPr>
          <w:color w:val="000000"/>
        </w:rPr>
        <w:t>Dit betreft bijvoorbeeld het doen van test- en proefritten en het halen en brengen van het voertuig voor bijvoorbeeld verkoop of reparatie</w:t>
      </w:r>
      <w:r>
        <w:rPr>
          <w:color w:val="000000"/>
        </w:rPr>
        <w:t>.</w:t>
      </w:r>
      <w:r w:rsidR="009C0637">
        <w:rPr>
          <w:rStyle w:val="FootnoteReference"/>
          <w:color w:val="000000"/>
        </w:rPr>
        <w:footnoteReference w:id="1"/>
      </w:r>
      <w:r>
        <w:rPr>
          <w:color w:val="000000"/>
        </w:rPr>
        <w:t xml:space="preserve"> </w:t>
      </w:r>
      <w:r w:rsidR="00270E60">
        <w:rPr>
          <w:color w:val="000000"/>
        </w:rPr>
        <w:t xml:space="preserve">Er </w:t>
      </w:r>
      <w:r w:rsidR="00837BFE">
        <w:rPr>
          <w:color w:val="000000"/>
        </w:rPr>
        <w:t xml:space="preserve">bestaat echter een risico dat </w:t>
      </w:r>
      <w:r w:rsidR="00270E60">
        <w:rPr>
          <w:color w:val="000000"/>
        </w:rPr>
        <w:t xml:space="preserve">bedrijven </w:t>
      </w:r>
      <w:r w:rsidR="00837BFE">
        <w:rPr>
          <w:color w:val="000000"/>
        </w:rPr>
        <w:t xml:space="preserve">voor andere doeleinden </w:t>
      </w:r>
      <w:r w:rsidR="000D7C39">
        <w:rPr>
          <w:color w:val="000000"/>
        </w:rPr>
        <w:t xml:space="preserve">met </w:t>
      </w:r>
      <w:r w:rsidR="00CE45AB">
        <w:rPr>
          <w:color w:val="000000"/>
        </w:rPr>
        <w:t xml:space="preserve">het handelaarskenteken </w:t>
      </w:r>
      <w:r w:rsidR="000D7C39">
        <w:rPr>
          <w:color w:val="000000"/>
        </w:rPr>
        <w:t>op de weg rijden en daarmee misbruik maken van het handelaarskente</w:t>
      </w:r>
      <w:r w:rsidR="00E52944">
        <w:rPr>
          <w:color w:val="000000"/>
        </w:rPr>
        <w:t>ken</w:t>
      </w:r>
      <w:r w:rsidR="000D7C39">
        <w:rPr>
          <w:color w:val="000000"/>
        </w:rPr>
        <w:t>.</w:t>
      </w:r>
      <w:r w:rsidDel="00270E60" w:rsidR="000D7C39">
        <w:rPr>
          <w:color w:val="000000"/>
        </w:rPr>
        <w:t xml:space="preserve"> </w:t>
      </w:r>
      <w:r w:rsidR="007A0721">
        <w:rPr>
          <w:color w:val="000000"/>
        </w:rPr>
        <w:t>Met</w:t>
      </w:r>
      <w:r w:rsidR="009C0637">
        <w:rPr>
          <w:color w:val="000000"/>
        </w:rPr>
        <w:t xml:space="preserve"> het nieuwe stelsel wordt het risico op misbruik verder verkleind.</w:t>
      </w:r>
    </w:p>
    <w:p w:rsidR="008849F1" w:rsidP="00CE45AB" w:rsidRDefault="008849F1" w14:paraId="43655B3F" w14:textId="77777777">
      <w:pPr>
        <w:pStyle w:val="elementtoproof"/>
        <w:rPr>
          <w:color w:val="000000"/>
        </w:rPr>
      </w:pPr>
    </w:p>
    <w:p w:rsidR="00A56275" w:rsidP="00CE45AB" w:rsidRDefault="00CE45AB" w14:paraId="3E0B7EF4" w14:textId="58DD8939">
      <w:pPr>
        <w:pStyle w:val="elementtoproof"/>
        <w:rPr>
          <w:color w:val="000000"/>
        </w:rPr>
      </w:pPr>
      <w:r w:rsidRPr="00CE45AB">
        <w:t>Het handelaarskenteken is op dit moment opgenomen in het Kentekenreglement</w:t>
      </w:r>
      <w:r w:rsidR="009C0637">
        <w:t>. Daarvoor gelden algemene regels</w:t>
      </w:r>
      <w:r w:rsidR="00237BB0">
        <w:t>,</w:t>
      </w:r>
      <w:r w:rsidR="009C0637">
        <w:t xml:space="preserve"> maar er </w:t>
      </w:r>
      <w:r w:rsidRPr="00CE45AB">
        <w:t>is geen aparte erkenning.</w:t>
      </w:r>
      <w:r w:rsidR="00A56275">
        <w:t xml:space="preserve"> </w:t>
      </w:r>
      <w:r w:rsidR="00237BB0">
        <w:t>H</w:t>
      </w:r>
      <w:r w:rsidR="00A56275">
        <w:t xml:space="preserve">et huidige stelsel </w:t>
      </w:r>
      <w:r w:rsidR="00237BB0">
        <w:t xml:space="preserve">legt </w:t>
      </w:r>
      <w:r w:rsidR="00A56275">
        <w:t xml:space="preserve">beperkingen op aan het gebruik van het handelaarskenteken om misbruik tegen te gaan. Zo </w:t>
      </w:r>
      <w:r w:rsidR="00A56275">
        <w:rPr>
          <w:color w:val="000000"/>
        </w:rPr>
        <w:t>mogen maximaal vijf handelaarskentekens per vestiging worden aangevraagd</w:t>
      </w:r>
      <w:r w:rsidRPr="00CE45AB">
        <w:t> </w:t>
      </w:r>
      <w:r w:rsidR="00A56275">
        <w:t xml:space="preserve">en </w:t>
      </w:r>
      <w:r w:rsidRPr="00CE45AB" w:rsidR="00A56275">
        <w:t xml:space="preserve">mag </w:t>
      </w:r>
      <w:r w:rsidR="00A56275">
        <w:rPr>
          <w:color w:val="000000"/>
        </w:rPr>
        <w:t>het handelaarskenteken</w:t>
      </w:r>
      <w:r w:rsidR="00A56275">
        <w:rPr>
          <w:color w:val="C82613"/>
        </w:rPr>
        <w:t> </w:t>
      </w:r>
      <w:r w:rsidRPr="00CE45AB" w:rsidR="00A56275">
        <w:t xml:space="preserve">alleen </w:t>
      </w:r>
      <w:r w:rsidR="00237BB0">
        <w:t xml:space="preserve">worden </w:t>
      </w:r>
      <w:r w:rsidRPr="00CE45AB" w:rsidR="00A56275">
        <w:t>gebruikt in het kader van de bedrijfsactiviteiten van het bedrijf.</w:t>
      </w:r>
      <w:r w:rsidR="00A56275">
        <w:t xml:space="preserve"> Hier</w:t>
      </w:r>
      <w:r w:rsidR="00237BB0">
        <w:t>op</w:t>
      </w:r>
      <w:r w:rsidR="00A56275">
        <w:t xml:space="preserve"> </w:t>
      </w:r>
      <w:r w:rsidR="00237BB0">
        <w:t xml:space="preserve">houdt </w:t>
      </w:r>
      <w:r w:rsidR="00A56275">
        <w:t>de RDW toezicht en o</w:t>
      </w:r>
      <w:r w:rsidR="00837BFE">
        <w:t>p misbruik staan in de huidige situatie al sancties</w:t>
      </w:r>
      <w:r w:rsidR="008849F1">
        <w:t>, zoals het ongeldig verklaren van het handelaarskenteken</w:t>
      </w:r>
      <w:r w:rsidR="00837BFE">
        <w:t>.</w:t>
      </w:r>
      <w:r w:rsidR="00A56275">
        <w:t xml:space="preserve"> </w:t>
      </w:r>
      <w:r w:rsidR="00A56275">
        <w:rPr>
          <w:color w:val="000000"/>
        </w:rPr>
        <w:t xml:space="preserve">Ook wordt misbruik tegengegaan door toezicht te houden op het gebruik van het handelaarskenteken. </w:t>
      </w:r>
    </w:p>
    <w:p w:rsidR="00A56275" w:rsidP="00CE45AB" w:rsidRDefault="00A56275" w14:paraId="673E98D0" w14:textId="77777777">
      <w:pPr>
        <w:pStyle w:val="elementtoproof"/>
        <w:rPr>
          <w:color w:val="000000"/>
        </w:rPr>
      </w:pPr>
    </w:p>
    <w:p w:rsidRPr="009C0637" w:rsidR="008849F1" w:rsidP="00CE45AB" w:rsidRDefault="00A56275" w14:paraId="40C80DFD" w14:textId="72B7FF7F">
      <w:pPr>
        <w:pStyle w:val="elementtoproof"/>
      </w:pPr>
      <w:r>
        <w:rPr>
          <w:color w:val="000000"/>
        </w:rPr>
        <w:t xml:space="preserve">Alle beperkingen en waarborgen uit het huidige stelsel blijven van kracht. De mogelijkheden om misbruik te voorkomen </w:t>
      </w:r>
      <w:r w:rsidR="00237BB0">
        <w:rPr>
          <w:color w:val="000000"/>
        </w:rPr>
        <w:t xml:space="preserve">worden </w:t>
      </w:r>
      <w:r>
        <w:rPr>
          <w:color w:val="000000"/>
        </w:rPr>
        <w:t>uitgebreid d</w:t>
      </w:r>
      <w:r w:rsidRPr="00CE45AB" w:rsidR="00CE45AB">
        <w:t>oor h</w:t>
      </w:r>
      <w:r w:rsidR="00CE45AB">
        <w:rPr>
          <w:color w:val="000000"/>
        </w:rPr>
        <w:t>et onder erkenning brengen van het handelaarskenteken</w:t>
      </w:r>
      <w:r>
        <w:rPr>
          <w:color w:val="000000"/>
        </w:rPr>
        <w:t>.</w:t>
      </w:r>
      <w:r w:rsidR="008849F1">
        <w:rPr>
          <w:color w:val="000000"/>
        </w:rPr>
        <w:t xml:space="preserve"> </w:t>
      </w:r>
      <w:r w:rsidR="00CE45AB">
        <w:rPr>
          <w:color w:val="000000"/>
        </w:rPr>
        <w:t xml:space="preserve">Zo kan er </w:t>
      </w:r>
      <w:r w:rsidR="00270E60">
        <w:rPr>
          <w:color w:val="000000"/>
        </w:rPr>
        <w:t xml:space="preserve">bij overtreding van de aan de </w:t>
      </w:r>
      <w:r w:rsidR="00CE45AB">
        <w:rPr>
          <w:color w:val="000000"/>
        </w:rPr>
        <w:t xml:space="preserve">erkenning </w:t>
      </w:r>
      <w:r w:rsidR="00270E60">
        <w:rPr>
          <w:color w:val="000000"/>
        </w:rPr>
        <w:t xml:space="preserve">gestelde eisen en voorwaarden een last onder bestuursdwang, een last onder dwangsom of een bestuurlijke boete </w:t>
      </w:r>
      <w:r w:rsidR="00CE45AB">
        <w:rPr>
          <w:color w:val="000000"/>
        </w:rPr>
        <w:t>worden opgelegd</w:t>
      </w:r>
      <w:r w:rsidR="00270E60">
        <w:rPr>
          <w:color w:val="000000"/>
        </w:rPr>
        <w:t xml:space="preserve"> en kan </w:t>
      </w:r>
      <w:r w:rsidR="00CE45AB">
        <w:rPr>
          <w:color w:val="000000"/>
        </w:rPr>
        <w:t xml:space="preserve">de erkenning </w:t>
      </w:r>
      <w:r w:rsidR="008849F1">
        <w:rPr>
          <w:color w:val="000000"/>
        </w:rPr>
        <w:t>-</w:t>
      </w:r>
      <w:r w:rsidR="009C0637">
        <w:rPr>
          <w:color w:val="000000"/>
        </w:rPr>
        <w:t xml:space="preserve"> </w:t>
      </w:r>
      <w:r w:rsidR="00CE45AB">
        <w:rPr>
          <w:color w:val="000000"/>
        </w:rPr>
        <w:t xml:space="preserve">en </w:t>
      </w:r>
      <w:r w:rsidRPr="00CE45AB" w:rsidR="00CE45AB">
        <w:t xml:space="preserve">daarmee </w:t>
      </w:r>
      <w:r w:rsidR="00237BB0">
        <w:t xml:space="preserve">het </w:t>
      </w:r>
      <w:r w:rsidR="00CE45AB">
        <w:t>handelaarskenteken</w:t>
      </w:r>
      <w:r w:rsidR="009C0637">
        <w:t xml:space="preserve"> </w:t>
      </w:r>
      <w:r w:rsidR="008849F1">
        <w:t>-</w:t>
      </w:r>
      <w:r w:rsidR="00CE45AB">
        <w:t xml:space="preserve"> </w:t>
      </w:r>
      <w:r w:rsidR="00CE45AB">
        <w:rPr>
          <w:color w:val="000000"/>
        </w:rPr>
        <w:t xml:space="preserve">worden ingetrokken. </w:t>
      </w:r>
    </w:p>
    <w:p w:rsidR="008849F1" w:rsidP="00CE45AB" w:rsidRDefault="008849F1" w14:paraId="572E2186" w14:textId="77777777">
      <w:pPr>
        <w:pStyle w:val="elementtoproof"/>
        <w:rPr>
          <w:color w:val="000000"/>
        </w:rPr>
      </w:pPr>
    </w:p>
    <w:p w:rsidRPr="00237BB0" w:rsidR="00CE45AB" w:rsidP="00237BB0" w:rsidRDefault="00CE45AB" w14:paraId="694AC853" w14:textId="754D6A69">
      <w:pPr>
        <w:pStyle w:val="elementtoproof"/>
        <w:rPr>
          <w:color w:val="000000"/>
        </w:rPr>
      </w:pPr>
      <w:r>
        <w:rPr>
          <w:color w:val="000000"/>
        </w:rPr>
        <w:t xml:space="preserve">Daarnaast moeten bedrijven voldoen aan de eisen voor de basiserkenning. Dit houdt in dat er een </w:t>
      </w:r>
      <w:r w:rsidR="00270E60">
        <w:rPr>
          <w:color w:val="000000"/>
        </w:rPr>
        <w:t>v</w:t>
      </w:r>
      <w:r>
        <w:rPr>
          <w:color w:val="000000"/>
        </w:rPr>
        <w:t xml:space="preserve">erklaring </w:t>
      </w:r>
      <w:r w:rsidR="00270E60">
        <w:rPr>
          <w:color w:val="000000"/>
        </w:rPr>
        <w:t>o</w:t>
      </w:r>
      <w:r>
        <w:rPr>
          <w:color w:val="000000"/>
        </w:rPr>
        <w:t xml:space="preserve">mtrent </w:t>
      </w:r>
      <w:r w:rsidR="00270E60">
        <w:rPr>
          <w:color w:val="000000"/>
        </w:rPr>
        <w:t>het g</w:t>
      </w:r>
      <w:r>
        <w:rPr>
          <w:color w:val="000000"/>
        </w:rPr>
        <w:t>edrag moet worden over</w:t>
      </w:r>
      <w:r w:rsidR="00270E60">
        <w:rPr>
          <w:color w:val="000000"/>
        </w:rPr>
        <w:t>ge</w:t>
      </w:r>
      <w:r>
        <w:rPr>
          <w:color w:val="000000"/>
        </w:rPr>
        <w:t xml:space="preserve">legd bij de aanvraag en dat er een Bibob-toets plaats kan vinden bij risico op misbruik van een erkenning. Bij grof misbruik van één van de erkenningen of andere malafide praktijken kan bovendien de basiserkenning worden ingetrokken, waarmee ook geen gebruik meer kan worden </w:t>
      </w:r>
      <w:r w:rsidR="00237BB0">
        <w:rPr>
          <w:color w:val="000000"/>
        </w:rPr>
        <w:t xml:space="preserve">gemaakt </w:t>
      </w:r>
      <w:r>
        <w:rPr>
          <w:color w:val="000000"/>
        </w:rPr>
        <w:t xml:space="preserve">van de erkenning handelaarskenteken. </w:t>
      </w:r>
    </w:p>
    <w:bookmarkEnd w:id="1"/>
    <w:bookmarkEnd w:id="2"/>
    <w:p w:rsidRPr="00E10169" w:rsidR="0074017E" w:rsidRDefault="0074017E" w14:paraId="6D19EE7D" w14:textId="77777777"/>
    <w:p w:rsidR="0074017E" w:rsidRDefault="0074017E" w14:paraId="07773424" w14:textId="43579485">
      <w:pPr>
        <w:rPr>
          <w:i/>
          <w:iCs/>
        </w:rPr>
      </w:pPr>
      <w:r>
        <w:rPr>
          <w:i/>
          <w:iCs/>
        </w:rPr>
        <w:t>Vraag 2</w:t>
      </w:r>
    </w:p>
    <w:p w:rsidR="0074017E" w:rsidRDefault="000F6408" w14:paraId="48D4FF24" w14:textId="7B7D4862">
      <w:pPr>
        <w:rPr>
          <w:i/>
          <w:iCs/>
        </w:rPr>
      </w:pPr>
      <w:r>
        <w:rPr>
          <w:i/>
          <w:iCs/>
        </w:rPr>
        <w:t>De leden van de PVV-fractie merken op dat de demontage-erkenning aan bedrijven kan worden toegekend zonder dat daarvoor een bevoegdheid op grond van de Omgevingswet is verkregen en vragen of het niet effeciënter is om de demontage-erkenning enkel toe te kennen aan bedrijven die het gehele demontageproces kunnen doorlopen.</w:t>
      </w:r>
    </w:p>
    <w:p w:rsidRPr="00E10169" w:rsidR="000F6408" w:rsidRDefault="000F6408" w14:paraId="3AD995AC" w14:textId="77777777"/>
    <w:p w:rsidR="000F6408" w:rsidRDefault="00557BCA" w14:paraId="34205CB3" w14:textId="31F163EA">
      <w:r>
        <w:t xml:space="preserve">De vraag </w:t>
      </w:r>
      <w:r w:rsidR="008818E7">
        <w:t xml:space="preserve">van de leden van de PVV-fractie is terecht. De laatste alinea van paragraaf 2.3.7 van de nota van toelichting bij het Ontwerpbesluit </w:t>
      </w:r>
      <w:r w:rsidR="00016D79">
        <w:t xml:space="preserve">zal daarom </w:t>
      </w:r>
      <w:r w:rsidR="008818E7">
        <w:t>word</w:t>
      </w:r>
      <w:r w:rsidR="00016D79">
        <w:t>en</w:t>
      </w:r>
      <w:r w:rsidR="008818E7">
        <w:t xml:space="preserve"> geschrapt</w:t>
      </w:r>
      <w:r w:rsidR="00016D79">
        <w:t>.</w:t>
      </w:r>
      <w:r w:rsidR="008818E7">
        <w:t xml:space="preserve"> </w:t>
      </w:r>
      <w:r w:rsidR="009C0637">
        <w:t xml:space="preserve">Vervolgens </w:t>
      </w:r>
      <w:r w:rsidR="00016D79">
        <w:t xml:space="preserve">zal </w:t>
      </w:r>
      <w:r w:rsidR="008818E7">
        <w:t>de koppeling tussen de erkenning demontage en het Besluit activiteiten leefomgeving (AMvB onder de Omgevingswet) worden gemaakt</w:t>
      </w:r>
      <w:r w:rsidR="00237BB0">
        <w:t>,</w:t>
      </w:r>
      <w:r w:rsidR="008818E7">
        <w:t xml:space="preserve"> zoals die nu ook bestaat in het huidige artikel 8 van de Regeling erkenning bedrijfsvoorraad</w:t>
      </w:r>
      <w:r w:rsidR="00237BB0">
        <w:t>, in de uitwerking van de erkenning demontage in de toekomstige Regeling erkenningen wegverkeer.</w:t>
      </w:r>
    </w:p>
    <w:p w:rsidRPr="00E10169" w:rsidR="00E10169" w:rsidRDefault="00E10169" w14:paraId="2A47BB96" w14:textId="77777777"/>
    <w:p w:rsidR="000F6408" w:rsidRDefault="000F6408" w14:paraId="50517B62" w14:textId="78CE0E88">
      <w:pPr>
        <w:rPr>
          <w:i/>
          <w:iCs/>
        </w:rPr>
      </w:pPr>
      <w:r>
        <w:rPr>
          <w:i/>
          <w:iCs/>
        </w:rPr>
        <w:t>Vraag 3</w:t>
      </w:r>
    </w:p>
    <w:p w:rsidR="000F6408" w:rsidRDefault="000F6408" w14:paraId="5795844F" w14:textId="0C21C253">
      <w:pPr>
        <w:rPr>
          <w:i/>
          <w:iCs/>
        </w:rPr>
      </w:pPr>
      <w:r>
        <w:rPr>
          <w:i/>
          <w:iCs/>
        </w:rPr>
        <w:t>De leden van de PVV-fractie vragen ten aanzien van de erkenning voorbehoud en verplichtingen welke soort gegevens in het kentekenregister kunnen worden opgenomen en of deze gegevens onderhevig zijn aan privacywetgeving.</w:t>
      </w:r>
    </w:p>
    <w:p w:rsidR="000F6408" w:rsidRDefault="000F6408" w14:paraId="5F08DD19" w14:textId="77777777"/>
    <w:p w:rsidRPr="00E10169" w:rsidR="00472098" w:rsidRDefault="00704E42" w14:paraId="09382569" w14:textId="11F3C2FA">
      <w:r>
        <w:t>In het kader van de erkenning voorbehoud en verplichtingen z</w:t>
      </w:r>
      <w:r w:rsidR="00042519">
        <w:t>al</w:t>
      </w:r>
      <w:r>
        <w:t xml:space="preserve"> in het kentekenregister worden opgenomen wie (de kentekenhouder of de erkenninghouder) </w:t>
      </w:r>
      <w:r w:rsidR="00990AB4">
        <w:t xml:space="preserve">in beginsel </w:t>
      </w:r>
      <w:r w:rsidR="00107428">
        <w:t xml:space="preserve">moet zorgen dat aan de </w:t>
      </w:r>
      <w:r w:rsidR="00D868EE">
        <w:t xml:space="preserve">voertuigverplichtingen </w:t>
      </w:r>
      <w:r w:rsidR="00107428">
        <w:t>wordt voldaan</w:t>
      </w:r>
      <w:r w:rsidR="00D868EE">
        <w:t xml:space="preserve"> en of er </w:t>
      </w:r>
      <w:r w:rsidR="00557BCA">
        <w:t xml:space="preserve">een </w:t>
      </w:r>
      <w:r w:rsidR="00D868EE">
        <w:t xml:space="preserve">voorbehoud is </w:t>
      </w:r>
      <w:r w:rsidR="00557BCA">
        <w:t>geplaatst</w:t>
      </w:r>
      <w:r w:rsidR="00D868EE">
        <w:t xml:space="preserve"> </w:t>
      </w:r>
      <w:r>
        <w:t xml:space="preserve">op het verstrekken van de </w:t>
      </w:r>
      <w:r w:rsidR="00D868EE">
        <w:t>tenaamstellingscode.</w:t>
      </w:r>
      <w:r>
        <w:t xml:space="preserve"> Om de erkenninghouder </w:t>
      </w:r>
      <w:r w:rsidR="00107428">
        <w:t>aan te kunnen schrijven</w:t>
      </w:r>
      <w:r>
        <w:t xml:space="preserve"> </w:t>
      </w:r>
      <w:r w:rsidR="00237BB0">
        <w:t xml:space="preserve">moet </w:t>
      </w:r>
      <w:r>
        <w:t xml:space="preserve">informatie van de erkenninghouder </w:t>
      </w:r>
      <w:r w:rsidR="00237BB0">
        <w:t xml:space="preserve">zijn </w:t>
      </w:r>
      <w:r>
        <w:t xml:space="preserve">opgenomen in het kentekenregister. Dit kunnen persoonsgegevens zijn en </w:t>
      </w:r>
      <w:r w:rsidR="00237BB0">
        <w:t xml:space="preserve">deze </w:t>
      </w:r>
      <w:r>
        <w:t>kunnen onderhevig zijn aan privacywetgeving.</w:t>
      </w:r>
      <w:r w:rsidR="00D868EE">
        <w:t xml:space="preserve"> </w:t>
      </w:r>
      <w:r w:rsidR="00DC1C9D">
        <w:t xml:space="preserve">De regels voor deze erkenning worden </w:t>
      </w:r>
      <w:r w:rsidR="00557BCA">
        <w:t xml:space="preserve">verder uitgewerkt </w:t>
      </w:r>
      <w:r w:rsidR="00DC1C9D">
        <w:t>in de Regeling erkenningen wegverkeer</w:t>
      </w:r>
      <w:r w:rsidR="00237BB0">
        <w:t>.</w:t>
      </w:r>
      <w:r w:rsidR="00557BCA">
        <w:t xml:space="preserve"> </w:t>
      </w:r>
      <w:r w:rsidR="00237BB0">
        <w:t>D</w:t>
      </w:r>
      <w:r w:rsidR="00DC1C9D">
        <w:t xml:space="preserve">aarin </w:t>
      </w:r>
      <w:r w:rsidR="00237BB0">
        <w:t>worden</w:t>
      </w:r>
      <w:r w:rsidR="00DC1C9D">
        <w:t xml:space="preserve"> </w:t>
      </w:r>
      <w:r w:rsidR="00557BCA">
        <w:t>v</w:t>
      </w:r>
      <w:r w:rsidR="00D868EE">
        <w:t>oor zover</w:t>
      </w:r>
      <w:r w:rsidR="00557BCA">
        <w:t xml:space="preserve"> </w:t>
      </w:r>
      <w:r w:rsidR="00DC1C9D">
        <w:t>nodig</w:t>
      </w:r>
      <w:r w:rsidR="00237BB0">
        <w:t xml:space="preserve"> </w:t>
      </w:r>
      <w:r w:rsidR="00DC1C9D">
        <w:t>regels voor</w:t>
      </w:r>
      <w:r w:rsidR="00557BCA">
        <w:t xml:space="preserve"> privacy </w:t>
      </w:r>
      <w:r w:rsidR="00237BB0">
        <w:t xml:space="preserve">worden </w:t>
      </w:r>
      <w:r w:rsidR="00557BCA">
        <w:t>gesteld</w:t>
      </w:r>
      <w:r w:rsidR="00D868EE">
        <w:t>.</w:t>
      </w:r>
    </w:p>
    <w:p w:rsidRPr="00E10169" w:rsidR="000F6408" w:rsidRDefault="000F6408" w14:paraId="765864B3" w14:textId="77777777"/>
    <w:p w:rsidR="000F6408" w:rsidRDefault="000F6408" w14:paraId="091162DD" w14:textId="2727FCCA">
      <w:pPr>
        <w:rPr>
          <w:i/>
          <w:iCs/>
        </w:rPr>
      </w:pPr>
      <w:r>
        <w:rPr>
          <w:i/>
          <w:iCs/>
        </w:rPr>
        <w:t>Vraag 4</w:t>
      </w:r>
    </w:p>
    <w:p w:rsidR="000F6408" w:rsidRDefault="000F6408" w14:paraId="25C512A9" w14:textId="5C7A7E34">
      <w:pPr>
        <w:rPr>
          <w:i/>
          <w:iCs/>
        </w:rPr>
      </w:pPr>
      <w:r>
        <w:rPr>
          <w:i/>
          <w:iCs/>
        </w:rPr>
        <w:t>De leden van de PVV-fractie vragen wat in het kader van artikel 17 van het Ontwerpbesluit onder voertuigverplichtingen wordt verstaan</w:t>
      </w:r>
      <w:r w:rsidR="00E10169">
        <w:rPr>
          <w:i/>
          <w:iCs/>
        </w:rPr>
        <w:t xml:space="preserve"> en </w:t>
      </w:r>
      <w:r>
        <w:rPr>
          <w:i/>
          <w:iCs/>
        </w:rPr>
        <w:t xml:space="preserve">of er voertuigverplichtingen zijn die </w:t>
      </w:r>
      <w:r w:rsidR="00E10169">
        <w:rPr>
          <w:i/>
          <w:iCs/>
        </w:rPr>
        <w:t>dwingend toebehoren aan één van de partijen én waarvan dus niet per overeenkomst van afgeweken kan worden en zij zouden graag een allesomvattende lijst ontvangen.</w:t>
      </w:r>
    </w:p>
    <w:p w:rsidR="00E10169" w:rsidRDefault="00E10169" w14:paraId="10F0E590" w14:textId="77777777"/>
    <w:p w:rsidR="00BA6D6F" w:rsidRDefault="00206BE5" w14:paraId="5D9E9D7E" w14:textId="27327CF0">
      <w:r>
        <w:t>E</w:t>
      </w:r>
      <w:r w:rsidR="00472098">
        <w:t>r zijn vijf voertuigverplichtingen</w:t>
      </w:r>
      <w:r w:rsidR="00742CAE">
        <w:t xml:space="preserve"> die in artikel 17 van het On</w:t>
      </w:r>
      <w:r w:rsidR="00BA6D6F">
        <w:t>t</w:t>
      </w:r>
      <w:r w:rsidR="00742CAE">
        <w:t>werpbesluit zijn opgenomen. Dat zijn</w:t>
      </w:r>
      <w:r w:rsidR="00472098">
        <w:t xml:space="preserve"> </w:t>
      </w:r>
      <w:r w:rsidR="00742CAE">
        <w:t>d</w:t>
      </w:r>
      <w:r w:rsidR="002F146D">
        <w:t>e motorrijtuigenbelasting (</w:t>
      </w:r>
      <w:r w:rsidR="00472098">
        <w:t>MRB</w:t>
      </w:r>
      <w:r w:rsidR="002F146D">
        <w:t>)</w:t>
      </w:r>
      <w:r w:rsidR="00472098">
        <w:t xml:space="preserve">, </w:t>
      </w:r>
      <w:r w:rsidR="002F146D">
        <w:t xml:space="preserve">de gemeentelijke </w:t>
      </w:r>
      <w:r w:rsidR="00472098">
        <w:t>parkeerbelasting, verkeersboetes,</w:t>
      </w:r>
      <w:r w:rsidR="002F146D">
        <w:t xml:space="preserve"> de</w:t>
      </w:r>
      <w:r w:rsidR="00472098">
        <w:t xml:space="preserve"> APK</w:t>
      </w:r>
      <w:r w:rsidR="00742CAE">
        <w:t>-plicht</w:t>
      </w:r>
      <w:r w:rsidR="00472098">
        <w:t xml:space="preserve"> en </w:t>
      </w:r>
      <w:r w:rsidR="002F146D">
        <w:t>de aansprakelijkheidsverzekering (</w:t>
      </w:r>
      <w:r w:rsidR="00472098">
        <w:t>WAM</w:t>
      </w:r>
      <w:r w:rsidR="002F146D">
        <w:t>)</w:t>
      </w:r>
      <w:r w:rsidR="00472098">
        <w:t xml:space="preserve">. </w:t>
      </w:r>
      <w:r w:rsidR="002F146D">
        <w:t xml:space="preserve">Uit de wet volgt dat de </w:t>
      </w:r>
      <w:r w:rsidR="00742CAE">
        <w:t>houder van het voertuig</w:t>
      </w:r>
      <w:r w:rsidR="002F146D">
        <w:t xml:space="preserve"> voor </w:t>
      </w:r>
      <w:r w:rsidR="00742CAE">
        <w:t xml:space="preserve">het voldoen </w:t>
      </w:r>
      <w:r w:rsidR="00237BB0">
        <w:t>a</w:t>
      </w:r>
      <w:r w:rsidR="00742CAE">
        <w:t xml:space="preserve">an deze </w:t>
      </w:r>
      <w:r w:rsidR="002F146D">
        <w:t xml:space="preserve">verplichtingen </w:t>
      </w:r>
      <w:r w:rsidR="00107428">
        <w:t>(</w:t>
      </w:r>
      <w:r w:rsidR="002F146D">
        <w:t>eind</w:t>
      </w:r>
      <w:r w:rsidR="00107428">
        <w:t>)</w:t>
      </w:r>
      <w:r w:rsidR="002F146D">
        <w:t>verantwoordelijk is.</w:t>
      </w:r>
      <w:r w:rsidR="00BA6D6F">
        <w:t xml:space="preserve"> </w:t>
      </w:r>
      <w:r w:rsidR="00107428">
        <w:t>Bij overeenkomst kan die (eind)verantwoordelijkheid niet worden verlegd.</w:t>
      </w:r>
      <w:r w:rsidR="00242BF1">
        <w:t xml:space="preserve"> Wel </w:t>
      </w:r>
      <w:r w:rsidR="00237BB0">
        <w:t xml:space="preserve">kan </w:t>
      </w:r>
      <w:r w:rsidR="002F146D">
        <w:t>een erkenninghouder voorbehoud</w:t>
      </w:r>
      <w:r w:rsidR="00237BB0">
        <w:t>en</w:t>
      </w:r>
      <w:r w:rsidR="002F146D">
        <w:t xml:space="preserve"> </w:t>
      </w:r>
      <w:r w:rsidR="00DC1C9D">
        <w:t>en</w:t>
      </w:r>
      <w:r w:rsidR="002F146D">
        <w:t xml:space="preserve"> verplichtingen </w:t>
      </w:r>
      <w:r w:rsidR="00042519">
        <w:t xml:space="preserve">contractueel </w:t>
      </w:r>
      <w:r w:rsidR="00742CAE">
        <w:t xml:space="preserve">met een lessee </w:t>
      </w:r>
      <w:r w:rsidR="00242BF1">
        <w:t>afspre</w:t>
      </w:r>
      <w:r w:rsidR="00237BB0">
        <w:t>ken</w:t>
      </w:r>
      <w:r w:rsidR="00742CAE">
        <w:t xml:space="preserve"> </w:t>
      </w:r>
      <w:r w:rsidR="00237BB0">
        <w:t xml:space="preserve">waardoor </w:t>
      </w:r>
      <w:r w:rsidR="00107428">
        <w:t>de erkenningho</w:t>
      </w:r>
      <w:r w:rsidR="00990AB4">
        <w:t>u</w:t>
      </w:r>
      <w:r w:rsidR="00107428">
        <w:t>de</w:t>
      </w:r>
      <w:r w:rsidR="00990AB4">
        <w:t>r</w:t>
      </w:r>
      <w:r w:rsidR="00107428">
        <w:t xml:space="preserve"> – in naam van de lessee - </w:t>
      </w:r>
      <w:r w:rsidR="00742CAE">
        <w:t>zorg zal dragen voor het voldoen aan de betreffende voertuigverplichting</w:t>
      </w:r>
      <w:r w:rsidR="00BA6D6F">
        <w:t xml:space="preserve">. </w:t>
      </w:r>
      <w:r w:rsidR="00242BF1">
        <w:t xml:space="preserve">Artikel 17 van het Ontwerpbesluit maakt mogelijk </w:t>
      </w:r>
      <w:r w:rsidR="00237BB0">
        <w:t xml:space="preserve">dat </w:t>
      </w:r>
      <w:r w:rsidR="00242BF1">
        <w:t xml:space="preserve">deze afspraken </w:t>
      </w:r>
      <w:r w:rsidR="00237BB0">
        <w:t xml:space="preserve">bekend worden gemaakt </w:t>
      </w:r>
      <w:r w:rsidR="00242BF1">
        <w:t xml:space="preserve">door een aantekening in het kentekenregister. </w:t>
      </w:r>
      <w:r w:rsidR="00742CAE">
        <w:t xml:space="preserve">Als </w:t>
      </w:r>
      <w:r w:rsidR="00107428">
        <w:t xml:space="preserve">aan </w:t>
      </w:r>
      <w:r w:rsidR="00BA6D6F">
        <w:t xml:space="preserve">een van de voertuigverplichtingen </w:t>
      </w:r>
      <w:r w:rsidR="00742CAE">
        <w:t>niet wordt voldaan, zal de bevoegde instantie uiteindelijk altijd de houder van het voertuig aanschrijven</w:t>
      </w:r>
      <w:r w:rsidR="00BA6D6F">
        <w:t xml:space="preserve"> omdat die persoon </w:t>
      </w:r>
      <w:r w:rsidR="00485DC3">
        <w:t>daarvoor in de wet is aangewezen</w:t>
      </w:r>
      <w:r w:rsidR="00742CAE">
        <w:t>.</w:t>
      </w:r>
      <w:r w:rsidR="00BA6D6F">
        <w:t xml:space="preserve"> </w:t>
      </w:r>
    </w:p>
    <w:p w:rsidRPr="00E10169" w:rsidR="00E10169" w:rsidRDefault="00E10169" w14:paraId="104EF8AF" w14:textId="77777777"/>
    <w:p w:rsidR="007147F1" w:rsidRDefault="007147F1" w14:paraId="36E6EF71" w14:textId="77777777">
      <w:pPr>
        <w:spacing w:line="240" w:lineRule="auto"/>
        <w:rPr>
          <w:i/>
          <w:iCs/>
        </w:rPr>
      </w:pPr>
      <w:r>
        <w:rPr>
          <w:i/>
          <w:iCs/>
        </w:rPr>
        <w:br w:type="page"/>
      </w:r>
    </w:p>
    <w:p w:rsidR="00E10169" w:rsidRDefault="00E10169" w14:paraId="64CC9A9F" w14:textId="7149CA68">
      <w:pPr>
        <w:rPr>
          <w:i/>
          <w:iCs/>
        </w:rPr>
      </w:pPr>
      <w:r>
        <w:rPr>
          <w:i/>
          <w:iCs/>
        </w:rPr>
        <w:t>Vraag 5</w:t>
      </w:r>
    </w:p>
    <w:p w:rsidR="00E10169" w:rsidRDefault="00E10169" w14:paraId="7F196AC4" w14:textId="793F6F91">
      <w:pPr>
        <w:rPr>
          <w:i/>
          <w:iCs/>
        </w:rPr>
      </w:pPr>
      <w:r>
        <w:rPr>
          <w:i/>
          <w:iCs/>
        </w:rPr>
        <w:t>De leden van de PVV-fractie vragen of het detailniveau van enkele punten in Ontwerpbesluit wel recht doet aan de snelheid waarmee de sector ontwikkeld en of het systeem daarmee wendbaar genoeg is.</w:t>
      </w:r>
    </w:p>
    <w:p w:rsidRPr="00E10169" w:rsidR="00E10169" w:rsidRDefault="00E10169" w14:paraId="77B61C12" w14:textId="77777777"/>
    <w:p w:rsidR="008B7072" w:rsidRDefault="000D765A" w14:paraId="734F04CF" w14:textId="41D3E202">
      <w:r>
        <w:t xml:space="preserve">Zoals in de nota van toelichting is opgenomen is bij het opstellen van het Besluit erkenningen wegverkeer </w:t>
      </w:r>
      <w:r w:rsidR="00107428">
        <w:t xml:space="preserve">als uitgangspunt gehanteerd </w:t>
      </w:r>
      <w:r>
        <w:t xml:space="preserve">dat de regelgeving binnen de wettelijke kaders en in overeenstemming met de Aanwijzingen voor de regelgeving op een zo laag mogelijk niveau uitgewerkt </w:t>
      </w:r>
      <w:r w:rsidR="00107428">
        <w:t>wordt</w:t>
      </w:r>
      <w:r>
        <w:t xml:space="preserve"> om daarmee zoveel mogelijk flexibiliteit in te bouwen. Dat heeft ertoe geleid dat de erkenningen zelf in het B</w:t>
      </w:r>
      <w:r w:rsidR="00D257E3">
        <w:t xml:space="preserve">esluit erkenningen wegverkeer </w:t>
      </w:r>
      <w:r>
        <w:t xml:space="preserve">worden geregeld en de eisen en voorwaarden die aan de erkenningen en bevoegdheden worden gesteld, zijn gedelegeerd naar ministeriële regeling. </w:t>
      </w:r>
    </w:p>
    <w:p w:rsidR="00D257E3" w:rsidRDefault="00D257E3" w14:paraId="2618E6E7" w14:textId="77777777"/>
    <w:p w:rsidR="000D765A" w:rsidRDefault="008B7072" w14:paraId="27BADC14" w14:textId="61F77D77">
      <w:r>
        <w:t xml:space="preserve">Dit uitgangspunt heeft overigens alleen betrekking op het erkenningenstelsel. De bestaande </w:t>
      </w:r>
      <w:r w:rsidR="00D257E3">
        <w:t>aanpalende AMvB’s</w:t>
      </w:r>
      <w:r>
        <w:t xml:space="preserve"> word</w:t>
      </w:r>
      <w:r w:rsidR="002F146D">
        <w:t>en</w:t>
      </w:r>
      <w:r>
        <w:t xml:space="preserve"> niet volledig herzien, maar alleen aangepast op het nieuwe erkenningenstelsel. Dit betreft onder andere de wijzigingen in het Kentekenreglement. Een volledige herziening van deze aanpalende AMvB’s - waarbij dan ook onderwerpen aan de orde zouden komen die niet aan de erkenningen gerelateerd zijn - valt buiten de reikwijdte van </w:t>
      </w:r>
      <w:r w:rsidR="00D257E3">
        <w:t xml:space="preserve">de modernisering van </w:t>
      </w:r>
      <w:r>
        <w:t xml:space="preserve">het </w:t>
      </w:r>
      <w:r w:rsidR="00D257E3">
        <w:t>erkenningenstelsel</w:t>
      </w:r>
      <w:r w:rsidR="002F146D">
        <w:t xml:space="preserve"> en zou significant meer tijd in beslag nemen</w:t>
      </w:r>
      <w:r>
        <w:t xml:space="preserve">.  </w:t>
      </w:r>
    </w:p>
    <w:p w:rsidRPr="00E10169" w:rsidR="00472098" w:rsidRDefault="00472098" w14:paraId="25672EF3" w14:textId="77777777"/>
    <w:p w:rsidRPr="00E10169" w:rsidR="0074017E" w:rsidRDefault="00E10169" w14:paraId="5B8CBEA6" w14:textId="58E97589">
      <w:pPr>
        <w:rPr>
          <w:b/>
          <w:bCs/>
        </w:rPr>
      </w:pPr>
      <w:r w:rsidRPr="00E10169">
        <w:rPr>
          <w:b/>
          <w:bCs/>
        </w:rPr>
        <w:t>VVD-fractie</w:t>
      </w:r>
    </w:p>
    <w:p w:rsidR="00E10169" w:rsidRDefault="00E10169" w14:paraId="606F4B4F" w14:textId="77777777">
      <w:pPr>
        <w:rPr>
          <w:i/>
          <w:iCs/>
        </w:rPr>
      </w:pPr>
    </w:p>
    <w:p w:rsidR="00E10169" w:rsidRDefault="00E10169" w14:paraId="74B80A44" w14:textId="17B95BC7">
      <w:pPr>
        <w:rPr>
          <w:i/>
          <w:iCs/>
        </w:rPr>
      </w:pPr>
      <w:r>
        <w:rPr>
          <w:i/>
          <w:iCs/>
        </w:rPr>
        <w:t>Vraag 6</w:t>
      </w:r>
    </w:p>
    <w:p w:rsidR="00E10169" w:rsidRDefault="00E10169" w14:paraId="2B8A27C5" w14:textId="17D6CAC3">
      <w:pPr>
        <w:rPr>
          <w:i/>
          <w:iCs/>
        </w:rPr>
      </w:pPr>
      <w:r>
        <w:rPr>
          <w:i/>
          <w:iCs/>
        </w:rPr>
        <w:t>De leden van de VVD-fractie vragen of de minister garanties kan geven over de invoeringsdatum van 1 juli 2025.</w:t>
      </w:r>
    </w:p>
    <w:p w:rsidRPr="00E10169" w:rsidR="00E10169" w:rsidRDefault="00E10169" w14:paraId="36A322C0" w14:textId="77777777"/>
    <w:p w:rsidR="00E10169" w:rsidRDefault="005E78F1" w14:paraId="343BC6FA" w14:textId="3CE21BE3">
      <w:r>
        <w:t>H</w:t>
      </w:r>
      <w:r w:rsidR="00206BE5">
        <w:t xml:space="preserve">et Besluit erkenningen wegverkeer </w:t>
      </w:r>
      <w:r>
        <w:t xml:space="preserve">zal na afronding van de kamerbehandeling </w:t>
      </w:r>
      <w:r w:rsidR="00206BE5">
        <w:t xml:space="preserve">voor advies naar de Raad van State </w:t>
      </w:r>
      <w:r>
        <w:t>worden gestuurd</w:t>
      </w:r>
      <w:r w:rsidR="00206BE5">
        <w:t xml:space="preserve">. </w:t>
      </w:r>
      <w:r w:rsidR="00D22AB6">
        <w:t xml:space="preserve">Het advies wordt in het voorjaar verwacht. Daarna </w:t>
      </w:r>
      <w:r w:rsidR="00322DD9">
        <w:t xml:space="preserve">wordt </w:t>
      </w:r>
      <w:r w:rsidR="00D22AB6">
        <w:t>het nader rapport als reactie op het advies worden opgesteld en zal het besluit via de voorportalen door de ministe</w:t>
      </w:r>
      <w:r w:rsidR="00EF2109">
        <w:t>r</w:t>
      </w:r>
      <w:r w:rsidR="00D22AB6">
        <w:t>raad kunnen worden vastgesteld.</w:t>
      </w:r>
      <w:r w:rsidR="00330391">
        <w:t xml:space="preserve"> Dat zal naar verwachting voor de zomer 2025 zijn.</w:t>
      </w:r>
    </w:p>
    <w:p w:rsidR="00D257E3" w:rsidP="005E78F1" w:rsidRDefault="00D257E3" w14:paraId="55B371C1" w14:textId="77777777"/>
    <w:p w:rsidR="005E78F1" w:rsidP="005E78F1" w:rsidRDefault="00322DD9" w14:paraId="413C3E7F" w14:textId="1A4B8CBE">
      <w:r>
        <w:t xml:space="preserve">Er </w:t>
      </w:r>
      <w:r w:rsidR="00D22AB6">
        <w:t>wordt nu aan de Regeling erkenningen wegverkeer gewerkt waarin het Besluit verder wordt uitgewerkt.</w:t>
      </w:r>
      <w:r w:rsidR="00107428">
        <w:t xml:space="preserve"> </w:t>
      </w:r>
      <w:r w:rsidR="00D22AB6">
        <w:t xml:space="preserve">Het gaat hierbij om acht regelingen die worden samengevoegd in één regeling. </w:t>
      </w:r>
      <w:r>
        <w:t>D</w:t>
      </w:r>
      <w:r w:rsidR="00330391">
        <w:t xml:space="preserve">e huidige Regeling erkenning bedrijfsvoorraad </w:t>
      </w:r>
      <w:r>
        <w:t xml:space="preserve">bevat </w:t>
      </w:r>
      <w:r w:rsidR="00D22AB6">
        <w:t>vier bevoegdheden (inschrijven, export, demontage en tenaamstellen) die verbonden kunnen worden aan de erkenning bedrijfsvoorraad</w:t>
      </w:r>
      <w:r w:rsidR="00330391">
        <w:t xml:space="preserve"> en die worden omgezet naar </w:t>
      </w:r>
      <w:r w:rsidR="00D22AB6">
        <w:t>aparte erkenningen.</w:t>
      </w:r>
      <w:r w:rsidR="00330391">
        <w:t xml:space="preserve"> Daarvoor </w:t>
      </w:r>
      <w:r>
        <w:t xml:space="preserve">worden </w:t>
      </w:r>
      <w:r w:rsidR="005E78F1">
        <w:t xml:space="preserve">in de regeling </w:t>
      </w:r>
      <w:r w:rsidR="00330391">
        <w:t>nieuwe regels opgesteld.</w:t>
      </w:r>
      <w:r w:rsidR="00D22AB6">
        <w:t xml:space="preserve"> Verder worden de </w:t>
      </w:r>
      <w:r w:rsidR="005E78F1">
        <w:t xml:space="preserve">nieuwe </w:t>
      </w:r>
      <w:r w:rsidR="00D22AB6">
        <w:t xml:space="preserve">erkenning handelaarskentekens en de </w:t>
      </w:r>
      <w:r w:rsidR="005E78F1">
        <w:t xml:space="preserve">nieuwe </w:t>
      </w:r>
      <w:r w:rsidR="00D22AB6">
        <w:t xml:space="preserve">erkenning voorbehoud en verplichtingen geïntroduceerd </w:t>
      </w:r>
      <w:r w:rsidR="005E78F1">
        <w:t xml:space="preserve">waarvoor ook nieuwe regels worden opgesteld </w:t>
      </w:r>
      <w:r w:rsidR="00D22AB6">
        <w:t xml:space="preserve">en moet de Regeling tachografen worden aangepast. </w:t>
      </w:r>
      <w:r w:rsidR="005E78F1">
        <w:t>Hier overheen moet een moderniseringsslag worden gemaakt</w:t>
      </w:r>
      <w:r w:rsidR="00DC1C9D">
        <w:t xml:space="preserve"> en moet de aanpalende regelgeving in lijn worden gebracht met de regels voor het nieuwe erkenningenstelsel. </w:t>
      </w:r>
      <w:r w:rsidR="005E78F1">
        <w:t xml:space="preserve">Al met al is dit een </w:t>
      </w:r>
      <w:r w:rsidR="00D22AB6">
        <w:t xml:space="preserve">omvangrijk </w:t>
      </w:r>
      <w:r w:rsidR="007228DA">
        <w:t xml:space="preserve">en complex </w:t>
      </w:r>
      <w:r w:rsidR="005E78F1">
        <w:t xml:space="preserve">wetgevingsproject dat </w:t>
      </w:r>
      <w:r w:rsidR="00D22AB6">
        <w:t xml:space="preserve">met de nodige zorgvuldigheid </w:t>
      </w:r>
      <w:r w:rsidR="005E78F1">
        <w:t xml:space="preserve">moet </w:t>
      </w:r>
      <w:r w:rsidR="00D22AB6">
        <w:t xml:space="preserve">worden </w:t>
      </w:r>
      <w:r w:rsidR="005E78F1">
        <w:t>uitgevoerd.</w:t>
      </w:r>
      <w:r w:rsidR="00D22AB6">
        <w:t xml:space="preserve"> </w:t>
      </w:r>
      <w:r w:rsidR="00060EED">
        <w:t>Mede d</w:t>
      </w:r>
      <w:r w:rsidR="007228DA">
        <w:t>aardoor is de beoogde inwerkingtredingsdatum inmiddels verschoven naar 1 januari 2026.</w:t>
      </w:r>
    </w:p>
    <w:p w:rsidR="00D22AB6" w:rsidRDefault="00D22AB6" w14:paraId="31AE952D" w14:textId="0C28E61C"/>
    <w:p w:rsidR="00E10169" w:rsidP="007147F1" w:rsidRDefault="00E10169" w14:paraId="5803CA72" w14:textId="50AC1F1C">
      <w:pPr>
        <w:keepNext/>
        <w:keepLines/>
        <w:rPr>
          <w:i/>
          <w:iCs/>
        </w:rPr>
      </w:pPr>
      <w:r>
        <w:rPr>
          <w:i/>
          <w:iCs/>
        </w:rPr>
        <w:t>Vraag 7</w:t>
      </w:r>
    </w:p>
    <w:p w:rsidR="00E10169" w:rsidP="007147F1" w:rsidRDefault="00E10169" w14:paraId="7028A0E8" w14:textId="3E030774">
      <w:pPr>
        <w:keepNext/>
        <w:keepLines/>
        <w:rPr>
          <w:i/>
          <w:iCs/>
        </w:rPr>
      </w:pPr>
      <w:r>
        <w:rPr>
          <w:i/>
          <w:iCs/>
        </w:rPr>
        <w:t xml:space="preserve">De leden van de VVD-fractie vragen hoe de branche bij de verdere uitwerking van de specifieke erkenningsregelingen, bijvoorbeeld in </w:t>
      </w:r>
      <w:r w:rsidR="00990AB4">
        <w:rPr>
          <w:i/>
          <w:iCs/>
        </w:rPr>
        <w:t xml:space="preserve">een </w:t>
      </w:r>
      <w:r>
        <w:rPr>
          <w:i/>
          <w:iCs/>
        </w:rPr>
        <w:t>ministeriële regeling, betrokken zal worden.</w:t>
      </w:r>
    </w:p>
    <w:p w:rsidR="00E10169" w:rsidRDefault="00E10169" w14:paraId="3A3E14B5" w14:textId="48502460"/>
    <w:p w:rsidRPr="00E10169" w:rsidR="00E10169" w:rsidRDefault="007228DA" w14:paraId="4D8F017A" w14:textId="677FED41">
      <w:r>
        <w:t>De branchepartijen zijn en worden onder meer via informatiesessies betrokken bij het uitwerken van de Regeling erkenningen wegverkeer</w:t>
      </w:r>
      <w:r w:rsidR="00CE45AB">
        <w:t>. Hierbij is ook voorafgaand aan de internetconsultatie al gelegenheid voor de branche om input te leveren.</w:t>
      </w:r>
      <w:r w:rsidR="00060EED">
        <w:t xml:space="preserve"> </w:t>
      </w:r>
    </w:p>
    <w:sectPr w:rsidRPr="00E10169" w:rsidR="00E1016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09CE" w14:textId="77777777" w:rsidR="0028665B" w:rsidRDefault="0028665B">
      <w:pPr>
        <w:spacing w:line="240" w:lineRule="auto"/>
      </w:pPr>
      <w:r>
        <w:separator/>
      </w:r>
    </w:p>
  </w:endnote>
  <w:endnote w:type="continuationSeparator" w:id="0">
    <w:p w14:paraId="590B5197" w14:textId="77777777" w:rsidR="0028665B" w:rsidRDefault="00286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F568" w14:textId="77777777" w:rsidR="00D97654" w:rsidRDefault="00D97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883D" w14:textId="77777777" w:rsidR="00D97654" w:rsidRDefault="00D97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9B77" w14:textId="77777777" w:rsidR="00D97654" w:rsidRDefault="00D97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85FC3" w14:textId="77777777" w:rsidR="0028665B" w:rsidRDefault="0028665B">
      <w:pPr>
        <w:spacing w:line="240" w:lineRule="auto"/>
      </w:pPr>
      <w:r>
        <w:separator/>
      </w:r>
    </w:p>
  </w:footnote>
  <w:footnote w:type="continuationSeparator" w:id="0">
    <w:p w14:paraId="0E2D88AE" w14:textId="77777777" w:rsidR="0028665B" w:rsidRDefault="0028665B">
      <w:pPr>
        <w:spacing w:line="240" w:lineRule="auto"/>
      </w:pPr>
      <w:r>
        <w:continuationSeparator/>
      </w:r>
    </w:p>
  </w:footnote>
  <w:footnote w:id="1">
    <w:p w14:paraId="07600307" w14:textId="2C327CF6" w:rsidR="009C0637" w:rsidRPr="007A0721" w:rsidRDefault="009C0637" w:rsidP="009C0637">
      <w:pPr>
        <w:pStyle w:val="FootnoteText"/>
        <w:rPr>
          <w:sz w:val="16"/>
          <w:szCs w:val="16"/>
        </w:rPr>
      </w:pPr>
      <w:r w:rsidRPr="007A0721">
        <w:rPr>
          <w:rStyle w:val="FootnoteReference"/>
          <w:sz w:val="16"/>
          <w:szCs w:val="16"/>
        </w:rPr>
        <w:footnoteRef/>
      </w:r>
      <w:r w:rsidRPr="007A0721">
        <w:rPr>
          <w:sz w:val="16"/>
          <w:szCs w:val="16"/>
        </w:rPr>
        <w:t xml:space="preserve"> Kamerstukken II 2021/22, 36164, nr. 3, p.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3E85" w14:textId="77777777" w:rsidR="00D97654" w:rsidRDefault="00D97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A5D7" w14:textId="77777777" w:rsidR="008B548A" w:rsidRDefault="00E63067">
    <w:r>
      <w:rPr>
        <w:noProof/>
        <w:lang w:val="en-GB" w:eastAsia="en-GB"/>
      </w:rPr>
      <mc:AlternateContent>
        <mc:Choice Requires="wps">
          <w:drawing>
            <wp:anchor distT="0" distB="0" distL="0" distR="0" simplePos="0" relativeHeight="251651584" behindDoc="0" locked="1" layoutInCell="1" allowOverlap="1" wp14:anchorId="07F7B1E1" wp14:editId="446FA6E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788E55A" w14:textId="77777777" w:rsidR="008B548A" w:rsidRDefault="00E63067">
                          <w:pPr>
                            <w:pStyle w:val="AfzendgegevensKop0"/>
                          </w:pPr>
                          <w:r>
                            <w:t>Ministerie van Infrastructuur en Waterstaat</w:t>
                          </w:r>
                        </w:p>
                        <w:p w14:paraId="304CB028" w14:textId="77777777" w:rsidR="00345FFE" w:rsidRDefault="00345FFE" w:rsidP="00345FFE"/>
                        <w:p w14:paraId="5E3AA573" w14:textId="77777777" w:rsidR="00345FFE" w:rsidRPr="00345FFE" w:rsidRDefault="00345FFE" w:rsidP="007147F1">
                          <w:pPr>
                            <w:spacing w:line="276" w:lineRule="auto"/>
                            <w:rPr>
                              <w:b/>
                              <w:bCs/>
                              <w:sz w:val="13"/>
                              <w:szCs w:val="13"/>
                            </w:rPr>
                          </w:pPr>
                          <w:r w:rsidRPr="00345FFE">
                            <w:rPr>
                              <w:b/>
                              <w:bCs/>
                              <w:sz w:val="13"/>
                              <w:szCs w:val="13"/>
                            </w:rPr>
                            <w:t>Kenmerk:</w:t>
                          </w:r>
                        </w:p>
                        <w:p w14:paraId="0AEA1C93" w14:textId="77777777" w:rsidR="00345FFE" w:rsidRPr="00345FFE" w:rsidRDefault="00345FFE" w:rsidP="007147F1">
                          <w:pPr>
                            <w:spacing w:line="276" w:lineRule="auto"/>
                            <w:rPr>
                              <w:sz w:val="13"/>
                              <w:szCs w:val="13"/>
                            </w:rPr>
                          </w:pPr>
                          <w:r w:rsidRPr="00345FFE">
                            <w:rPr>
                              <w:sz w:val="13"/>
                              <w:szCs w:val="13"/>
                            </w:rPr>
                            <w:t>IENW/BSK-2024/361042</w:t>
                          </w:r>
                        </w:p>
                        <w:p w14:paraId="1391DF92" w14:textId="77777777" w:rsidR="00345FFE" w:rsidRPr="00345FFE" w:rsidRDefault="00345FFE" w:rsidP="00345FFE"/>
                      </w:txbxContent>
                    </wps:txbx>
                    <wps:bodyPr vert="horz" wrap="square" lIns="0" tIns="0" rIns="0" bIns="0" anchor="t" anchorCtr="0"/>
                  </wps:wsp>
                </a:graphicData>
              </a:graphic>
            </wp:anchor>
          </w:drawing>
        </mc:Choice>
        <mc:Fallback>
          <w:pict>
            <v:shapetype w14:anchorId="07F7B1E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788E55A" w14:textId="77777777" w:rsidR="008B548A" w:rsidRDefault="00E63067">
                    <w:pPr>
                      <w:pStyle w:val="AfzendgegevensKop0"/>
                    </w:pPr>
                    <w:r>
                      <w:t>Ministerie van Infrastructuur en Waterstaat</w:t>
                    </w:r>
                  </w:p>
                  <w:p w14:paraId="304CB028" w14:textId="77777777" w:rsidR="00345FFE" w:rsidRDefault="00345FFE" w:rsidP="00345FFE"/>
                  <w:p w14:paraId="5E3AA573" w14:textId="77777777" w:rsidR="00345FFE" w:rsidRPr="00345FFE" w:rsidRDefault="00345FFE" w:rsidP="007147F1">
                    <w:pPr>
                      <w:spacing w:line="276" w:lineRule="auto"/>
                      <w:rPr>
                        <w:b/>
                        <w:bCs/>
                        <w:sz w:val="13"/>
                        <w:szCs w:val="13"/>
                      </w:rPr>
                    </w:pPr>
                    <w:r w:rsidRPr="00345FFE">
                      <w:rPr>
                        <w:b/>
                        <w:bCs/>
                        <w:sz w:val="13"/>
                        <w:szCs w:val="13"/>
                      </w:rPr>
                      <w:t>Kenmerk:</w:t>
                    </w:r>
                  </w:p>
                  <w:p w14:paraId="0AEA1C93" w14:textId="77777777" w:rsidR="00345FFE" w:rsidRPr="00345FFE" w:rsidRDefault="00345FFE" w:rsidP="007147F1">
                    <w:pPr>
                      <w:spacing w:line="276" w:lineRule="auto"/>
                      <w:rPr>
                        <w:sz w:val="13"/>
                        <w:szCs w:val="13"/>
                      </w:rPr>
                    </w:pPr>
                    <w:r w:rsidRPr="00345FFE">
                      <w:rPr>
                        <w:sz w:val="13"/>
                        <w:szCs w:val="13"/>
                      </w:rPr>
                      <w:t>IENW/BSK-2024/361042</w:t>
                    </w:r>
                  </w:p>
                  <w:p w14:paraId="1391DF92" w14:textId="77777777" w:rsidR="00345FFE" w:rsidRPr="00345FFE" w:rsidRDefault="00345FFE" w:rsidP="00345FF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A62FC86" wp14:editId="127E5A9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071DDD" w14:textId="77777777" w:rsidR="008B548A" w:rsidRDefault="00E63067">
                          <w:pPr>
                            <w:pStyle w:val="Referentiegegevens"/>
                          </w:pPr>
                          <w:r>
                            <w:t xml:space="preserve">Pagina </w:t>
                          </w:r>
                          <w:r>
                            <w:fldChar w:fldCharType="begin"/>
                          </w:r>
                          <w:r>
                            <w:instrText>PAGE</w:instrText>
                          </w:r>
                          <w:r>
                            <w:fldChar w:fldCharType="separate"/>
                          </w:r>
                          <w:r w:rsidR="00F07478">
                            <w:rPr>
                              <w:noProof/>
                            </w:rPr>
                            <w:t>1</w:t>
                          </w:r>
                          <w:r>
                            <w:fldChar w:fldCharType="end"/>
                          </w:r>
                          <w:r>
                            <w:t xml:space="preserve"> van </w:t>
                          </w:r>
                          <w:r>
                            <w:fldChar w:fldCharType="begin"/>
                          </w:r>
                          <w:r>
                            <w:instrText>NUMPAGES</w:instrText>
                          </w:r>
                          <w:r>
                            <w:fldChar w:fldCharType="separate"/>
                          </w:r>
                          <w:r w:rsidR="00F07478">
                            <w:rPr>
                              <w:noProof/>
                            </w:rPr>
                            <w:t>1</w:t>
                          </w:r>
                          <w:r>
                            <w:fldChar w:fldCharType="end"/>
                          </w:r>
                        </w:p>
                      </w:txbxContent>
                    </wps:txbx>
                    <wps:bodyPr vert="horz" wrap="square" lIns="0" tIns="0" rIns="0" bIns="0" anchor="t" anchorCtr="0"/>
                  </wps:wsp>
                </a:graphicData>
              </a:graphic>
            </wp:anchor>
          </w:drawing>
        </mc:Choice>
        <mc:Fallback>
          <w:pict>
            <v:shape w14:anchorId="0A62FC8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E071DDD" w14:textId="77777777" w:rsidR="008B548A" w:rsidRDefault="00E63067">
                    <w:pPr>
                      <w:pStyle w:val="Referentiegegevens"/>
                    </w:pPr>
                    <w:r>
                      <w:t xml:space="preserve">Pagina </w:t>
                    </w:r>
                    <w:r>
                      <w:fldChar w:fldCharType="begin"/>
                    </w:r>
                    <w:r>
                      <w:instrText>PAGE</w:instrText>
                    </w:r>
                    <w:r>
                      <w:fldChar w:fldCharType="separate"/>
                    </w:r>
                    <w:r w:rsidR="00F07478">
                      <w:rPr>
                        <w:noProof/>
                      </w:rPr>
                      <w:t>1</w:t>
                    </w:r>
                    <w:r>
                      <w:fldChar w:fldCharType="end"/>
                    </w:r>
                    <w:r>
                      <w:t xml:space="preserve"> van </w:t>
                    </w:r>
                    <w:r>
                      <w:fldChar w:fldCharType="begin"/>
                    </w:r>
                    <w:r>
                      <w:instrText>NUMPAGES</w:instrText>
                    </w:r>
                    <w:r>
                      <w:fldChar w:fldCharType="separate"/>
                    </w:r>
                    <w:r w:rsidR="00F0747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4668916" wp14:editId="3CA5BAE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2C1CF3F" w14:textId="77777777" w:rsidR="00E63067" w:rsidRDefault="00E63067"/>
                      </w:txbxContent>
                    </wps:txbx>
                    <wps:bodyPr vert="horz" wrap="square" lIns="0" tIns="0" rIns="0" bIns="0" anchor="t" anchorCtr="0"/>
                  </wps:wsp>
                </a:graphicData>
              </a:graphic>
            </wp:anchor>
          </w:drawing>
        </mc:Choice>
        <mc:Fallback>
          <w:pict>
            <v:shape w14:anchorId="1466891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2C1CF3F" w14:textId="77777777" w:rsidR="00E63067" w:rsidRDefault="00E6306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CFF11D2" wp14:editId="205B751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47B0061" w14:textId="77777777" w:rsidR="00E63067" w:rsidRDefault="00E63067"/>
                      </w:txbxContent>
                    </wps:txbx>
                    <wps:bodyPr vert="horz" wrap="square" lIns="0" tIns="0" rIns="0" bIns="0" anchor="t" anchorCtr="0"/>
                  </wps:wsp>
                </a:graphicData>
              </a:graphic>
            </wp:anchor>
          </w:drawing>
        </mc:Choice>
        <mc:Fallback>
          <w:pict>
            <v:shape w14:anchorId="3CFF11D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47B0061" w14:textId="77777777" w:rsidR="00E63067" w:rsidRDefault="00E6306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FE6A" w14:textId="77777777" w:rsidR="008B548A" w:rsidRDefault="00E6306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FA7B7FD" wp14:editId="104A4D7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736888" w14:textId="77777777" w:rsidR="00E63067" w:rsidRDefault="00E63067"/>
                      </w:txbxContent>
                    </wps:txbx>
                    <wps:bodyPr vert="horz" wrap="square" lIns="0" tIns="0" rIns="0" bIns="0" anchor="t" anchorCtr="0"/>
                  </wps:wsp>
                </a:graphicData>
              </a:graphic>
            </wp:anchor>
          </w:drawing>
        </mc:Choice>
        <mc:Fallback>
          <w:pict>
            <v:shapetype w14:anchorId="6FA7B7F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5736888" w14:textId="77777777" w:rsidR="00E63067" w:rsidRDefault="00E6306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D898427" wp14:editId="6F9F841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2E5D7E6" w14:textId="1135C591" w:rsidR="008B548A" w:rsidRDefault="00E63067">
                          <w:pPr>
                            <w:pStyle w:val="Referentiegegevens"/>
                          </w:pPr>
                          <w:r>
                            <w:t xml:space="preserve">Pagina </w:t>
                          </w:r>
                          <w:r>
                            <w:fldChar w:fldCharType="begin"/>
                          </w:r>
                          <w:r>
                            <w:instrText>PAGE</w:instrText>
                          </w:r>
                          <w:r>
                            <w:fldChar w:fldCharType="separate"/>
                          </w:r>
                          <w:r w:rsidR="00DE26CB">
                            <w:rPr>
                              <w:noProof/>
                            </w:rPr>
                            <w:t>1</w:t>
                          </w:r>
                          <w:r>
                            <w:fldChar w:fldCharType="end"/>
                          </w:r>
                          <w:r>
                            <w:t xml:space="preserve"> van </w:t>
                          </w:r>
                          <w:r>
                            <w:fldChar w:fldCharType="begin"/>
                          </w:r>
                          <w:r>
                            <w:instrText>NUMPAGES</w:instrText>
                          </w:r>
                          <w:r>
                            <w:fldChar w:fldCharType="separate"/>
                          </w:r>
                          <w:r w:rsidR="00DE26CB">
                            <w:rPr>
                              <w:noProof/>
                            </w:rPr>
                            <w:t>1</w:t>
                          </w:r>
                          <w:r>
                            <w:fldChar w:fldCharType="end"/>
                          </w:r>
                        </w:p>
                      </w:txbxContent>
                    </wps:txbx>
                    <wps:bodyPr vert="horz" wrap="square" lIns="0" tIns="0" rIns="0" bIns="0" anchor="t" anchorCtr="0"/>
                  </wps:wsp>
                </a:graphicData>
              </a:graphic>
            </wp:anchor>
          </w:drawing>
        </mc:Choice>
        <mc:Fallback>
          <w:pict>
            <v:shape w14:anchorId="0D89842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2E5D7E6" w14:textId="1135C591" w:rsidR="008B548A" w:rsidRDefault="00E63067">
                    <w:pPr>
                      <w:pStyle w:val="Referentiegegevens"/>
                    </w:pPr>
                    <w:r>
                      <w:t xml:space="preserve">Pagina </w:t>
                    </w:r>
                    <w:r>
                      <w:fldChar w:fldCharType="begin"/>
                    </w:r>
                    <w:r>
                      <w:instrText>PAGE</w:instrText>
                    </w:r>
                    <w:r>
                      <w:fldChar w:fldCharType="separate"/>
                    </w:r>
                    <w:r w:rsidR="00DE26CB">
                      <w:rPr>
                        <w:noProof/>
                      </w:rPr>
                      <w:t>1</w:t>
                    </w:r>
                    <w:r>
                      <w:fldChar w:fldCharType="end"/>
                    </w:r>
                    <w:r>
                      <w:t xml:space="preserve"> van </w:t>
                    </w:r>
                    <w:r>
                      <w:fldChar w:fldCharType="begin"/>
                    </w:r>
                    <w:r>
                      <w:instrText>NUMPAGES</w:instrText>
                    </w:r>
                    <w:r>
                      <w:fldChar w:fldCharType="separate"/>
                    </w:r>
                    <w:r w:rsidR="00DE26C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59A46FB" wp14:editId="1AA1FE0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96A8219" w14:textId="77777777" w:rsidR="008B548A" w:rsidRDefault="00E63067">
                          <w:pPr>
                            <w:pStyle w:val="AfzendgegevensKop0"/>
                          </w:pPr>
                          <w:r>
                            <w:t>Ministerie van Infrastructuur en Waterstaat</w:t>
                          </w:r>
                        </w:p>
                        <w:p w14:paraId="660DE547" w14:textId="77777777" w:rsidR="008B548A" w:rsidRDefault="008B548A">
                          <w:pPr>
                            <w:pStyle w:val="WitregelW1"/>
                          </w:pPr>
                        </w:p>
                        <w:p w14:paraId="3E21B9B9" w14:textId="77777777" w:rsidR="008B548A" w:rsidRDefault="00E63067">
                          <w:pPr>
                            <w:pStyle w:val="Afzendgegevens"/>
                          </w:pPr>
                          <w:r>
                            <w:t>Rijnstraat 8</w:t>
                          </w:r>
                        </w:p>
                        <w:p w14:paraId="2EDEBB62" w14:textId="77777777" w:rsidR="008B548A" w:rsidRPr="00F07478" w:rsidRDefault="00E63067">
                          <w:pPr>
                            <w:pStyle w:val="Afzendgegevens"/>
                            <w:rPr>
                              <w:lang w:val="de-DE"/>
                            </w:rPr>
                          </w:pPr>
                          <w:r w:rsidRPr="00F07478">
                            <w:rPr>
                              <w:lang w:val="de-DE"/>
                            </w:rPr>
                            <w:t>2515 XP  Den Haag</w:t>
                          </w:r>
                        </w:p>
                        <w:p w14:paraId="31C77BE3" w14:textId="77777777" w:rsidR="008B548A" w:rsidRPr="00F07478" w:rsidRDefault="00E63067">
                          <w:pPr>
                            <w:pStyle w:val="Afzendgegevens"/>
                            <w:rPr>
                              <w:lang w:val="de-DE"/>
                            </w:rPr>
                          </w:pPr>
                          <w:r w:rsidRPr="00F07478">
                            <w:rPr>
                              <w:lang w:val="de-DE"/>
                            </w:rPr>
                            <w:t>Postbus 20901</w:t>
                          </w:r>
                        </w:p>
                        <w:p w14:paraId="4CE892C6" w14:textId="77777777" w:rsidR="008B548A" w:rsidRPr="00F07478" w:rsidRDefault="00E63067">
                          <w:pPr>
                            <w:pStyle w:val="Afzendgegevens"/>
                            <w:rPr>
                              <w:lang w:val="de-DE"/>
                            </w:rPr>
                          </w:pPr>
                          <w:r w:rsidRPr="00F07478">
                            <w:rPr>
                              <w:lang w:val="de-DE"/>
                            </w:rPr>
                            <w:t>2500 EX Den Haag</w:t>
                          </w:r>
                        </w:p>
                        <w:p w14:paraId="11539192" w14:textId="77777777" w:rsidR="008B548A" w:rsidRPr="00F07478" w:rsidRDefault="008B548A">
                          <w:pPr>
                            <w:pStyle w:val="WitregelW1"/>
                            <w:rPr>
                              <w:lang w:val="de-DE"/>
                            </w:rPr>
                          </w:pPr>
                        </w:p>
                        <w:p w14:paraId="4E044722" w14:textId="77777777" w:rsidR="008B548A" w:rsidRPr="00F07478" w:rsidRDefault="00E63067">
                          <w:pPr>
                            <w:pStyle w:val="Afzendgegevens"/>
                            <w:rPr>
                              <w:lang w:val="de-DE"/>
                            </w:rPr>
                          </w:pPr>
                          <w:r w:rsidRPr="00F07478">
                            <w:rPr>
                              <w:lang w:val="de-DE"/>
                            </w:rPr>
                            <w:t>T   070-456 0000</w:t>
                          </w:r>
                        </w:p>
                        <w:p w14:paraId="1529CCEE" w14:textId="77777777" w:rsidR="008B548A" w:rsidRDefault="00E63067">
                          <w:pPr>
                            <w:pStyle w:val="Afzendgegevens"/>
                          </w:pPr>
                          <w:r>
                            <w:t>F   070-456 1111</w:t>
                          </w:r>
                        </w:p>
                        <w:p w14:paraId="6F012891" w14:textId="77777777" w:rsidR="00345FFE" w:rsidRPr="00D97654" w:rsidRDefault="00345FFE" w:rsidP="00D97654">
                          <w:pPr>
                            <w:spacing w:line="276" w:lineRule="auto"/>
                            <w:rPr>
                              <w:sz w:val="13"/>
                              <w:szCs w:val="13"/>
                            </w:rPr>
                          </w:pPr>
                        </w:p>
                        <w:p w14:paraId="786588A8" w14:textId="6A79865C" w:rsidR="00345FFE" w:rsidRPr="00D97654" w:rsidRDefault="00D97654" w:rsidP="00D97654">
                          <w:pPr>
                            <w:spacing w:line="276" w:lineRule="auto"/>
                            <w:rPr>
                              <w:b/>
                              <w:bCs/>
                              <w:sz w:val="13"/>
                              <w:szCs w:val="13"/>
                            </w:rPr>
                          </w:pPr>
                          <w:r>
                            <w:rPr>
                              <w:b/>
                              <w:bCs/>
                              <w:sz w:val="13"/>
                              <w:szCs w:val="13"/>
                            </w:rPr>
                            <w:t>Ons k</w:t>
                          </w:r>
                          <w:r w:rsidR="00345FFE" w:rsidRPr="00D97654">
                            <w:rPr>
                              <w:b/>
                              <w:bCs/>
                              <w:sz w:val="13"/>
                              <w:szCs w:val="13"/>
                            </w:rPr>
                            <w:t>enmerk</w:t>
                          </w:r>
                        </w:p>
                        <w:p w14:paraId="12A9D3B1" w14:textId="404E8058" w:rsidR="00345FFE" w:rsidRPr="00D97654" w:rsidRDefault="00345FFE" w:rsidP="00D97654">
                          <w:pPr>
                            <w:spacing w:line="276" w:lineRule="auto"/>
                            <w:rPr>
                              <w:sz w:val="13"/>
                              <w:szCs w:val="13"/>
                            </w:rPr>
                          </w:pPr>
                          <w:r w:rsidRPr="00D97654">
                            <w:rPr>
                              <w:sz w:val="13"/>
                              <w:szCs w:val="13"/>
                            </w:rPr>
                            <w:t>IENW/BSK-2024/361042</w:t>
                          </w:r>
                        </w:p>
                        <w:p w14:paraId="7FA77750" w14:textId="77777777" w:rsidR="008B548A" w:rsidRPr="00D97654" w:rsidRDefault="008B548A" w:rsidP="00D97654">
                          <w:pPr>
                            <w:pStyle w:val="WitregelW2"/>
                            <w:spacing w:line="276" w:lineRule="auto"/>
                            <w:rPr>
                              <w:sz w:val="13"/>
                              <w:szCs w:val="13"/>
                            </w:rPr>
                          </w:pPr>
                        </w:p>
                        <w:p w14:paraId="1D9BE271" w14:textId="31224C49" w:rsidR="00D97654" w:rsidRPr="00D97654" w:rsidRDefault="00D97654" w:rsidP="00D97654">
                          <w:pPr>
                            <w:spacing w:line="276" w:lineRule="auto"/>
                            <w:rPr>
                              <w:b/>
                              <w:bCs/>
                              <w:sz w:val="13"/>
                              <w:szCs w:val="13"/>
                            </w:rPr>
                          </w:pPr>
                          <w:r w:rsidRPr="00D97654">
                            <w:rPr>
                              <w:b/>
                              <w:bCs/>
                              <w:sz w:val="13"/>
                              <w:szCs w:val="13"/>
                            </w:rPr>
                            <w:t>Uw kenmerk</w:t>
                          </w:r>
                        </w:p>
                        <w:p w14:paraId="4875522B" w14:textId="2FEF049D" w:rsidR="00D97654" w:rsidRPr="00D97654" w:rsidRDefault="00D97654" w:rsidP="00D97654">
                          <w:pPr>
                            <w:spacing w:line="276" w:lineRule="auto"/>
                            <w:rPr>
                              <w:sz w:val="13"/>
                              <w:szCs w:val="13"/>
                            </w:rPr>
                          </w:pPr>
                          <w:r w:rsidRPr="00D97654">
                            <w:rPr>
                              <w:sz w:val="13"/>
                              <w:szCs w:val="13"/>
                            </w:rPr>
                            <w:t>29398-1134/2024D47768</w:t>
                          </w:r>
                        </w:p>
                        <w:p w14:paraId="51242A27" w14:textId="77777777" w:rsidR="00D97654" w:rsidRPr="00D97654" w:rsidRDefault="00D97654" w:rsidP="00D97654">
                          <w:pPr>
                            <w:spacing w:line="276" w:lineRule="auto"/>
                            <w:rPr>
                              <w:sz w:val="13"/>
                              <w:szCs w:val="13"/>
                            </w:rPr>
                          </w:pPr>
                        </w:p>
                        <w:p w14:paraId="56992262" w14:textId="77777777" w:rsidR="008B548A" w:rsidRPr="00D97654" w:rsidRDefault="00E63067" w:rsidP="00D97654">
                          <w:pPr>
                            <w:pStyle w:val="Referentiegegevenskop"/>
                            <w:spacing w:line="276" w:lineRule="auto"/>
                          </w:pPr>
                          <w:r w:rsidRPr="00D97654">
                            <w:t>Bijlage(n)</w:t>
                          </w:r>
                        </w:p>
                        <w:p w14:paraId="4BC90036" w14:textId="77777777" w:rsidR="008B548A" w:rsidRPr="00D97654" w:rsidRDefault="00E63067" w:rsidP="00D97654">
                          <w:pPr>
                            <w:pStyle w:val="Referentiegegevens"/>
                            <w:spacing w:line="276" w:lineRule="auto"/>
                          </w:pPr>
                          <w:r w:rsidRPr="00D97654">
                            <w:t>1</w:t>
                          </w:r>
                        </w:p>
                      </w:txbxContent>
                    </wps:txbx>
                    <wps:bodyPr vert="horz" wrap="square" lIns="0" tIns="0" rIns="0" bIns="0" anchor="t" anchorCtr="0"/>
                  </wps:wsp>
                </a:graphicData>
              </a:graphic>
            </wp:anchor>
          </w:drawing>
        </mc:Choice>
        <mc:Fallback>
          <w:pict>
            <v:shape w14:anchorId="559A46F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96A8219" w14:textId="77777777" w:rsidR="008B548A" w:rsidRDefault="00E63067">
                    <w:pPr>
                      <w:pStyle w:val="AfzendgegevensKop0"/>
                    </w:pPr>
                    <w:r>
                      <w:t>Ministerie van Infrastructuur en Waterstaat</w:t>
                    </w:r>
                  </w:p>
                  <w:p w14:paraId="660DE547" w14:textId="77777777" w:rsidR="008B548A" w:rsidRDefault="008B548A">
                    <w:pPr>
                      <w:pStyle w:val="WitregelW1"/>
                    </w:pPr>
                  </w:p>
                  <w:p w14:paraId="3E21B9B9" w14:textId="77777777" w:rsidR="008B548A" w:rsidRDefault="00E63067">
                    <w:pPr>
                      <w:pStyle w:val="Afzendgegevens"/>
                    </w:pPr>
                    <w:r>
                      <w:t>Rijnstraat 8</w:t>
                    </w:r>
                  </w:p>
                  <w:p w14:paraId="2EDEBB62" w14:textId="77777777" w:rsidR="008B548A" w:rsidRPr="00F07478" w:rsidRDefault="00E63067">
                    <w:pPr>
                      <w:pStyle w:val="Afzendgegevens"/>
                      <w:rPr>
                        <w:lang w:val="de-DE"/>
                      </w:rPr>
                    </w:pPr>
                    <w:r w:rsidRPr="00F07478">
                      <w:rPr>
                        <w:lang w:val="de-DE"/>
                      </w:rPr>
                      <w:t>2515 XP  Den Haag</w:t>
                    </w:r>
                  </w:p>
                  <w:p w14:paraId="31C77BE3" w14:textId="77777777" w:rsidR="008B548A" w:rsidRPr="00F07478" w:rsidRDefault="00E63067">
                    <w:pPr>
                      <w:pStyle w:val="Afzendgegevens"/>
                      <w:rPr>
                        <w:lang w:val="de-DE"/>
                      </w:rPr>
                    </w:pPr>
                    <w:r w:rsidRPr="00F07478">
                      <w:rPr>
                        <w:lang w:val="de-DE"/>
                      </w:rPr>
                      <w:t>Postbus 20901</w:t>
                    </w:r>
                  </w:p>
                  <w:p w14:paraId="4CE892C6" w14:textId="77777777" w:rsidR="008B548A" w:rsidRPr="00F07478" w:rsidRDefault="00E63067">
                    <w:pPr>
                      <w:pStyle w:val="Afzendgegevens"/>
                      <w:rPr>
                        <w:lang w:val="de-DE"/>
                      </w:rPr>
                    </w:pPr>
                    <w:r w:rsidRPr="00F07478">
                      <w:rPr>
                        <w:lang w:val="de-DE"/>
                      </w:rPr>
                      <w:t>2500 EX Den Haag</w:t>
                    </w:r>
                  </w:p>
                  <w:p w14:paraId="11539192" w14:textId="77777777" w:rsidR="008B548A" w:rsidRPr="00F07478" w:rsidRDefault="008B548A">
                    <w:pPr>
                      <w:pStyle w:val="WitregelW1"/>
                      <w:rPr>
                        <w:lang w:val="de-DE"/>
                      </w:rPr>
                    </w:pPr>
                  </w:p>
                  <w:p w14:paraId="4E044722" w14:textId="77777777" w:rsidR="008B548A" w:rsidRPr="00F07478" w:rsidRDefault="00E63067">
                    <w:pPr>
                      <w:pStyle w:val="Afzendgegevens"/>
                      <w:rPr>
                        <w:lang w:val="de-DE"/>
                      </w:rPr>
                    </w:pPr>
                    <w:r w:rsidRPr="00F07478">
                      <w:rPr>
                        <w:lang w:val="de-DE"/>
                      </w:rPr>
                      <w:t>T   070-456 0000</w:t>
                    </w:r>
                  </w:p>
                  <w:p w14:paraId="1529CCEE" w14:textId="77777777" w:rsidR="008B548A" w:rsidRDefault="00E63067">
                    <w:pPr>
                      <w:pStyle w:val="Afzendgegevens"/>
                    </w:pPr>
                    <w:r>
                      <w:t>F   070-456 1111</w:t>
                    </w:r>
                  </w:p>
                  <w:p w14:paraId="6F012891" w14:textId="77777777" w:rsidR="00345FFE" w:rsidRPr="00D97654" w:rsidRDefault="00345FFE" w:rsidP="00D97654">
                    <w:pPr>
                      <w:spacing w:line="276" w:lineRule="auto"/>
                      <w:rPr>
                        <w:sz w:val="13"/>
                        <w:szCs w:val="13"/>
                      </w:rPr>
                    </w:pPr>
                  </w:p>
                  <w:p w14:paraId="786588A8" w14:textId="6A79865C" w:rsidR="00345FFE" w:rsidRPr="00D97654" w:rsidRDefault="00D97654" w:rsidP="00D97654">
                    <w:pPr>
                      <w:spacing w:line="276" w:lineRule="auto"/>
                      <w:rPr>
                        <w:b/>
                        <w:bCs/>
                        <w:sz w:val="13"/>
                        <w:szCs w:val="13"/>
                      </w:rPr>
                    </w:pPr>
                    <w:r>
                      <w:rPr>
                        <w:b/>
                        <w:bCs/>
                        <w:sz w:val="13"/>
                        <w:szCs w:val="13"/>
                      </w:rPr>
                      <w:t>Ons k</w:t>
                    </w:r>
                    <w:r w:rsidR="00345FFE" w:rsidRPr="00D97654">
                      <w:rPr>
                        <w:b/>
                        <w:bCs/>
                        <w:sz w:val="13"/>
                        <w:szCs w:val="13"/>
                      </w:rPr>
                      <w:t>enmerk</w:t>
                    </w:r>
                  </w:p>
                  <w:p w14:paraId="12A9D3B1" w14:textId="404E8058" w:rsidR="00345FFE" w:rsidRPr="00D97654" w:rsidRDefault="00345FFE" w:rsidP="00D97654">
                    <w:pPr>
                      <w:spacing w:line="276" w:lineRule="auto"/>
                      <w:rPr>
                        <w:sz w:val="13"/>
                        <w:szCs w:val="13"/>
                      </w:rPr>
                    </w:pPr>
                    <w:r w:rsidRPr="00D97654">
                      <w:rPr>
                        <w:sz w:val="13"/>
                        <w:szCs w:val="13"/>
                      </w:rPr>
                      <w:t>IENW/BSK-2024/361042</w:t>
                    </w:r>
                  </w:p>
                  <w:p w14:paraId="7FA77750" w14:textId="77777777" w:rsidR="008B548A" w:rsidRPr="00D97654" w:rsidRDefault="008B548A" w:rsidP="00D97654">
                    <w:pPr>
                      <w:pStyle w:val="WitregelW2"/>
                      <w:spacing w:line="276" w:lineRule="auto"/>
                      <w:rPr>
                        <w:sz w:val="13"/>
                        <w:szCs w:val="13"/>
                      </w:rPr>
                    </w:pPr>
                  </w:p>
                  <w:p w14:paraId="1D9BE271" w14:textId="31224C49" w:rsidR="00D97654" w:rsidRPr="00D97654" w:rsidRDefault="00D97654" w:rsidP="00D97654">
                    <w:pPr>
                      <w:spacing w:line="276" w:lineRule="auto"/>
                      <w:rPr>
                        <w:b/>
                        <w:bCs/>
                        <w:sz w:val="13"/>
                        <w:szCs w:val="13"/>
                      </w:rPr>
                    </w:pPr>
                    <w:r w:rsidRPr="00D97654">
                      <w:rPr>
                        <w:b/>
                        <w:bCs/>
                        <w:sz w:val="13"/>
                        <w:szCs w:val="13"/>
                      </w:rPr>
                      <w:t>Uw kenmerk</w:t>
                    </w:r>
                  </w:p>
                  <w:p w14:paraId="4875522B" w14:textId="2FEF049D" w:rsidR="00D97654" w:rsidRPr="00D97654" w:rsidRDefault="00D97654" w:rsidP="00D97654">
                    <w:pPr>
                      <w:spacing w:line="276" w:lineRule="auto"/>
                      <w:rPr>
                        <w:sz w:val="13"/>
                        <w:szCs w:val="13"/>
                      </w:rPr>
                    </w:pPr>
                    <w:r w:rsidRPr="00D97654">
                      <w:rPr>
                        <w:sz w:val="13"/>
                        <w:szCs w:val="13"/>
                      </w:rPr>
                      <w:t>29398-1134/2024D47768</w:t>
                    </w:r>
                  </w:p>
                  <w:p w14:paraId="51242A27" w14:textId="77777777" w:rsidR="00D97654" w:rsidRPr="00D97654" w:rsidRDefault="00D97654" w:rsidP="00D97654">
                    <w:pPr>
                      <w:spacing w:line="276" w:lineRule="auto"/>
                      <w:rPr>
                        <w:sz w:val="13"/>
                        <w:szCs w:val="13"/>
                      </w:rPr>
                    </w:pPr>
                  </w:p>
                  <w:p w14:paraId="56992262" w14:textId="77777777" w:rsidR="008B548A" w:rsidRPr="00D97654" w:rsidRDefault="00E63067" w:rsidP="00D97654">
                    <w:pPr>
                      <w:pStyle w:val="Referentiegegevenskop"/>
                      <w:spacing w:line="276" w:lineRule="auto"/>
                    </w:pPr>
                    <w:r w:rsidRPr="00D97654">
                      <w:t>Bijlage(n)</w:t>
                    </w:r>
                  </w:p>
                  <w:p w14:paraId="4BC90036" w14:textId="77777777" w:rsidR="008B548A" w:rsidRPr="00D97654" w:rsidRDefault="00E63067" w:rsidP="00D97654">
                    <w:pPr>
                      <w:pStyle w:val="Referentiegegevens"/>
                      <w:spacing w:line="276" w:lineRule="auto"/>
                    </w:pPr>
                    <w:r w:rsidRPr="00D97654">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39BFDA8" wp14:editId="225EF41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667639C" w14:textId="77777777" w:rsidR="008B548A" w:rsidRDefault="00E63067">
                          <w:pPr>
                            <w:spacing w:line="240" w:lineRule="auto"/>
                          </w:pPr>
                          <w:r>
                            <w:rPr>
                              <w:noProof/>
                              <w:lang w:val="en-GB" w:eastAsia="en-GB"/>
                            </w:rPr>
                            <w:drawing>
                              <wp:inline distT="0" distB="0" distL="0" distR="0" wp14:anchorId="00D22CB3" wp14:editId="1A096FD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9BFDA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667639C" w14:textId="77777777" w:rsidR="008B548A" w:rsidRDefault="00E63067">
                    <w:pPr>
                      <w:spacing w:line="240" w:lineRule="auto"/>
                    </w:pPr>
                    <w:r>
                      <w:rPr>
                        <w:noProof/>
                        <w:lang w:val="en-GB" w:eastAsia="en-GB"/>
                      </w:rPr>
                      <w:drawing>
                        <wp:inline distT="0" distB="0" distL="0" distR="0" wp14:anchorId="00D22CB3" wp14:editId="1A096FD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FC60871" wp14:editId="5B3EAFD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BE6299" w14:textId="77777777" w:rsidR="008B548A" w:rsidRDefault="00E63067">
                          <w:pPr>
                            <w:spacing w:line="240" w:lineRule="auto"/>
                          </w:pPr>
                          <w:r>
                            <w:rPr>
                              <w:noProof/>
                              <w:lang w:val="en-GB" w:eastAsia="en-GB"/>
                            </w:rPr>
                            <w:drawing>
                              <wp:inline distT="0" distB="0" distL="0" distR="0" wp14:anchorId="7714A0BC" wp14:editId="6D674DE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C6087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2BE6299" w14:textId="77777777" w:rsidR="008B548A" w:rsidRDefault="00E63067">
                    <w:pPr>
                      <w:spacing w:line="240" w:lineRule="auto"/>
                    </w:pPr>
                    <w:r>
                      <w:rPr>
                        <w:noProof/>
                        <w:lang w:val="en-GB" w:eastAsia="en-GB"/>
                      </w:rPr>
                      <w:drawing>
                        <wp:inline distT="0" distB="0" distL="0" distR="0" wp14:anchorId="7714A0BC" wp14:editId="6D674DE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EECAE50" wp14:editId="28E7F96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1A7E390" w14:textId="77777777" w:rsidR="008B548A" w:rsidRDefault="00E6306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EECAE5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1A7E390" w14:textId="77777777" w:rsidR="008B548A" w:rsidRDefault="00E6306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6586D36" wp14:editId="6962ADA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9B0BBA2" w14:textId="77777777" w:rsidR="008B548A" w:rsidRDefault="00E6306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6586D3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9B0BBA2" w14:textId="77777777" w:rsidR="008B548A" w:rsidRDefault="00E6306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9AD7F65" wp14:editId="5FFD0C5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B548A" w14:paraId="6EA31E2F" w14:textId="77777777">
                            <w:trPr>
                              <w:trHeight w:val="200"/>
                            </w:trPr>
                            <w:tc>
                              <w:tcPr>
                                <w:tcW w:w="1140" w:type="dxa"/>
                              </w:tcPr>
                              <w:p w14:paraId="441C17A6" w14:textId="77777777" w:rsidR="008B548A" w:rsidRDefault="008B548A"/>
                            </w:tc>
                            <w:tc>
                              <w:tcPr>
                                <w:tcW w:w="5400" w:type="dxa"/>
                              </w:tcPr>
                              <w:p w14:paraId="04C40291" w14:textId="77777777" w:rsidR="008B548A" w:rsidRDefault="008B548A"/>
                            </w:tc>
                          </w:tr>
                          <w:tr w:rsidR="008B548A" w14:paraId="2C3DB145" w14:textId="77777777">
                            <w:trPr>
                              <w:trHeight w:val="240"/>
                            </w:trPr>
                            <w:tc>
                              <w:tcPr>
                                <w:tcW w:w="1140" w:type="dxa"/>
                              </w:tcPr>
                              <w:p w14:paraId="02C9E30B" w14:textId="77777777" w:rsidR="008B548A" w:rsidRDefault="00E63067">
                                <w:r>
                                  <w:t>Datum</w:t>
                                </w:r>
                              </w:p>
                            </w:tc>
                            <w:tc>
                              <w:tcPr>
                                <w:tcW w:w="5400" w:type="dxa"/>
                              </w:tcPr>
                              <w:p w14:paraId="1617DB1D" w14:textId="7ECD09BC" w:rsidR="008B548A" w:rsidRDefault="00D97654">
                                <w:r>
                                  <w:t>20 december 2024</w:t>
                                </w:r>
                              </w:p>
                            </w:tc>
                          </w:tr>
                          <w:tr w:rsidR="008B548A" w14:paraId="4DEEA350" w14:textId="77777777">
                            <w:trPr>
                              <w:trHeight w:val="240"/>
                            </w:trPr>
                            <w:tc>
                              <w:tcPr>
                                <w:tcW w:w="1140" w:type="dxa"/>
                              </w:tcPr>
                              <w:p w14:paraId="55C6645B" w14:textId="77777777" w:rsidR="008B548A" w:rsidRDefault="00E63067">
                                <w:r>
                                  <w:t>Betreft</w:t>
                                </w:r>
                              </w:p>
                            </w:tc>
                            <w:tc>
                              <w:tcPr>
                                <w:tcW w:w="5400" w:type="dxa"/>
                              </w:tcPr>
                              <w:p w14:paraId="3704CB0E" w14:textId="77777777" w:rsidR="008B548A" w:rsidRDefault="00E63067">
                                <w:r>
                                  <w:t>Reactie op vragen SO voorhang Ontwerpbesluit erkenningen wegverkeer</w:t>
                                </w:r>
                              </w:p>
                            </w:tc>
                          </w:tr>
                          <w:tr w:rsidR="008B548A" w14:paraId="160DC5B1" w14:textId="77777777">
                            <w:trPr>
                              <w:trHeight w:val="200"/>
                            </w:trPr>
                            <w:tc>
                              <w:tcPr>
                                <w:tcW w:w="1140" w:type="dxa"/>
                              </w:tcPr>
                              <w:p w14:paraId="56FC1BFD" w14:textId="77777777" w:rsidR="008B548A" w:rsidRDefault="008B548A"/>
                            </w:tc>
                            <w:tc>
                              <w:tcPr>
                                <w:tcW w:w="5400" w:type="dxa"/>
                              </w:tcPr>
                              <w:p w14:paraId="20CA9047" w14:textId="77777777" w:rsidR="008B548A" w:rsidRDefault="008B548A"/>
                            </w:tc>
                          </w:tr>
                        </w:tbl>
                        <w:p w14:paraId="2965DF3C" w14:textId="77777777" w:rsidR="00E63067" w:rsidRDefault="00E63067"/>
                      </w:txbxContent>
                    </wps:txbx>
                    <wps:bodyPr vert="horz" wrap="square" lIns="0" tIns="0" rIns="0" bIns="0" anchor="t" anchorCtr="0"/>
                  </wps:wsp>
                </a:graphicData>
              </a:graphic>
            </wp:anchor>
          </w:drawing>
        </mc:Choice>
        <mc:Fallback>
          <w:pict>
            <v:shape w14:anchorId="09AD7F65"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B548A" w14:paraId="6EA31E2F" w14:textId="77777777">
                      <w:trPr>
                        <w:trHeight w:val="200"/>
                      </w:trPr>
                      <w:tc>
                        <w:tcPr>
                          <w:tcW w:w="1140" w:type="dxa"/>
                        </w:tcPr>
                        <w:p w14:paraId="441C17A6" w14:textId="77777777" w:rsidR="008B548A" w:rsidRDefault="008B548A"/>
                      </w:tc>
                      <w:tc>
                        <w:tcPr>
                          <w:tcW w:w="5400" w:type="dxa"/>
                        </w:tcPr>
                        <w:p w14:paraId="04C40291" w14:textId="77777777" w:rsidR="008B548A" w:rsidRDefault="008B548A"/>
                      </w:tc>
                    </w:tr>
                    <w:tr w:rsidR="008B548A" w14:paraId="2C3DB145" w14:textId="77777777">
                      <w:trPr>
                        <w:trHeight w:val="240"/>
                      </w:trPr>
                      <w:tc>
                        <w:tcPr>
                          <w:tcW w:w="1140" w:type="dxa"/>
                        </w:tcPr>
                        <w:p w14:paraId="02C9E30B" w14:textId="77777777" w:rsidR="008B548A" w:rsidRDefault="00E63067">
                          <w:r>
                            <w:t>Datum</w:t>
                          </w:r>
                        </w:p>
                      </w:tc>
                      <w:tc>
                        <w:tcPr>
                          <w:tcW w:w="5400" w:type="dxa"/>
                        </w:tcPr>
                        <w:p w14:paraId="1617DB1D" w14:textId="7ECD09BC" w:rsidR="008B548A" w:rsidRDefault="00D97654">
                          <w:r>
                            <w:t>20 december 2024</w:t>
                          </w:r>
                        </w:p>
                      </w:tc>
                    </w:tr>
                    <w:tr w:rsidR="008B548A" w14:paraId="4DEEA350" w14:textId="77777777">
                      <w:trPr>
                        <w:trHeight w:val="240"/>
                      </w:trPr>
                      <w:tc>
                        <w:tcPr>
                          <w:tcW w:w="1140" w:type="dxa"/>
                        </w:tcPr>
                        <w:p w14:paraId="55C6645B" w14:textId="77777777" w:rsidR="008B548A" w:rsidRDefault="00E63067">
                          <w:r>
                            <w:t>Betreft</w:t>
                          </w:r>
                        </w:p>
                      </w:tc>
                      <w:tc>
                        <w:tcPr>
                          <w:tcW w:w="5400" w:type="dxa"/>
                        </w:tcPr>
                        <w:p w14:paraId="3704CB0E" w14:textId="77777777" w:rsidR="008B548A" w:rsidRDefault="00E63067">
                          <w:r>
                            <w:t>Reactie op vragen SO voorhang Ontwerpbesluit erkenningen wegverkeer</w:t>
                          </w:r>
                        </w:p>
                      </w:tc>
                    </w:tr>
                    <w:tr w:rsidR="008B548A" w14:paraId="160DC5B1" w14:textId="77777777">
                      <w:trPr>
                        <w:trHeight w:val="200"/>
                      </w:trPr>
                      <w:tc>
                        <w:tcPr>
                          <w:tcW w:w="1140" w:type="dxa"/>
                        </w:tcPr>
                        <w:p w14:paraId="56FC1BFD" w14:textId="77777777" w:rsidR="008B548A" w:rsidRDefault="008B548A"/>
                      </w:tc>
                      <w:tc>
                        <w:tcPr>
                          <w:tcW w:w="5400" w:type="dxa"/>
                        </w:tcPr>
                        <w:p w14:paraId="20CA9047" w14:textId="77777777" w:rsidR="008B548A" w:rsidRDefault="008B548A"/>
                      </w:tc>
                    </w:tr>
                  </w:tbl>
                  <w:p w14:paraId="2965DF3C" w14:textId="77777777" w:rsidR="00E63067" w:rsidRDefault="00E6306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9CF9730" wp14:editId="7BE7D2A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4059A45" w14:textId="77777777" w:rsidR="00E63067" w:rsidRDefault="00E63067"/>
                      </w:txbxContent>
                    </wps:txbx>
                    <wps:bodyPr vert="horz" wrap="square" lIns="0" tIns="0" rIns="0" bIns="0" anchor="t" anchorCtr="0"/>
                  </wps:wsp>
                </a:graphicData>
              </a:graphic>
            </wp:anchor>
          </w:drawing>
        </mc:Choice>
        <mc:Fallback>
          <w:pict>
            <v:shape w14:anchorId="09CF973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4059A45" w14:textId="77777777" w:rsidR="00E63067" w:rsidRDefault="00E6306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73D665"/>
    <w:multiLevelType w:val="multilevel"/>
    <w:tmpl w:val="1655B99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7B0D93"/>
    <w:multiLevelType w:val="multilevel"/>
    <w:tmpl w:val="AEA30C9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335097"/>
    <w:multiLevelType w:val="multilevel"/>
    <w:tmpl w:val="6FC4A7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AB14A03B"/>
    <w:multiLevelType w:val="multilevel"/>
    <w:tmpl w:val="C2469F9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DE8F4B"/>
    <w:multiLevelType w:val="multilevel"/>
    <w:tmpl w:val="D516790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6729B57"/>
    <w:multiLevelType w:val="multilevel"/>
    <w:tmpl w:val="4700888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F4216C"/>
    <w:multiLevelType w:val="multilevel"/>
    <w:tmpl w:val="36734CB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8861C3A"/>
    <w:multiLevelType w:val="multilevel"/>
    <w:tmpl w:val="3C0D0AC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15C6623"/>
    <w:multiLevelType w:val="multilevel"/>
    <w:tmpl w:val="B6DA1A6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ECF6A3"/>
    <w:multiLevelType w:val="multilevel"/>
    <w:tmpl w:val="3A60447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BB2040"/>
    <w:multiLevelType w:val="multilevel"/>
    <w:tmpl w:val="2548540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CE9B93"/>
    <w:multiLevelType w:val="multilevel"/>
    <w:tmpl w:val="280298C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23BAAE"/>
    <w:multiLevelType w:val="multilevel"/>
    <w:tmpl w:val="51ED965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DB4116"/>
    <w:multiLevelType w:val="multilevel"/>
    <w:tmpl w:val="5F68361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90DA87"/>
    <w:multiLevelType w:val="multilevel"/>
    <w:tmpl w:val="92B49B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257EA0FB"/>
    <w:multiLevelType w:val="multilevel"/>
    <w:tmpl w:val="480E1B6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3EAFA"/>
    <w:multiLevelType w:val="multilevel"/>
    <w:tmpl w:val="B5DF916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B10143"/>
    <w:multiLevelType w:val="multilevel"/>
    <w:tmpl w:val="542A463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1A674"/>
    <w:multiLevelType w:val="multilevel"/>
    <w:tmpl w:val="78DC686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63DADF"/>
    <w:multiLevelType w:val="multilevel"/>
    <w:tmpl w:val="8E3104F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E73EA"/>
    <w:multiLevelType w:val="multilevel"/>
    <w:tmpl w:val="66DEF61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F8D439"/>
    <w:multiLevelType w:val="multilevel"/>
    <w:tmpl w:val="EF62D40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76147D"/>
    <w:multiLevelType w:val="multilevel"/>
    <w:tmpl w:val="AAE171A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21"/>
  </w:num>
  <w:num w:numId="4">
    <w:abstractNumId w:val="5"/>
  </w:num>
  <w:num w:numId="5">
    <w:abstractNumId w:val="2"/>
  </w:num>
  <w:num w:numId="6">
    <w:abstractNumId w:val="17"/>
  </w:num>
  <w:num w:numId="7">
    <w:abstractNumId w:val="19"/>
  </w:num>
  <w:num w:numId="8">
    <w:abstractNumId w:val="16"/>
  </w:num>
  <w:num w:numId="9">
    <w:abstractNumId w:val="6"/>
  </w:num>
  <w:num w:numId="10">
    <w:abstractNumId w:val="15"/>
  </w:num>
  <w:num w:numId="11">
    <w:abstractNumId w:val="4"/>
  </w:num>
  <w:num w:numId="12">
    <w:abstractNumId w:val="14"/>
  </w:num>
  <w:num w:numId="13">
    <w:abstractNumId w:val="9"/>
  </w:num>
  <w:num w:numId="14">
    <w:abstractNumId w:val="13"/>
  </w:num>
  <w:num w:numId="15">
    <w:abstractNumId w:val="11"/>
  </w:num>
  <w:num w:numId="16">
    <w:abstractNumId w:val="12"/>
  </w:num>
  <w:num w:numId="17">
    <w:abstractNumId w:val="22"/>
  </w:num>
  <w:num w:numId="18">
    <w:abstractNumId w:val="10"/>
  </w:num>
  <w:num w:numId="19">
    <w:abstractNumId w:val="1"/>
  </w:num>
  <w:num w:numId="20">
    <w:abstractNumId w:val="3"/>
  </w:num>
  <w:num w:numId="21">
    <w:abstractNumId w:val="20"/>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78"/>
    <w:rsid w:val="00016D79"/>
    <w:rsid w:val="00042519"/>
    <w:rsid w:val="00060EED"/>
    <w:rsid w:val="000D765A"/>
    <w:rsid w:val="000D7C39"/>
    <w:rsid w:val="000F6408"/>
    <w:rsid w:val="00106BFB"/>
    <w:rsid w:val="00107428"/>
    <w:rsid w:val="001566CC"/>
    <w:rsid w:val="001B69B8"/>
    <w:rsid w:val="00206BE5"/>
    <w:rsid w:val="00227551"/>
    <w:rsid w:val="00237BB0"/>
    <w:rsid w:val="00242BF1"/>
    <w:rsid w:val="00263FB6"/>
    <w:rsid w:val="00270E60"/>
    <w:rsid w:val="0028665B"/>
    <w:rsid w:val="002B16F5"/>
    <w:rsid w:val="002F146D"/>
    <w:rsid w:val="00301B64"/>
    <w:rsid w:val="00310E90"/>
    <w:rsid w:val="00322DD9"/>
    <w:rsid w:val="00330391"/>
    <w:rsid w:val="00345FFE"/>
    <w:rsid w:val="00404F6F"/>
    <w:rsid w:val="0045502B"/>
    <w:rsid w:val="00472098"/>
    <w:rsid w:val="00477431"/>
    <w:rsid w:val="0048116F"/>
    <w:rsid w:val="00485DC3"/>
    <w:rsid w:val="00557BCA"/>
    <w:rsid w:val="005E78F1"/>
    <w:rsid w:val="00645217"/>
    <w:rsid w:val="00704E42"/>
    <w:rsid w:val="007147F1"/>
    <w:rsid w:val="007228DA"/>
    <w:rsid w:val="00723865"/>
    <w:rsid w:val="0074017E"/>
    <w:rsid w:val="00742CAE"/>
    <w:rsid w:val="007A0721"/>
    <w:rsid w:val="00837BFE"/>
    <w:rsid w:val="008818E7"/>
    <w:rsid w:val="00883158"/>
    <w:rsid w:val="008849F1"/>
    <w:rsid w:val="00885344"/>
    <w:rsid w:val="00885AAD"/>
    <w:rsid w:val="008B548A"/>
    <w:rsid w:val="008B7072"/>
    <w:rsid w:val="008D3B51"/>
    <w:rsid w:val="00984F28"/>
    <w:rsid w:val="00990AB4"/>
    <w:rsid w:val="009B7F38"/>
    <w:rsid w:val="009C0637"/>
    <w:rsid w:val="00A56275"/>
    <w:rsid w:val="00A7775C"/>
    <w:rsid w:val="00B06DAC"/>
    <w:rsid w:val="00B3082E"/>
    <w:rsid w:val="00B61ADD"/>
    <w:rsid w:val="00BA6D6F"/>
    <w:rsid w:val="00C63D55"/>
    <w:rsid w:val="00C94DC0"/>
    <w:rsid w:val="00CE45AB"/>
    <w:rsid w:val="00D22AB6"/>
    <w:rsid w:val="00D257E3"/>
    <w:rsid w:val="00D5027C"/>
    <w:rsid w:val="00D868EE"/>
    <w:rsid w:val="00D97654"/>
    <w:rsid w:val="00DC1C9D"/>
    <w:rsid w:val="00DC21D8"/>
    <w:rsid w:val="00DE26CB"/>
    <w:rsid w:val="00DF5449"/>
    <w:rsid w:val="00E10169"/>
    <w:rsid w:val="00E31328"/>
    <w:rsid w:val="00E52944"/>
    <w:rsid w:val="00E63067"/>
    <w:rsid w:val="00EF2109"/>
    <w:rsid w:val="00F07478"/>
    <w:rsid w:val="00F1372D"/>
    <w:rsid w:val="00F30709"/>
    <w:rsid w:val="00F95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07478"/>
    <w:pPr>
      <w:tabs>
        <w:tab w:val="center" w:pos="4536"/>
        <w:tab w:val="right" w:pos="9072"/>
      </w:tabs>
      <w:spacing w:line="240" w:lineRule="auto"/>
    </w:pPr>
  </w:style>
  <w:style w:type="character" w:customStyle="1" w:styleId="HeaderChar">
    <w:name w:val="Header Char"/>
    <w:basedOn w:val="DefaultParagraphFont"/>
    <w:link w:val="Header"/>
    <w:uiPriority w:val="99"/>
    <w:rsid w:val="00F07478"/>
    <w:rPr>
      <w:rFonts w:ascii="Verdana" w:hAnsi="Verdana"/>
      <w:color w:val="000000"/>
      <w:sz w:val="18"/>
      <w:szCs w:val="18"/>
    </w:rPr>
  </w:style>
  <w:style w:type="paragraph" w:styleId="Footer">
    <w:name w:val="footer"/>
    <w:basedOn w:val="Normal"/>
    <w:link w:val="FooterChar"/>
    <w:uiPriority w:val="99"/>
    <w:unhideWhenUsed/>
    <w:rsid w:val="00F07478"/>
    <w:pPr>
      <w:tabs>
        <w:tab w:val="center" w:pos="4536"/>
        <w:tab w:val="right" w:pos="9072"/>
      </w:tabs>
      <w:spacing w:line="240" w:lineRule="auto"/>
    </w:pPr>
  </w:style>
  <w:style w:type="character" w:customStyle="1" w:styleId="FooterChar">
    <w:name w:val="Footer Char"/>
    <w:basedOn w:val="DefaultParagraphFont"/>
    <w:link w:val="Footer"/>
    <w:uiPriority w:val="99"/>
    <w:rsid w:val="00F07478"/>
    <w:rPr>
      <w:rFonts w:ascii="Verdana" w:hAnsi="Verdana"/>
      <w:color w:val="000000"/>
      <w:sz w:val="18"/>
      <w:szCs w:val="18"/>
    </w:rPr>
  </w:style>
  <w:style w:type="paragraph" w:styleId="Revision">
    <w:name w:val="Revision"/>
    <w:hidden/>
    <w:uiPriority w:val="99"/>
    <w:semiHidden/>
    <w:rsid w:val="00016D7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31328"/>
    <w:rPr>
      <w:sz w:val="16"/>
      <w:szCs w:val="16"/>
    </w:rPr>
  </w:style>
  <w:style w:type="paragraph" w:styleId="CommentText">
    <w:name w:val="annotation text"/>
    <w:basedOn w:val="Normal"/>
    <w:link w:val="CommentTextChar"/>
    <w:uiPriority w:val="99"/>
    <w:unhideWhenUsed/>
    <w:rsid w:val="00E31328"/>
    <w:pPr>
      <w:spacing w:line="240" w:lineRule="auto"/>
    </w:pPr>
    <w:rPr>
      <w:sz w:val="20"/>
      <w:szCs w:val="20"/>
    </w:rPr>
  </w:style>
  <w:style w:type="character" w:customStyle="1" w:styleId="CommentTextChar">
    <w:name w:val="Comment Text Char"/>
    <w:basedOn w:val="DefaultParagraphFont"/>
    <w:link w:val="CommentText"/>
    <w:uiPriority w:val="99"/>
    <w:rsid w:val="00E313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31328"/>
    <w:rPr>
      <w:b/>
      <w:bCs/>
    </w:rPr>
  </w:style>
  <w:style w:type="character" w:customStyle="1" w:styleId="CommentSubjectChar">
    <w:name w:val="Comment Subject Char"/>
    <w:basedOn w:val="CommentTextChar"/>
    <w:link w:val="CommentSubject"/>
    <w:uiPriority w:val="99"/>
    <w:semiHidden/>
    <w:rsid w:val="00E31328"/>
    <w:rPr>
      <w:rFonts w:ascii="Verdana" w:hAnsi="Verdana"/>
      <w:b/>
      <w:bCs/>
      <w:color w:val="000000"/>
    </w:rPr>
  </w:style>
  <w:style w:type="paragraph" w:customStyle="1" w:styleId="elementtoproof">
    <w:name w:val="elementtoproof"/>
    <w:basedOn w:val="Normal"/>
    <w:rsid w:val="00CE45AB"/>
    <w:pPr>
      <w:autoSpaceDN/>
      <w:spacing w:line="240" w:lineRule="auto"/>
      <w:textAlignment w:val="auto"/>
    </w:pPr>
    <w:rPr>
      <w:rFonts w:ascii="Calibri" w:eastAsiaTheme="minorHAnsi" w:hAnsi="Calibri" w:cs="Calibri"/>
      <w:color w:val="auto"/>
      <w:sz w:val="22"/>
      <w:szCs w:val="22"/>
    </w:rPr>
  </w:style>
  <w:style w:type="paragraph" w:styleId="FootnoteText">
    <w:name w:val="footnote text"/>
    <w:basedOn w:val="Normal"/>
    <w:link w:val="FootnoteTextChar"/>
    <w:uiPriority w:val="99"/>
    <w:semiHidden/>
    <w:unhideWhenUsed/>
    <w:rsid w:val="008849F1"/>
    <w:pPr>
      <w:spacing w:line="240" w:lineRule="auto"/>
    </w:pPr>
    <w:rPr>
      <w:sz w:val="20"/>
      <w:szCs w:val="20"/>
    </w:rPr>
  </w:style>
  <w:style w:type="character" w:customStyle="1" w:styleId="FootnoteTextChar">
    <w:name w:val="Footnote Text Char"/>
    <w:basedOn w:val="DefaultParagraphFont"/>
    <w:link w:val="FootnoteText"/>
    <w:uiPriority w:val="99"/>
    <w:semiHidden/>
    <w:rsid w:val="008849F1"/>
    <w:rPr>
      <w:rFonts w:ascii="Verdana" w:hAnsi="Verdana"/>
      <w:color w:val="000000"/>
    </w:rPr>
  </w:style>
  <w:style w:type="character" w:styleId="FootnoteReference">
    <w:name w:val="footnote reference"/>
    <w:basedOn w:val="DefaultParagraphFont"/>
    <w:uiPriority w:val="99"/>
    <w:semiHidden/>
    <w:unhideWhenUsed/>
    <w:rsid w:val="00884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8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1414</ap:Words>
  <ap:Characters>8066</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Brief aan Parlement - Reactie op vragen SO voorhang Ontwerpbesluit erkenningen wegverkeer</vt:lpstr>
    </vt:vector>
  </ap:TitlesOfParts>
  <ap:LinksUpToDate>false</ap:LinksUpToDate>
  <ap:CharactersWithSpaces>9462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2024-12-20T12:31:00.0000000Z</dcterms:created>
  <dcterms:modified xsi:type="dcterms:W3CDTF">2024-12-20T12:31:00.0000000Z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vragen SO voorhang Ontwerpbesluit erkenningen wegverkeer</vt:lpwstr>
  </property>
  <property fmtid="{D5CDD505-2E9C-101B-9397-08002B2CF9AE}" pid="5" name="Publicatiedatum">
    <vt:lpwstr/>
  </property>
  <property fmtid="{D5CDD505-2E9C-101B-9397-08002B2CF9AE}" pid="6" name="Verantwoordelijke organisatie">
    <vt:lpwstr>Directie Bestuur en Bereikbaarheid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F. van Gogh</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