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8C8" w:rsidP="00423F1D" w:rsidRDefault="003F13FB" w14:paraId="264993E7" w14:textId="77777777">
      <w:pPr>
        <w:spacing w:line="276" w:lineRule="auto"/>
        <w:rPr>
          <w:b/>
        </w:rPr>
      </w:pPr>
      <w:bookmarkStart w:name="_GoBack" w:id="0"/>
      <w:bookmarkEnd w:id="0"/>
      <w:r w:rsidRPr="00EE6A78">
        <w:rPr>
          <w:b/>
        </w:rPr>
        <w:t xml:space="preserve">Terms of Reference </w:t>
      </w:r>
      <w:r w:rsidR="00A1480D">
        <w:rPr>
          <w:b/>
        </w:rPr>
        <w:t>I</w:t>
      </w:r>
      <w:r w:rsidRPr="00EE6A78" w:rsidR="00AD41C5">
        <w:rPr>
          <w:b/>
        </w:rPr>
        <w:t xml:space="preserve">nterdepartementale </w:t>
      </w:r>
      <w:r w:rsidR="00A1480D">
        <w:rPr>
          <w:b/>
        </w:rPr>
        <w:t>T</w:t>
      </w:r>
      <w:r w:rsidRPr="00EE6A78" w:rsidR="00AD41C5">
        <w:rPr>
          <w:b/>
        </w:rPr>
        <w:t xml:space="preserve">askforce </w:t>
      </w:r>
      <w:r w:rsidRPr="00EE6A78" w:rsidR="00FB1C75">
        <w:rPr>
          <w:b/>
        </w:rPr>
        <w:t>Internationale Migratie</w:t>
      </w:r>
    </w:p>
    <w:p w:rsidR="008478C8" w:rsidP="008478C8" w:rsidRDefault="008478C8" w14:paraId="5C0CCD73" w14:textId="77777777">
      <w:pPr>
        <w:spacing w:line="276" w:lineRule="auto"/>
        <w:rPr>
          <w:i/>
          <w:iCs/>
          <w:sz w:val="16"/>
          <w:szCs w:val="16"/>
        </w:rPr>
      </w:pPr>
      <w:r>
        <w:rPr>
          <w:i/>
          <w:iCs/>
          <w:sz w:val="16"/>
          <w:szCs w:val="16"/>
        </w:rPr>
        <w:t>S</w:t>
      </w:r>
      <w:r w:rsidRPr="008478C8">
        <w:rPr>
          <w:i/>
          <w:iCs/>
          <w:sz w:val="16"/>
          <w:szCs w:val="16"/>
        </w:rPr>
        <w:t xml:space="preserve">amenwerking, afstemming en besluitvorming </w:t>
      </w:r>
      <w:r>
        <w:rPr>
          <w:i/>
          <w:iCs/>
          <w:sz w:val="16"/>
          <w:szCs w:val="16"/>
        </w:rPr>
        <w:t>t.a.v. partnerschapsinzet internationale migratie</w:t>
      </w:r>
    </w:p>
    <w:p w:rsidRPr="00423F1D" w:rsidR="00F35909" w:rsidP="00423F1D" w:rsidRDefault="00797988" w14:paraId="0666BFD7" w14:textId="49844092">
      <w:pPr>
        <w:spacing w:line="276" w:lineRule="auto"/>
        <w:rPr>
          <w:b/>
          <w:lang w:val="nl-NL"/>
        </w:rPr>
      </w:pPr>
      <w:r w:rsidRPr="00EE6A78">
        <w:rPr>
          <w:b/>
        </w:rPr>
        <w:t xml:space="preserve">1. </w:t>
      </w:r>
      <w:r w:rsidR="00F35909">
        <w:rPr>
          <w:b/>
          <w:bCs/>
          <w:lang w:val="nl-NL"/>
        </w:rPr>
        <w:t>B</w:t>
      </w:r>
      <w:r w:rsidRPr="00603192" w:rsidR="00F35909">
        <w:rPr>
          <w:b/>
          <w:bCs/>
          <w:lang w:val="nl-NL"/>
        </w:rPr>
        <w:t xml:space="preserve">eleidsopdracht uit </w:t>
      </w:r>
      <w:r w:rsidR="00F35909">
        <w:rPr>
          <w:b/>
          <w:bCs/>
          <w:lang w:val="nl-NL"/>
        </w:rPr>
        <w:t xml:space="preserve">Regeerprogramma relevant voor </w:t>
      </w:r>
      <w:r w:rsidR="00A1480D">
        <w:rPr>
          <w:b/>
          <w:bCs/>
          <w:lang w:val="nl-NL"/>
        </w:rPr>
        <w:t>de taskforce</w:t>
      </w:r>
    </w:p>
    <w:p w:rsidRPr="00423F1D" w:rsidR="00797988" w:rsidP="00423F1D" w:rsidRDefault="00F35909" w14:paraId="6021D3C0" w14:textId="533756AC">
      <w:pPr>
        <w:spacing w:line="276" w:lineRule="auto"/>
        <w:rPr>
          <w:rFonts w:cs="Verdana"/>
          <w:lang w:val="nl-NL"/>
        </w:rPr>
      </w:pPr>
      <w:r w:rsidRPr="009E29C9">
        <w:rPr>
          <w:rFonts w:cs="Verdana"/>
          <w:i/>
          <w:lang w:val="nl-NL"/>
        </w:rPr>
        <w:t>“Om de irreguliere migratie tegen te gaan en terugkeer en opvang in de regio te bevorderen zet het kabinet, ook in Europees verband, in op brede, strategische partnerschappen met relevante migratielanden, inclusief de aanpak van mensenhandel, mensensmokkel en irreguliere migratieroutes. Ook innovatieve vormen van migratiesamenwerking zijn hier onderdeel van. In dit verband loopt het kabinet voorop in het met gelijkgezinde lidstaten en de Europese Commissie verkennen van out-of-the-box oplossingen, binnen de kaders van het internationaal en Europees recht, zoals de afspraken die Italië met Albanië maakt of terugkeerhubs. Het kabinet benut het volledige instrumentarium en schuwt strategische maatregelen in Europees verband om samenwerking te bespoedigen niet. Nederland zet zich bovendien, waar mogelijk samen met gelijkgestemde EU-lidstaten, in voor aanpassingen van het VN-vluchtelingenverdrag.”</w:t>
      </w:r>
      <w:r w:rsidRPr="00423F1D" w:rsidR="00797988">
        <w:rPr>
          <w:rFonts w:cs="Verdana"/>
          <w:lang w:val="nl-NL"/>
        </w:rPr>
        <w:t xml:space="preserve"> </w:t>
      </w:r>
    </w:p>
    <w:p w:rsidRPr="00423F1D" w:rsidR="00797988" w:rsidP="00423F1D" w:rsidRDefault="00797988" w14:paraId="0A4E7970" w14:textId="51485CED">
      <w:pPr>
        <w:spacing w:line="276" w:lineRule="auto"/>
        <w:rPr>
          <w:rFonts w:cs="Verdana"/>
          <w:i/>
          <w:lang w:val="nl-NL"/>
        </w:rPr>
      </w:pPr>
      <w:r w:rsidRPr="009E29C9">
        <w:rPr>
          <w:rFonts w:cs="Verdana"/>
          <w:i/>
          <w:lang w:val="nl-NL"/>
        </w:rPr>
        <w:t>“Het kabinet richt, onder sturing van de (onder)Raad Asiel en Migratie, een interdepartementale taskforce Internationale Migratie op om de inzet van mensen en middelen samen te brengen, te coördineren en gericht in te zetten. Ook gaat het kabinet in dit kader op zoek naar gestructureerd overleg met maatschappelijke partners en de private sector.”</w:t>
      </w:r>
      <w:r w:rsidRPr="00D6557D">
        <w:rPr>
          <w:rStyle w:val="Voetnootmarkering"/>
          <w:rFonts w:cs="Verdana"/>
          <w:i/>
          <w:lang w:val="nl-NL"/>
        </w:rPr>
        <w:footnoteReference w:id="2"/>
      </w:r>
      <w:r w:rsidRPr="009E29C9">
        <w:rPr>
          <w:rFonts w:cs="Verdana"/>
          <w:i/>
          <w:lang w:val="nl-NL"/>
        </w:rPr>
        <w:t xml:space="preserve"> </w:t>
      </w:r>
    </w:p>
    <w:p w:rsidRPr="00D6557D" w:rsidR="00797988" w:rsidP="00D6557D" w:rsidRDefault="00797988" w14:paraId="04860C73" w14:textId="2733CF83">
      <w:pPr>
        <w:spacing w:line="276" w:lineRule="auto"/>
        <w:rPr>
          <w:b/>
          <w:lang w:val="nl-NL"/>
        </w:rPr>
      </w:pPr>
      <w:r w:rsidRPr="009E29C9">
        <w:rPr>
          <w:rFonts w:cs="Verdana"/>
          <w:b/>
          <w:lang w:val="nl-NL"/>
        </w:rPr>
        <w:t xml:space="preserve">2. </w:t>
      </w:r>
      <w:r w:rsidR="005F5721">
        <w:rPr>
          <w:b/>
          <w:lang w:val="nl-NL"/>
        </w:rPr>
        <w:t>Doelstelling</w:t>
      </w:r>
      <w:r w:rsidRPr="00D6557D">
        <w:rPr>
          <w:b/>
          <w:lang w:val="nl-NL"/>
        </w:rPr>
        <w:t xml:space="preserve"> oprichting interdepartementale T</w:t>
      </w:r>
      <w:r w:rsidR="00382820">
        <w:rPr>
          <w:b/>
          <w:lang w:val="nl-NL"/>
        </w:rPr>
        <w:t>askforce</w:t>
      </w:r>
      <w:r w:rsidRPr="00D6557D">
        <w:rPr>
          <w:b/>
          <w:lang w:val="nl-NL"/>
        </w:rPr>
        <w:t xml:space="preserve"> Internationale Migratie</w:t>
      </w:r>
    </w:p>
    <w:p w:rsidRPr="00B05222" w:rsidR="00B05222" w:rsidP="00B05222" w:rsidRDefault="001D4A0E" w14:paraId="2C66D748" w14:textId="263DD689">
      <w:pPr>
        <w:spacing w:line="276" w:lineRule="auto"/>
        <w:rPr>
          <w:rFonts w:cs="Verdana"/>
          <w:lang w:val="nl-NL"/>
        </w:rPr>
      </w:pPr>
      <w:r w:rsidRPr="00B05222">
        <w:rPr>
          <w:rFonts w:cs="Verdana"/>
          <w:lang w:val="nl-NL"/>
        </w:rPr>
        <w:t>Om de intensivering van de inzet op partnerschappen</w:t>
      </w:r>
      <w:r w:rsidRPr="00B05222" w:rsidR="003E6BCE">
        <w:rPr>
          <w:rFonts w:cs="Verdana"/>
          <w:lang w:val="nl-NL"/>
        </w:rPr>
        <w:t>/samenwerking</w:t>
      </w:r>
      <w:r w:rsidRPr="00B05222">
        <w:rPr>
          <w:rFonts w:cs="Verdana"/>
          <w:lang w:val="nl-NL"/>
        </w:rPr>
        <w:t xml:space="preserve"> met derde landen te realiseren dient er breed interdepartementaal - van het politieke niveau tot de uitvoeringspraktijk - invulling gegeven te worden aan de uitvoering ervan. </w:t>
      </w:r>
      <w:r w:rsidRPr="00B05222" w:rsidR="00BB2B36">
        <w:rPr>
          <w:rFonts w:cs="Verdana"/>
          <w:lang w:val="nl-NL"/>
        </w:rPr>
        <w:t>De taskforce speelt een coördinerende</w:t>
      </w:r>
      <w:r w:rsidRPr="00B05222" w:rsidR="00740F5B">
        <w:rPr>
          <w:rFonts w:cs="Verdana"/>
          <w:lang w:val="nl-NL"/>
        </w:rPr>
        <w:t xml:space="preserve"> en richtinggevende </w:t>
      </w:r>
      <w:r w:rsidRPr="00B05222" w:rsidR="00BB2B36">
        <w:rPr>
          <w:rFonts w:cs="Verdana"/>
          <w:lang w:val="nl-NL"/>
        </w:rPr>
        <w:t xml:space="preserve"> rol,</w:t>
      </w:r>
      <w:r w:rsidRPr="00B05222" w:rsidR="00740F5B">
        <w:rPr>
          <w:rFonts w:cs="Verdana"/>
          <w:lang w:val="nl-NL"/>
        </w:rPr>
        <w:t xml:space="preserve">– terwijl de </w:t>
      </w:r>
      <w:r w:rsidRPr="00B05222" w:rsidR="00491091">
        <w:rPr>
          <w:rFonts w:cs="Verdana"/>
          <w:lang w:val="nl-NL"/>
        </w:rPr>
        <w:t>inhoudelijke</w:t>
      </w:r>
      <w:r w:rsidRPr="00B05222" w:rsidR="00740F5B">
        <w:rPr>
          <w:rFonts w:cs="Verdana"/>
          <w:lang w:val="nl-NL"/>
        </w:rPr>
        <w:t xml:space="preserve"> samenwerkingsverbanden gezamenlijk met de betrokken organisatie(s) vormgegeven zullen worden, met </w:t>
      </w:r>
      <w:r w:rsidR="00704566">
        <w:rPr>
          <w:rFonts w:cs="Verdana"/>
          <w:lang w:val="nl-NL"/>
        </w:rPr>
        <w:t>behoud</w:t>
      </w:r>
      <w:r w:rsidRPr="00B05222" w:rsidR="00704566">
        <w:rPr>
          <w:rFonts w:cs="Verdana"/>
          <w:lang w:val="nl-NL"/>
        </w:rPr>
        <w:t xml:space="preserve"> </w:t>
      </w:r>
      <w:r w:rsidRPr="00B05222" w:rsidR="00740F5B">
        <w:rPr>
          <w:rFonts w:cs="Verdana"/>
          <w:lang w:val="nl-NL"/>
        </w:rPr>
        <w:t xml:space="preserve">van de verschillende (politieke) mandaten van de betrokken </w:t>
      </w:r>
      <w:r w:rsidR="00A1480D">
        <w:rPr>
          <w:rFonts w:cs="Verdana"/>
          <w:lang w:val="nl-NL"/>
        </w:rPr>
        <w:t>(uitvoerings-)</w:t>
      </w:r>
      <w:r w:rsidRPr="00B05222" w:rsidR="00740F5B">
        <w:rPr>
          <w:rFonts w:cs="Verdana"/>
          <w:lang w:val="nl-NL"/>
        </w:rPr>
        <w:t>organisaties</w:t>
      </w:r>
      <w:r w:rsidRPr="00B05222" w:rsidR="00BB2B36">
        <w:rPr>
          <w:rFonts w:cs="Verdana"/>
          <w:lang w:val="nl-NL"/>
        </w:rPr>
        <w:t>.</w:t>
      </w:r>
      <w:r w:rsidRPr="00B05222" w:rsidR="00491091">
        <w:rPr>
          <w:rFonts w:cs="Verdana"/>
          <w:lang w:val="nl-NL"/>
        </w:rPr>
        <w:t xml:space="preserve"> De taskforce draagt op deze manier bij aan </w:t>
      </w:r>
      <w:r w:rsidRPr="00B05222" w:rsidR="005F5721">
        <w:rPr>
          <w:rFonts w:cs="Verdana"/>
          <w:lang w:val="nl-NL"/>
        </w:rPr>
        <w:t>de volgende vier doelstellingen</w:t>
      </w:r>
      <w:r w:rsidRPr="00B05222" w:rsidR="00312057">
        <w:rPr>
          <w:rFonts w:cs="Verdana"/>
          <w:lang w:val="nl-NL"/>
        </w:rPr>
        <w:t>, om uiteindelijk duurzaam</w:t>
      </w:r>
      <w:r w:rsidR="0076122F">
        <w:rPr>
          <w:rFonts w:cs="Verdana"/>
          <w:lang w:val="nl-NL"/>
        </w:rPr>
        <w:t>, efficiënt</w:t>
      </w:r>
      <w:r w:rsidRPr="00B05222" w:rsidR="00312057">
        <w:rPr>
          <w:rFonts w:cs="Verdana"/>
          <w:lang w:val="nl-NL"/>
        </w:rPr>
        <w:t xml:space="preserve"> en effectief uitvoering te geven aan het internationale migratiebeleid</w:t>
      </w:r>
      <w:r w:rsidRPr="00423F1D" w:rsidR="00312057">
        <w:rPr>
          <w:rStyle w:val="Voetnootmarkering"/>
          <w:rFonts w:cs="Verdana"/>
          <w:lang w:val="nl-NL"/>
        </w:rPr>
        <w:footnoteReference w:id="3"/>
      </w:r>
      <w:r w:rsidRPr="00B05222" w:rsidR="00312057">
        <w:rPr>
          <w:rFonts w:cs="Verdana"/>
          <w:lang w:val="nl-NL"/>
        </w:rPr>
        <w:t>.</w:t>
      </w:r>
      <w:bookmarkStart w:name="_Hlk181957707" w:id="1"/>
    </w:p>
    <w:p w:rsidRPr="00423F1D" w:rsidR="00157F58" w:rsidP="00423F1D" w:rsidRDefault="003F13FB" w14:paraId="4B0E059A" w14:textId="70C4CAFB">
      <w:pPr>
        <w:pStyle w:val="Lijstalinea"/>
        <w:numPr>
          <w:ilvl w:val="0"/>
          <w:numId w:val="7"/>
        </w:numPr>
        <w:spacing w:line="276" w:lineRule="auto"/>
        <w:rPr>
          <w:rFonts w:cs="Verdana"/>
          <w:lang w:val="nl-NL"/>
        </w:rPr>
      </w:pPr>
      <w:r w:rsidRPr="00423F1D">
        <w:rPr>
          <w:rFonts w:cs="Verdana"/>
          <w:lang w:val="nl-NL"/>
        </w:rPr>
        <w:t xml:space="preserve">Samenbrengen van betrokken </w:t>
      </w:r>
      <w:r w:rsidRPr="00423F1D" w:rsidR="008708D4">
        <w:rPr>
          <w:rFonts w:cs="Verdana"/>
          <w:lang w:val="nl-NL"/>
        </w:rPr>
        <w:t xml:space="preserve">departementen </w:t>
      </w:r>
      <w:r w:rsidRPr="00423F1D" w:rsidR="0010580B">
        <w:rPr>
          <w:rFonts w:cs="Verdana"/>
          <w:lang w:val="nl-NL"/>
        </w:rPr>
        <w:t xml:space="preserve">en </w:t>
      </w:r>
      <w:r w:rsidRPr="00423F1D" w:rsidR="008708D4">
        <w:rPr>
          <w:rFonts w:cs="Verdana"/>
          <w:lang w:val="nl-NL"/>
        </w:rPr>
        <w:t>(uitvoerings-)</w:t>
      </w:r>
      <w:r w:rsidRPr="00423F1D" w:rsidR="0010580B">
        <w:rPr>
          <w:rFonts w:cs="Verdana"/>
          <w:lang w:val="nl-NL"/>
        </w:rPr>
        <w:t>organisaties</w:t>
      </w:r>
      <w:r w:rsidR="00C61F4D">
        <w:rPr>
          <w:rFonts w:cs="Verdana"/>
          <w:lang w:val="nl-NL"/>
        </w:rPr>
        <w:t xml:space="preserve"> en de multidisciplinaire perspectieven die daaruit voortkomen</w:t>
      </w:r>
      <w:r w:rsidR="009E29C9">
        <w:rPr>
          <w:rFonts w:cs="Verdana"/>
          <w:lang w:val="nl-NL"/>
        </w:rPr>
        <w:t>,</w:t>
      </w:r>
      <w:r w:rsidRPr="00423F1D" w:rsidR="0010580B">
        <w:rPr>
          <w:rFonts w:cs="Verdana"/>
          <w:lang w:val="nl-NL"/>
        </w:rPr>
        <w:t xml:space="preserve"> </w:t>
      </w:r>
      <w:r w:rsidRPr="00423F1D">
        <w:rPr>
          <w:rFonts w:cs="Verdana"/>
          <w:lang w:val="nl-NL"/>
        </w:rPr>
        <w:t xml:space="preserve">teneinde in samenhang het regeerakkoord waar het internationale migratie betreft ten uitvoering te brengen. </w:t>
      </w:r>
      <w:r w:rsidRPr="00423F1D" w:rsidR="00157F58">
        <w:rPr>
          <w:rFonts w:cs="Verdana"/>
          <w:lang w:val="nl-NL"/>
        </w:rPr>
        <w:t xml:space="preserve">De </w:t>
      </w:r>
      <w:r w:rsidR="00A1480D">
        <w:rPr>
          <w:rFonts w:cs="Verdana"/>
          <w:lang w:val="nl-NL"/>
        </w:rPr>
        <w:t>taskforce</w:t>
      </w:r>
      <w:r w:rsidRPr="00423F1D" w:rsidR="00A1480D">
        <w:rPr>
          <w:rFonts w:cs="Verdana"/>
          <w:lang w:val="nl-NL"/>
        </w:rPr>
        <w:t xml:space="preserve"> </w:t>
      </w:r>
      <w:r w:rsidRPr="00423F1D" w:rsidR="00157F58">
        <w:rPr>
          <w:rFonts w:cs="Verdana"/>
          <w:lang w:val="nl-NL"/>
        </w:rPr>
        <w:t>zorgt voor afstemming, coördinatie, en informatiedeling.</w:t>
      </w:r>
    </w:p>
    <w:p w:rsidRPr="00423F1D" w:rsidR="00157F58" w:rsidP="00423F1D" w:rsidRDefault="007444CD" w14:paraId="3216678A" w14:textId="1AC62133">
      <w:pPr>
        <w:pStyle w:val="Lijstalinea"/>
        <w:numPr>
          <w:ilvl w:val="0"/>
          <w:numId w:val="7"/>
        </w:numPr>
        <w:spacing w:line="276" w:lineRule="auto"/>
        <w:rPr>
          <w:rFonts w:cs="Verdana"/>
          <w:lang w:val="nl-NL"/>
        </w:rPr>
      </w:pPr>
      <w:r>
        <w:rPr>
          <w:rFonts w:cs="Verdana"/>
          <w:szCs w:val="18"/>
          <w:lang w:val="nl-NL"/>
        </w:rPr>
        <w:t>I</w:t>
      </w:r>
      <w:r w:rsidRPr="00423F1D" w:rsidR="000F7E82">
        <w:rPr>
          <w:rFonts w:cs="Verdana"/>
          <w:lang w:val="nl-NL"/>
        </w:rPr>
        <w:t xml:space="preserve">ntegraal </w:t>
      </w:r>
      <w:r w:rsidRPr="00423F1D" w:rsidR="003F13FB">
        <w:rPr>
          <w:rFonts w:cs="Verdana"/>
          <w:lang w:val="nl-NL"/>
        </w:rPr>
        <w:t>sturing geven aan de intensivering van de brede partnerschapsinzet, zowel bilateraal als in EU verband</w:t>
      </w:r>
      <w:r w:rsidR="006C4EF1">
        <w:rPr>
          <w:rFonts w:cs="Verdana"/>
          <w:lang w:val="nl-NL"/>
        </w:rPr>
        <w:t>, in lijn met internationaal, Europees en nationaal recht</w:t>
      </w:r>
      <w:r w:rsidRPr="00423F1D" w:rsidR="003F13FB">
        <w:rPr>
          <w:rFonts w:cs="Verdana"/>
          <w:lang w:val="nl-NL"/>
        </w:rPr>
        <w:t>.</w:t>
      </w:r>
    </w:p>
    <w:p w:rsidRPr="00423F1D" w:rsidR="00157F58" w:rsidP="00423F1D" w:rsidRDefault="00157F58" w14:paraId="567B9316" w14:textId="368E3BD6">
      <w:pPr>
        <w:pStyle w:val="Lijstalinea"/>
        <w:numPr>
          <w:ilvl w:val="0"/>
          <w:numId w:val="7"/>
        </w:numPr>
        <w:spacing w:line="276" w:lineRule="auto"/>
        <w:rPr>
          <w:rFonts w:cs="Verdana"/>
          <w:lang w:val="nl-NL"/>
        </w:rPr>
      </w:pPr>
      <w:r w:rsidRPr="00423F1D">
        <w:rPr>
          <w:rFonts w:cs="Verdana"/>
          <w:lang w:val="nl-NL"/>
        </w:rPr>
        <w:t xml:space="preserve">Uitbreiden van instrumentarium en </w:t>
      </w:r>
      <w:r w:rsidRPr="00423F1D" w:rsidR="0010580B">
        <w:rPr>
          <w:rFonts w:cs="Verdana"/>
          <w:lang w:val="nl-NL"/>
        </w:rPr>
        <w:t xml:space="preserve">het </w:t>
      </w:r>
      <w:r w:rsidRPr="00423F1D">
        <w:rPr>
          <w:rFonts w:cs="Verdana"/>
          <w:lang w:val="nl-NL"/>
        </w:rPr>
        <w:t>betrekken</w:t>
      </w:r>
      <w:r w:rsidRPr="00423F1D" w:rsidR="0010580B">
        <w:rPr>
          <w:rFonts w:cs="Verdana"/>
          <w:lang w:val="nl-NL"/>
        </w:rPr>
        <w:t xml:space="preserve"> van</w:t>
      </w:r>
      <w:r w:rsidRPr="00423F1D">
        <w:rPr>
          <w:rFonts w:cs="Verdana"/>
          <w:lang w:val="nl-NL"/>
        </w:rPr>
        <w:t xml:space="preserve"> </w:t>
      </w:r>
      <w:r w:rsidRPr="00423F1D" w:rsidR="0010580B">
        <w:rPr>
          <w:rFonts w:cs="Verdana"/>
          <w:lang w:val="nl-NL"/>
        </w:rPr>
        <w:t>R</w:t>
      </w:r>
      <w:r w:rsidRPr="00423F1D">
        <w:rPr>
          <w:rFonts w:cs="Verdana"/>
          <w:lang w:val="nl-NL"/>
        </w:rPr>
        <w:t xml:space="preserve">ijksbrede activiteiten, kennis, en middelen binnen </w:t>
      </w:r>
      <w:r w:rsidRPr="00423F1D" w:rsidR="0010580B">
        <w:rPr>
          <w:rFonts w:cs="Verdana"/>
          <w:lang w:val="nl-NL"/>
        </w:rPr>
        <w:t xml:space="preserve">deze </w:t>
      </w:r>
      <w:r w:rsidRPr="00423F1D">
        <w:rPr>
          <w:rFonts w:cs="Verdana"/>
          <w:lang w:val="nl-NL"/>
        </w:rPr>
        <w:t xml:space="preserve">partnerschappen, incl. maatschappelijk middenveld </w:t>
      </w:r>
      <w:r w:rsidRPr="00423F1D" w:rsidR="002909B1">
        <w:rPr>
          <w:rFonts w:cs="Verdana"/>
          <w:lang w:val="nl-NL"/>
        </w:rPr>
        <w:t>en bedrijfsleven</w:t>
      </w:r>
      <w:r w:rsidR="0029754F">
        <w:rPr>
          <w:rFonts w:cs="Verdana"/>
          <w:lang w:val="nl-NL"/>
        </w:rPr>
        <w:t xml:space="preserve"> en het ontsluiten van capaciteit daartoe</w:t>
      </w:r>
      <w:r w:rsidRPr="00423F1D" w:rsidR="00753C90">
        <w:rPr>
          <w:rFonts w:cs="Verdana"/>
          <w:lang w:val="nl-NL"/>
        </w:rPr>
        <w:t>.</w:t>
      </w:r>
      <w:r w:rsidRPr="00423F1D">
        <w:rPr>
          <w:rFonts w:cs="Verdana"/>
          <w:lang w:val="nl-NL"/>
        </w:rPr>
        <w:t xml:space="preserve"> </w:t>
      </w:r>
    </w:p>
    <w:p w:rsidR="00157F58" w:rsidP="00423F1D" w:rsidRDefault="003F13FB" w14:paraId="04ED8D93" w14:textId="3B3631C9">
      <w:pPr>
        <w:pStyle w:val="Lijstalinea"/>
        <w:numPr>
          <w:ilvl w:val="0"/>
          <w:numId w:val="7"/>
        </w:numPr>
        <w:spacing w:line="276" w:lineRule="auto"/>
        <w:rPr>
          <w:rFonts w:cs="Verdana"/>
          <w:lang w:val="nl-NL"/>
        </w:rPr>
      </w:pPr>
      <w:r w:rsidRPr="00423F1D">
        <w:rPr>
          <w:rFonts w:cs="Verdana"/>
          <w:lang w:val="nl-NL"/>
        </w:rPr>
        <w:t xml:space="preserve">Beheren van </w:t>
      </w:r>
      <w:r w:rsidRPr="00423F1D" w:rsidR="0010580B">
        <w:rPr>
          <w:rFonts w:cs="Verdana"/>
          <w:lang w:val="nl-NL"/>
        </w:rPr>
        <w:t>de R</w:t>
      </w:r>
      <w:r w:rsidRPr="00423F1D">
        <w:rPr>
          <w:rFonts w:cs="Verdana"/>
          <w:lang w:val="nl-NL"/>
        </w:rPr>
        <w:t xml:space="preserve">ijksbrede politieke en </w:t>
      </w:r>
      <w:r w:rsidRPr="00423F1D" w:rsidR="00C05F17">
        <w:rPr>
          <w:rFonts w:cs="Verdana"/>
          <w:lang w:val="nl-NL"/>
        </w:rPr>
        <w:t>(hoog-)</w:t>
      </w:r>
      <w:r w:rsidRPr="00423F1D">
        <w:rPr>
          <w:rFonts w:cs="Verdana"/>
          <w:lang w:val="nl-NL"/>
        </w:rPr>
        <w:t>ambtelijke reisagenda op het gebied van internationale migratie</w:t>
      </w:r>
      <w:bookmarkEnd w:id="1"/>
      <w:r w:rsidRPr="00423F1D" w:rsidR="00157F58">
        <w:rPr>
          <w:rFonts w:cs="Verdana"/>
          <w:lang w:val="nl-NL"/>
        </w:rPr>
        <w:t>.</w:t>
      </w:r>
    </w:p>
    <w:p w:rsidR="00157F58" w:rsidP="00423F1D" w:rsidRDefault="005F5721" w14:paraId="1093E064" w14:textId="458A5F5A">
      <w:pPr>
        <w:spacing w:line="276" w:lineRule="auto"/>
        <w:rPr>
          <w:b/>
          <w:lang w:val="nl-NL"/>
        </w:rPr>
      </w:pPr>
      <w:r>
        <w:rPr>
          <w:b/>
          <w:lang w:val="nl-NL"/>
        </w:rPr>
        <w:t xml:space="preserve">3. </w:t>
      </w:r>
      <w:r w:rsidRPr="00423F1D" w:rsidR="007C4E01">
        <w:rPr>
          <w:b/>
          <w:lang w:val="nl-NL"/>
        </w:rPr>
        <w:t>D</w:t>
      </w:r>
      <w:r w:rsidRPr="00423F1D" w:rsidR="00157F58">
        <w:rPr>
          <w:b/>
          <w:lang w:val="nl-NL"/>
        </w:rPr>
        <w:t>eelnemers Taskforce</w:t>
      </w:r>
      <w:r w:rsidRPr="00423F1D" w:rsidR="002E0813">
        <w:rPr>
          <w:b/>
          <w:lang w:val="nl-NL"/>
        </w:rPr>
        <w:t xml:space="preserve"> </w:t>
      </w:r>
    </w:p>
    <w:p w:rsidR="0029754F" w:rsidP="0029754F" w:rsidRDefault="0029754F" w14:paraId="7FF23BC9" w14:textId="06575721">
      <w:pPr>
        <w:pStyle w:val="Lijstalinea"/>
        <w:numPr>
          <w:ilvl w:val="0"/>
          <w:numId w:val="16"/>
        </w:numPr>
        <w:rPr>
          <w:bCs/>
          <w:iCs/>
          <w:lang w:val="nl-NL"/>
        </w:rPr>
      </w:pPr>
      <w:r w:rsidRPr="0029754F">
        <w:rPr>
          <w:bCs/>
          <w:iCs/>
          <w:lang w:val="nl-NL"/>
        </w:rPr>
        <w:t>Aan de Taskforce nemen</w:t>
      </w:r>
      <w:r w:rsidR="0024443A">
        <w:rPr>
          <w:bCs/>
          <w:iCs/>
          <w:lang w:val="nl-NL"/>
        </w:rPr>
        <w:t xml:space="preserve"> ten minste</w:t>
      </w:r>
      <w:r w:rsidRPr="0029754F">
        <w:rPr>
          <w:bCs/>
          <w:iCs/>
          <w:lang w:val="nl-NL"/>
        </w:rPr>
        <w:t xml:space="preserve"> de volgende organisaties deel, die allen een rol spelen in de vorming en uitvoering van het internationale migratiebeleid: </w:t>
      </w:r>
      <w:r w:rsidR="0024443A">
        <w:rPr>
          <w:bCs/>
          <w:iCs/>
          <w:lang w:val="nl-NL"/>
        </w:rPr>
        <w:t>D</w:t>
      </w:r>
      <w:r w:rsidRPr="0029754F">
        <w:rPr>
          <w:bCs/>
          <w:iCs/>
          <w:lang w:val="nl-NL"/>
        </w:rPr>
        <w:t>MB, COA, DT&amp;V, Kmar, IND, Politie,</w:t>
      </w:r>
      <w:r w:rsidRPr="0029754F" w:rsidR="0024443A">
        <w:rPr>
          <w:bCs/>
          <w:iCs/>
          <w:lang w:val="nl-NL"/>
        </w:rPr>
        <w:t xml:space="preserve"> </w:t>
      </w:r>
      <w:r w:rsidR="002C0087">
        <w:rPr>
          <w:bCs/>
          <w:iCs/>
          <w:lang w:val="nl-NL"/>
        </w:rPr>
        <w:t>D</w:t>
      </w:r>
      <w:r w:rsidRPr="0029754F">
        <w:rPr>
          <w:bCs/>
          <w:iCs/>
          <w:lang w:val="nl-NL"/>
        </w:rPr>
        <w:t>IE-EX/BZ, BZ regio- en themadirecties, SZW</w:t>
      </w:r>
      <w:r w:rsidR="007F203B">
        <w:rPr>
          <w:bCs/>
          <w:iCs/>
          <w:lang w:val="nl-NL"/>
        </w:rPr>
        <w:t>/AV, SZW/I</w:t>
      </w:r>
      <w:r w:rsidR="00824AC4">
        <w:rPr>
          <w:bCs/>
          <w:iCs/>
          <w:lang w:val="nl-NL"/>
        </w:rPr>
        <w:t>Z</w:t>
      </w:r>
      <w:r w:rsidRPr="0029754F">
        <w:rPr>
          <w:bCs/>
          <w:iCs/>
          <w:lang w:val="nl-NL"/>
        </w:rPr>
        <w:t>, J&amp;V,</w:t>
      </w:r>
      <w:r w:rsidR="0024443A">
        <w:rPr>
          <w:bCs/>
          <w:iCs/>
          <w:lang w:val="nl-NL"/>
        </w:rPr>
        <w:t xml:space="preserve"> </w:t>
      </w:r>
      <w:r w:rsidRPr="0029754F">
        <w:rPr>
          <w:bCs/>
          <w:iCs/>
          <w:lang w:val="nl-NL"/>
        </w:rPr>
        <w:t xml:space="preserve">Defensie. Iedere deelnemer vaardigt ten minste één liaison </w:t>
      </w:r>
      <w:r w:rsidR="007F203B">
        <w:rPr>
          <w:bCs/>
          <w:iCs/>
          <w:lang w:val="nl-NL"/>
        </w:rPr>
        <w:t xml:space="preserve">(op werkniveau) </w:t>
      </w:r>
      <w:r w:rsidRPr="0029754F">
        <w:rPr>
          <w:bCs/>
          <w:iCs/>
          <w:lang w:val="nl-NL"/>
        </w:rPr>
        <w:t xml:space="preserve">af voor de Taskforce, zij nemen deel aan de </w:t>
      </w:r>
      <w:r w:rsidR="00704566">
        <w:rPr>
          <w:bCs/>
          <w:iCs/>
          <w:lang w:val="nl-NL"/>
        </w:rPr>
        <w:t>taskforce</w:t>
      </w:r>
      <w:r w:rsidRPr="0029754F" w:rsidR="00704566">
        <w:rPr>
          <w:bCs/>
          <w:iCs/>
          <w:lang w:val="nl-NL"/>
        </w:rPr>
        <w:t xml:space="preserve"> </w:t>
      </w:r>
      <w:r w:rsidRPr="0029754F">
        <w:rPr>
          <w:bCs/>
          <w:iCs/>
          <w:lang w:val="nl-NL"/>
        </w:rPr>
        <w:t xml:space="preserve">in verschillende vorm en intensiteit, naargelang rol en capaciteit. </w:t>
      </w:r>
    </w:p>
    <w:p w:rsidRPr="0029754F" w:rsidR="0029754F" w:rsidP="0029754F" w:rsidRDefault="0029754F" w14:paraId="0712008B" w14:textId="3AA8CE4C">
      <w:pPr>
        <w:pStyle w:val="Lijstalinea"/>
        <w:numPr>
          <w:ilvl w:val="0"/>
          <w:numId w:val="16"/>
        </w:numPr>
        <w:spacing w:line="276" w:lineRule="auto"/>
        <w:rPr>
          <w:rFonts w:cs="Verdana"/>
          <w:i/>
          <w:lang w:val="nl-NL"/>
        </w:rPr>
      </w:pPr>
      <w:r w:rsidRPr="0029754F">
        <w:rPr>
          <w:rFonts w:cs="Verdana"/>
          <w:iCs/>
          <w:u w:val="single"/>
          <w:lang w:val="nl-NL"/>
        </w:rPr>
        <w:lastRenderedPageBreak/>
        <w:t>Kernteam:</w:t>
      </w:r>
      <w:r w:rsidRPr="0029754F">
        <w:rPr>
          <w:rFonts w:cs="Verdana"/>
          <w:i/>
          <w:lang w:val="nl-NL"/>
        </w:rPr>
        <w:t xml:space="preserve"> </w:t>
      </w:r>
      <w:r w:rsidRPr="0029754F">
        <w:rPr>
          <w:bCs/>
          <w:lang w:val="nl-NL"/>
        </w:rPr>
        <w:t>Teamleden A&amp;M/BIM</w:t>
      </w:r>
      <w:r w:rsidR="00EA4885">
        <w:rPr>
          <w:bCs/>
          <w:lang w:val="nl-NL"/>
        </w:rPr>
        <w:t xml:space="preserve"> (incl. ketenvertegenwoordiging</w:t>
      </w:r>
      <w:r w:rsidR="004C3255">
        <w:rPr>
          <w:bCs/>
          <w:lang w:val="nl-NL"/>
        </w:rPr>
        <w:t>)</w:t>
      </w:r>
      <w:r>
        <w:rPr>
          <w:bCs/>
          <w:lang w:val="nl-NL"/>
        </w:rPr>
        <w:t>,</w:t>
      </w:r>
      <w:r w:rsidRPr="0029754F">
        <w:rPr>
          <w:bCs/>
          <w:lang w:val="nl-NL"/>
        </w:rPr>
        <w:t xml:space="preserve"> en de voor migratie verantwoordelijke beleidsafdeling binnen BZ</w:t>
      </w:r>
      <w:r>
        <w:rPr>
          <w:rStyle w:val="Voetnootmarkering"/>
          <w:bCs/>
          <w:lang w:val="nl-NL"/>
        </w:rPr>
        <w:footnoteReference w:id="4"/>
      </w:r>
      <w:r w:rsidRPr="0029754F">
        <w:rPr>
          <w:bCs/>
          <w:lang w:val="nl-NL"/>
        </w:rPr>
        <w:t>. Zij vormen een kernteam dat op dagelijkse basis samenwerkt om de beleidsinhoudelijke, strategische lijnen uit te zetten.</w:t>
      </w:r>
      <w:r w:rsidR="007F203B">
        <w:rPr>
          <w:bCs/>
          <w:lang w:val="nl-NL"/>
        </w:rPr>
        <w:t xml:space="preserve"> </w:t>
      </w:r>
      <w:r w:rsidRPr="002C0087" w:rsidR="007F203B">
        <w:rPr>
          <w:rFonts w:cs="Verdana"/>
          <w:iCs/>
          <w:lang w:val="nl-NL"/>
        </w:rPr>
        <w:t>Waar het mandaat of beleidsterrein van andere taskforceleden wordt geraakt, zal het kernteam afstemmen met desbetreffende leden.</w:t>
      </w:r>
      <w:r w:rsidRPr="002C0087">
        <w:rPr>
          <w:bCs/>
          <w:lang w:val="nl-NL"/>
        </w:rPr>
        <w:t xml:space="preserve"> </w:t>
      </w:r>
      <w:r w:rsidRPr="002C0087">
        <w:rPr>
          <w:rFonts w:cs="Verdana"/>
          <w:lang w:val="nl-NL"/>
        </w:rPr>
        <w:t>Het kernteam betrekt</w:t>
      </w:r>
      <w:r w:rsidRPr="002C0087" w:rsidR="007F203B">
        <w:rPr>
          <w:rFonts w:cs="Verdana"/>
          <w:lang w:val="nl-NL"/>
        </w:rPr>
        <w:t xml:space="preserve"> daarvoor</w:t>
      </w:r>
      <w:r w:rsidRPr="002C0087">
        <w:rPr>
          <w:rFonts w:cs="Verdana"/>
          <w:lang w:val="nl-NL"/>
        </w:rPr>
        <w:t xml:space="preserve"> de overige</w:t>
      </w:r>
      <w:r w:rsidRPr="0029754F">
        <w:rPr>
          <w:rFonts w:cs="Verdana"/>
          <w:lang w:val="nl-NL"/>
        </w:rPr>
        <w:t xml:space="preserve"> stakeholders van de </w:t>
      </w:r>
      <w:r w:rsidR="00A1480D">
        <w:rPr>
          <w:rFonts w:cs="Verdana"/>
          <w:lang w:val="nl-NL"/>
        </w:rPr>
        <w:t xml:space="preserve">taskforce </w:t>
      </w:r>
      <w:r w:rsidRPr="004C5AED" w:rsidR="00A1480D">
        <w:rPr>
          <w:rFonts w:cs="Verdana"/>
          <w:lang w:val="nl-NL"/>
        </w:rPr>
        <w:t xml:space="preserve">in een zo vroeg mogelijk stadium </w:t>
      </w:r>
      <w:r w:rsidRPr="0029754F">
        <w:rPr>
          <w:rFonts w:cs="Verdana"/>
          <w:lang w:val="nl-NL"/>
        </w:rPr>
        <w:t>waar relevant (zie ook overlegafspraken).</w:t>
      </w:r>
    </w:p>
    <w:p w:rsidRPr="00423F1D" w:rsidR="0047699E" w:rsidP="00423F1D" w:rsidRDefault="005F5721" w14:paraId="6B416096" w14:textId="6110AFBB">
      <w:pPr>
        <w:spacing w:line="276" w:lineRule="auto"/>
        <w:rPr>
          <w:rFonts w:cs="Verdana"/>
          <w:b/>
          <w:lang w:val="nl-NL"/>
        </w:rPr>
      </w:pPr>
      <w:r>
        <w:rPr>
          <w:rFonts w:cs="Verdana"/>
          <w:b/>
          <w:lang w:val="nl-NL"/>
        </w:rPr>
        <w:t xml:space="preserve">5. </w:t>
      </w:r>
      <w:r w:rsidRPr="00423F1D" w:rsidR="0047699E">
        <w:rPr>
          <w:rFonts w:cs="Verdana"/>
          <w:b/>
          <w:lang w:val="nl-NL"/>
        </w:rPr>
        <w:t>Mandaten kernteam</w:t>
      </w:r>
      <w:r w:rsidRPr="00423F1D" w:rsidR="0040405D">
        <w:rPr>
          <w:rFonts w:cs="Verdana"/>
          <w:b/>
          <w:lang w:val="nl-NL"/>
        </w:rPr>
        <w:t>leden</w:t>
      </w:r>
      <w:r w:rsidR="00D84212">
        <w:rPr>
          <w:rFonts w:cs="Verdana"/>
          <w:b/>
          <w:lang w:val="nl-NL"/>
        </w:rPr>
        <w:t xml:space="preserve"> en taskforce</w:t>
      </w:r>
    </w:p>
    <w:p w:rsidR="00A84361" w:rsidP="0029754F" w:rsidRDefault="00157F58" w14:paraId="693948F7" w14:textId="3FE78CD0">
      <w:pPr>
        <w:pStyle w:val="Lijstalinea"/>
        <w:numPr>
          <w:ilvl w:val="0"/>
          <w:numId w:val="17"/>
        </w:numPr>
        <w:spacing w:line="276" w:lineRule="auto"/>
        <w:rPr>
          <w:rFonts w:cs="Verdana"/>
          <w:lang w:val="nl-NL"/>
        </w:rPr>
      </w:pPr>
      <w:r w:rsidRPr="00423F1D">
        <w:rPr>
          <w:rFonts w:cs="Verdana"/>
          <w:lang w:val="nl-NL"/>
        </w:rPr>
        <w:t>A&amp;</w:t>
      </w:r>
      <w:r w:rsidRPr="00423F1D" w:rsidR="00DB4B0C">
        <w:rPr>
          <w:rFonts w:cs="Verdana"/>
          <w:lang w:val="nl-NL"/>
        </w:rPr>
        <w:t>M</w:t>
      </w:r>
      <w:r w:rsidRPr="00423F1D">
        <w:rPr>
          <w:rFonts w:cs="Verdana"/>
          <w:lang w:val="nl-NL"/>
        </w:rPr>
        <w:t xml:space="preserve"> draagt</w:t>
      </w:r>
      <w:r w:rsidRPr="00423F1D" w:rsidR="00DB4B0C">
        <w:rPr>
          <w:rFonts w:cs="Verdana"/>
          <w:lang w:val="nl-NL"/>
        </w:rPr>
        <w:t xml:space="preserve"> </w:t>
      </w:r>
      <w:r w:rsidRPr="00423F1D">
        <w:rPr>
          <w:rFonts w:cs="Verdana"/>
          <w:lang w:val="nl-NL"/>
        </w:rPr>
        <w:t xml:space="preserve">de </w:t>
      </w:r>
      <w:r w:rsidRPr="00423F1D" w:rsidR="00D623D3">
        <w:rPr>
          <w:rFonts w:cs="Verdana"/>
          <w:lang w:val="nl-NL"/>
        </w:rPr>
        <w:t>coördinerende</w:t>
      </w:r>
      <w:r w:rsidRPr="00423F1D">
        <w:rPr>
          <w:rFonts w:cs="Verdana"/>
          <w:lang w:val="nl-NL"/>
        </w:rPr>
        <w:t xml:space="preserve"> verantwoordelijkheid voor het internationale migratiebeleid van Nederland.</w:t>
      </w:r>
      <w:r w:rsidRPr="00423F1D" w:rsidR="009850DC">
        <w:rPr>
          <w:rFonts w:cs="Verdana"/>
          <w:lang w:val="nl-NL"/>
        </w:rPr>
        <w:t xml:space="preserve"> Tegelijkertijd is BZ verantwoordelijk voor het brede buitenland beleid waar migratie een onderdeel van is</w:t>
      </w:r>
      <w:r w:rsidR="00704566">
        <w:rPr>
          <w:rFonts w:cs="Verdana"/>
          <w:lang w:val="nl-NL"/>
        </w:rPr>
        <w:t>.</w:t>
      </w:r>
      <w:r w:rsidR="009F73BE">
        <w:rPr>
          <w:rFonts w:cs="Verdana"/>
          <w:lang w:val="nl-NL"/>
        </w:rPr>
        <w:t xml:space="preserve"> Dit betekent dat gezamenlijk verantwoordelijkheid gedragen wordt wanneer </w:t>
      </w:r>
      <w:r w:rsidR="00AF1F8E">
        <w:rPr>
          <w:rFonts w:cs="Verdana"/>
          <w:lang w:val="nl-NL"/>
        </w:rPr>
        <w:t xml:space="preserve">samengewerkt wordt met </w:t>
      </w:r>
      <w:r w:rsidR="00EE6A78">
        <w:rPr>
          <w:rFonts w:cs="Verdana"/>
          <w:lang w:val="nl-NL"/>
        </w:rPr>
        <w:t>partner</w:t>
      </w:r>
      <w:r w:rsidR="00AF1F8E">
        <w:rPr>
          <w:rFonts w:cs="Verdana"/>
          <w:lang w:val="nl-NL"/>
        </w:rPr>
        <w:t>landen op het thema migratie.</w:t>
      </w:r>
      <w:r w:rsidR="009F73BE">
        <w:rPr>
          <w:rFonts w:cs="Verdana"/>
          <w:lang w:val="nl-NL"/>
        </w:rPr>
        <w:t xml:space="preserve"> </w:t>
      </w:r>
      <w:r w:rsidRPr="00423F1D">
        <w:rPr>
          <w:rFonts w:cs="Verdana"/>
          <w:lang w:val="nl-NL"/>
        </w:rPr>
        <w:t>De bilaterale, Europese en multilaterale inzet liggen hierbij nadrukkelijk in elkaars verlengde.</w:t>
      </w:r>
    </w:p>
    <w:p w:rsidRPr="00C2111A" w:rsidR="00C2111A" w:rsidP="0029754F" w:rsidRDefault="00C2111A" w14:paraId="6EAFD603" w14:textId="2E8032A5">
      <w:pPr>
        <w:pStyle w:val="Lijstalinea"/>
        <w:numPr>
          <w:ilvl w:val="0"/>
          <w:numId w:val="17"/>
        </w:numPr>
        <w:spacing w:line="276" w:lineRule="auto"/>
        <w:rPr>
          <w:rFonts w:cs="Verdana"/>
          <w:lang w:val="nl-NL"/>
        </w:rPr>
      </w:pPr>
      <w:r w:rsidRPr="00423F1D">
        <w:rPr>
          <w:rFonts w:cs="Verdana"/>
          <w:lang w:val="nl-NL"/>
        </w:rPr>
        <w:t xml:space="preserve">Binnen de </w:t>
      </w:r>
      <w:r w:rsidR="00A1480D">
        <w:rPr>
          <w:rFonts w:cs="Verdana"/>
          <w:lang w:val="nl-NL"/>
        </w:rPr>
        <w:t>taskforce</w:t>
      </w:r>
      <w:r w:rsidRPr="00423F1D" w:rsidR="00A1480D">
        <w:rPr>
          <w:rFonts w:cs="Verdana"/>
          <w:lang w:val="nl-NL"/>
        </w:rPr>
        <w:t xml:space="preserve"> </w:t>
      </w:r>
      <w:r w:rsidRPr="00423F1D">
        <w:rPr>
          <w:rFonts w:cs="Verdana"/>
          <w:lang w:val="nl-NL"/>
        </w:rPr>
        <w:t>wordt intensief samengewerkt van werk- tot besluitvormingsniveau,</w:t>
      </w:r>
      <w:r>
        <w:rPr>
          <w:rFonts w:cs="Verdana"/>
          <w:lang w:val="nl-NL"/>
        </w:rPr>
        <w:t xml:space="preserve"> het kernteam geeft hier de dagelijkse sturing aan, </w:t>
      </w:r>
      <w:r w:rsidR="00A1480D">
        <w:rPr>
          <w:rFonts w:cs="Verdana"/>
          <w:lang w:val="nl-NL"/>
        </w:rPr>
        <w:t xml:space="preserve">faciliteert informatie-uitwisseling </w:t>
      </w:r>
      <w:r w:rsidR="00F3371E">
        <w:rPr>
          <w:rFonts w:cs="Verdana"/>
          <w:lang w:val="nl-NL"/>
        </w:rPr>
        <w:t xml:space="preserve">binnen de taskforce </w:t>
      </w:r>
      <w:r>
        <w:rPr>
          <w:rFonts w:cs="Verdana"/>
          <w:lang w:val="nl-NL"/>
        </w:rPr>
        <w:t>en formuleert samen met de deelnemers de inzet</w:t>
      </w:r>
      <w:r w:rsidR="00C97216">
        <w:rPr>
          <w:rFonts w:cs="Verdana"/>
          <w:lang w:val="nl-NL"/>
        </w:rPr>
        <w:t xml:space="preserve"> en uitvoering</w:t>
      </w:r>
      <w:r>
        <w:rPr>
          <w:rFonts w:cs="Verdana"/>
          <w:lang w:val="nl-NL"/>
        </w:rPr>
        <w:t xml:space="preserve">. </w:t>
      </w:r>
    </w:p>
    <w:p w:rsidRPr="00A7487D" w:rsidR="00A7487D" w:rsidP="0029754F" w:rsidRDefault="00A7487D" w14:paraId="409F3EC6" w14:textId="338E08E8">
      <w:pPr>
        <w:pStyle w:val="Lijstalinea"/>
        <w:numPr>
          <w:ilvl w:val="0"/>
          <w:numId w:val="17"/>
        </w:numPr>
        <w:spacing w:line="276" w:lineRule="auto"/>
        <w:rPr>
          <w:rFonts w:cs="Verdana"/>
          <w:lang w:val="nl-NL"/>
        </w:rPr>
      </w:pPr>
      <w:r w:rsidRPr="00423F1D">
        <w:rPr>
          <w:rFonts w:cs="Verdana"/>
          <w:lang w:val="nl-NL"/>
        </w:rPr>
        <w:t xml:space="preserve">In het kernteam </w:t>
      </w:r>
      <w:r w:rsidRPr="00423F1D" w:rsidR="002E696C">
        <w:rPr>
          <w:rFonts w:cs="Verdana"/>
          <w:lang w:val="nl-NL"/>
        </w:rPr>
        <w:t>word</w:t>
      </w:r>
      <w:r w:rsidR="002E696C">
        <w:rPr>
          <w:rFonts w:cs="Verdana"/>
          <w:lang w:val="nl-NL"/>
        </w:rPr>
        <w:t>t de</w:t>
      </w:r>
      <w:r w:rsidRPr="00423F1D" w:rsidR="002E696C">
        <w:rPr>
          <w:rFonts w:cs="Verdana"/>
          <w:lang w:val="nl-NL"/>
        </w:rPr>
        <w:t xml:space="preserve"> </w:t>
      </w:r>
      <w:r w:rsidRPr="00423F1D">
        <w:rPr>
          <w:rFonts w:cs="Verdana"/>
          <w:lang w:val="nl-NL"/>
        </w:rPr>
        <w:t>gezamenlijke strategische</w:t>
      </w:r>
      <w:r w:rsidR="002E696C">
        <w:rPr>
          <w:rFonts w:cs="Verdana"/>
          <w:lang w:val="nl-NL"/>
        </w:rPr>
        <w:t xml:space="preserve"> inzet op migratiepartnerschappen, inclusief</w:t>
      </w:r>
      <w:r w:rsidRPr="00423F1D">
        <w:rPr>
          <w:rFonts w:cs="Verdana"/>
          <w:lang w:val="nl-NL"/>
        </w:rPr>
        <w:t xml:space="preserve"> programmeringslijnen</w:t>
      </w:r>
      <w:r w:rsidR="00842F5C">
        <w:rPr>
          <w:rStyle w:val="Voetnootmarkering"/>
          <w:rFonts w:cs="Verdana"/>
          <w:lang w:val="nl-NL"/>
        </w:rPr>
        <w:footnoteReference w:id="5"/>
      </w:r>
      <w:r w:rsidR="002E696C">
        <w:rPr>
          <w:rFonts w:cs="Verdana"/>
          <w:lang w:val="nl-NL"/>
        </w:rPr>
        <w:t xml:space="preserve"> </w:t>
      </w:r>
      <w:r w:rsidR="00704566">
        <w:rPr>
          <w:rFonts w:cs="Verdana"/>
          <w:lang w:val="nl-NL"/>
        </w:rPr>
        <w:t>voorbereid</w:t>
      </w:r>
      <w:r w:rsidRPr="00423F1D">
        <w:rPr>
          <w:rFonts w:cs="Verdana"/>
          <w:lang w:val="nl-NL"/>
        </w:rPr>
        <w:t>. Daarbij wordt een monitoringsmechanisme opgezet</w:t>
      </w:r>
      <w:r w:rsidR="00A1480D">
        <w:rPr>
          <w:rFonts w:cs="Verdana"/>
          <w:lang w:val="nl-NL"/>
        </w:rPr>
        <w:t xml:space="preserve"> om de middelen verantwoord te besteden, met in achtneming van </w:t>
      </w:r>
      <w:r w:rsidRPr="002C0087" w:rsidR="00A1480D">
        <w:rPr>
          <w:rFonts w:cs="Verdana"/>
          <w:i/>
          <w:iCs/>
          <w:lang w:val="nl-NL"/>
        </w:rPr>
        <w:t>het do-no-harm</w:t>
      </w:r>
      <w:r w:rsidR="00A1480D">
        <w:rPr>
          <w:rFonts w:cs="Verdana"/>
          <w:lang w:val="nl-NL"/>
        </w:rPr>
        <w:t xml:space="preserve"> principe</w:t>
      </w:r>
      <w:r w:rsidRPr="00423F1D">
        <w:rPr>
          <w:rFonts w:cs="Verdana"/>
          <w:lang w:val="nl-NL"/>
        </w:rPr>
        <w:t>,</w:t>
      </w:r>
      <w:r w:rsidR="00A1480D">
        <w:rPr>
          <w:rFonts w:cs="Verdana"/>
          <w:lang w:val="nl-NL"/>
        </w:rPr>
        <w:t xml:space="preserve"> en om adaptief programmeren mogelijk te maken.</w:t>
      </w:r>
      <w:r w:rsidRPr="00423F1D">
        <w:rPr>
          <w:rFonts w:cs="Verdana"/>
          <w:lang w:val="nl-NL"/>
        </w:rPr>
        <w:t xml:space="preserve"> </w:t>
      </w:r>
      <w:r w:rsidR="00A1480D">
        <w:rPr>
          <w:rFonts w:cs="Verdana"/>
          <w:lang w:val="nl-NL"/>
        </w:rPr>
        <w:t>Hierbij</w:t>
      </w:r>
      <w:r w:rsidRPr="00423F1D" w:rsidR="00A1480D">
        <w:rPr>
          <w:rFonts w:cs="Verdana"/>
          <w:lang w:val="nl-NL"/>
        </w:rPr>
        <w:t xml:space="preserve"> </w:t>
      </w:r>
      <w:r w:rsidR="00A1480D">
        <w:rPr>
          <w:rFonts w:cs="Verdana"/>
          <w:lang w:val="nl-NL"/>
        </w:rPr>
        <w:t xml:space="preserve">worden </w:t>
      </w:r>
      <w:r w:rsidRPr="00423F1D">
        <w:rPr>
          <w:rFonts w:cs="Verdana"/>
          <w:lang w:val="nl-NL"/>
        </w:rPr>
        <w:t>externe partij</w:t>
      </w:r>
      <w:r>
        <w:rPr>
          <w:rFonts w:cs="Verdana"/>
          <w:lang w:val="nl-NL"/>
        </w:rPr>
        <w:t>en</w:t>
      </w:r>
      <w:r w:rsidRPr="00423F1D">
        <w:rPr>
          <w:rFonts w:cs="Verdana"/>
          <w:lang w:val="nl-NL"/>
        </w:rPr>
        <w:t xml:space="preserve"> betrokken</w:t>
      </w:r>
      <w:r>
        <w:rPr>
          <w:rFonts w:cs="Verdana"/>
          <w:lang w:val="nl-NL"/>
        </w:rPr>
        <w:t xml:space="preserve"> waar </w:t>
      </w:r>
      <w:r w:rsidR="00FC398F">
        <w:rPr>
          <w:rFonts w:cs="Verdana"/>
          <w:lang w:val="nl-NL"/>
        </w:rPr>
        <w:t>nodig</w:t>
      </w:r>
      <w:r w:rsidRPr="00423F1D">
        <w:rPr>
          <w:rFonts w:cs="Verdana"/>
          <w:lang w:val="nl-NL"/>
        </w:rPr>
        <w:t>.</w:t>
      </w:r>
      <w:r w:rsidRPr="00423F1D" w:rsidDel="00391AD3">
        <w:rPr>
          <w:rFonts w:cs="Verdana"/>
          <w:lang w:val="nl-NL"/>
        </w:rPr>
        <w:t xml:space="preserve"> </w:t>
      </w:r>
    </w:p>
    <w:p w:rsidRPr="00423F1D" w:rsidR="00D623D3" w:rsidP="0029754F" w:rsidRDefault="009023BD" w14:paraId="5FDA9265" w14:textId="514636C6">
      <w:pPr>
        <w:pStyle w:val="Lijstalinea"/>
        <w:numPr>
          <w:ilvl w:val="0"/>
          <w:numId w:val="17"/>
        </w:numPr>
        <w:spacing w:line="276" w:lineRule="auto"/>
        <w:rPr>
          <w:rFonts w:cs="Verdana"/>
          <w:lang w:val="nl-NL"/>
        </w:rPr>
      </w:pPr>
      <w:r>
        <w:rPr>
          <w:rFonts w:cs="Verdana"/>
          <w:lang w:val="nl-NL"/>
        </w:rPr>
        <w:t xml:space="preserve">Binnen het kernteam is programmeringsbudget beschikbaar voor de ondersteuning van partnerschappen op basis van jaarlijkse allocatie in de rijksbegroting. </w:t>
      </w:r>
      <w:r w:rsidR="00581CA6">
        <w:rPr>
          <w:rFonts w:cs="Verdana"/>
          <w:lang w:val="nl-NL"/>
        </w:rPr>
        <w:t>Eventuele afspraken met derde landen over migratiepartnerschappen dienen binnen de</w:t>
      </w:r>
      <w:r w:rsidR="00824AC4">
        <w:rPr>
          <w:rFonts w:cs="Verdana"/>
          <w:lang w:val="nl-NL"/>
        </w:rPr>
        <w:t xml:space="preserve"> dan</w:t>
      </w:r>
      <w:r w:rsidR="00581CA6">
        <w:rPr>
          <w:rFonts w:cs="Verdana"/>
          <w:lang w:val="nl-NL"/>
        </w:rPr>
        <w:t xml:space="preserve"> bestaande </w:t>
      </w:r>
      <w:r w:rsidR="009D449C">
        <w:rPr>
          <w:rFonts w:cs="Verdana"/>
          <w:lang w:val="nl-NL"/>
        </w:rPr>
        <w:t>budgettaire</w:t>
      </w:r>
      <w:r w:rsidR="00581CA6">
        <w:rPr>
          <w:rFonts w:cs="Verdana"/>
          <w:lang w:val="nl-NL"/>
        </w:rPr>
        <w:t xml:space="preserve"> kaders te worden gedekt. </w:t>
      </w:r>
      <w:r w:rsidRPr="00423F1D" w:rsidR="003546FB">
        <w:rPr>
          <w:rFonts w:cs="Verdana"/>
          <w:lang w:val="nl-NL"/>
        </w:rPr>
        <w:t>Wat betreft</w:t>
      </w:r>
      <w:r w:rsidRPr="00423F1D" w:rsidR="0047699E">
        <w:rPr>
          <w:rFonts w:cs="Verdana"/>
          <w:lang w:val="nl-NL"/>
        </w:rPr>
        <w:t xml:space="preserve"> programmering </w:t>
      </w:r>
      <w:r w:rsidRPr="00423F1D" w:rsidR="00A84361">
        <w:rPr>
          <w:rFonts w:cs="Verdana"/>
          <w:lang w:val="nl-NL"/>
        </w:rPr>
        <w:t xml:space="preserve">is </w:t>
      </w:r>
      <w:r w:rsidRPr="00423F1D" w:rsidR="003546FB">
        <w:rPr>
          <w:rFonts w:cs="Verdana"/>
          <w:lang w:val="nl-NL"/>
        </w:rPr>
        <w:t xml:space="preserve">BZ </w:t>
      </w:r>
      <w:r w:rsidRPr="00423F1D" w:rsidR="00A84361">
        <w:rPr>
          <w:rFonts w:cs="Verdana"/>
          <w:lang w:val="nl-NL"/>
        </w:rPr>
        <w:t xml:space="preserve">verantwoordelijk voor het eigen ODA-budget dat beschikbaar is gesteld voor </w:t>
      </w:r>
      <w:r w:rsidR="00384AED">
        <w:rPr>
          <w:rFonts w:cs="Verdana"/>
          <w:lang w:val="nl-NL"/>
        </w:rPr>
        <w:t>mi</w:t>
      </w:r>
      <w:r w:rsidRPr="00423F1D" w:rsidR="00A84361">
        <w:rPr>
          <w:rFonts w:cs="Verdana"/>
          <w:lang w:val="nl-NL"/>
        </w:rPr>
        <w:t>gratiesamenwerking. A&amp;M is verantwoordelijk voor het budget</w:t>
      </w:r>
      <w:r w:rsidR="00D844C9">
        <w:rPr>
          <w:rFonts w:cs="Verdana"/>
          <w:lang w:val="nl-NL"/>
        </w:rPr>
        <w:t>,</w:t>
      </w:r>
      <w:r w:rsidRPr="00423F1D" w:rsidR="00A84361">
        <w:rPr>
          <w:rFonts w:cs="Verdana"/>
          <w:lang w:val="nl-NL"/>
        </w:rPr>
        <w:t xml:space="preserve"> dat non-ODA</w:t>
      </w:r>
      <w:r w:rsidR="00D844C9">
        <w:rPr>
          <w:rFonts w:cs="Verdana"/>
          <w:lang w:val="nl-NL"/>
        </w:rPr>
        <w:t xml:space="preserve"> is,</w:t>
      </w:r>
      <w:r w:rsidRPr="00423F1D" w:rsidR="00A84361">
        <w:rPr>
          <w:rFonts w:cs="Verdana"/>
          <w:lang w:val="nl-NL"/>
        </w:rPr>
        <w:t xml:space="preserve"> is </w:t>
      </w:r>
      <w:r w:rsidR="00D844C9">
        <w:rPr>
          <w:rFonts w:cs="Verdana"/>
          <w:lang w:val="nl-NL"/>
        </w:rPr>
        <w:t>ten behoeve van</w:t>
      </w:r>
      <w:r w:rsidRPr="00423F1D" w:rsidR="00A84361">
        <w:rPr>
          <w:rFonts w:cs="Verdana"/>
          <w:lang w:val="nl-NL"/>
        </w:rPr>
        <w:t xml:space="preserve"> de partnerschappen. </w:t>
      </w:r>
      <w:r w:rsidRPr="00423F1D" w:rsidR="0047699E">
        <w:rPr>
          <w:rFonts w:cs="Verdana"/>
          <w:lang w:val="nl-NL"/>
        </w:rPr>
        <w:t>Beide leden van het kernteam behouden hun eigen budgetverantwoordelijkheid</w:t>
      </w:r>
      <w:r w:rsidR="00AF1F8E">
        <w:rPr>
          <w:rFonts w:cs="Verdana"/>
          <w:lang w:val="nl-NL"/>
        </w:rPr>
        <w:t xml:space="preserve"> en maken afspraken over stroomlijning van de inzet van de verschillende budgetten aan de hand van thema’s en doelstellingen</w:t>
      </w:r>
      <w:r w:rsidR="00C97216">
        <w:rPr>
          <w:rFonts w:cs="Verdana"/>
          <w:lang w:val="nl-NL"/>
        </w:rPr>
        <w:t xml:space="preserve"> per land</w:t>
      </w:r>
      <w:r w:rsidR="00AF1F8E">
        <w:rPr>
          <w:rFonts w:cs="Verdana"/>
          <w:lang w:val="nl-NL"/>
        </w:rPr>
        <w:t>.</w:t>
      </w:r>
      <w:r>
        <w:rPr>
          <w:rFonts w:cs="Verdana"/>
          <w:lang w:val="nl-NL"/>
        </w:rPr>
        <w:t xml:space="preserve"> </w:t>
      </w:r>
    </w:p>
    <w:p w:rsidRPr="00423F1D" w:rsidR="003546FB" w:rsidP="00AF1F8E" w:rsidRDefault="009023BD" w14:paraId="787B3B0D" w14:textId="07DB9C76">
      <w:pPr>
        <w:pStyle w:val="Lijstalinea"/>
        <w:spacing w:line="276" w:lineRule="auto"/>
        <w:rPr>
          <w:rFonts w:cs="Verdana"/>
          <w:lang w:val="nl-NL"/>
        </w:rPr>
      </w:pPr>
      <w:r>
        <w:rPr>
          <w:rFonts w:cs="Verdana"/>
          <w:lang w:val="nl-NL"/>
        </w:rPr>
        <w:t xml:space="preserve">Het is mogelijk en kan worden aangemoedigd dat leden van de taskforce middelen beschikbaar stellen ter ondersteuning van de partnerschappen. De leden van de taskforce zullen hierbij altijd verantwoordelijkheid houden over hun eigen budgetten. </w:t>
      </w:r>
    </w:p>
    <w:p w:rsidRPr="00C47F1D" w:rsidR="00794569" w:rsidP="00D623D3" w:rsidRDefault="005F5721" w14:paraId="26DBB7FB" w14:textId="38E58F33">
      <w:pPr>
        <w:rPr>
          <w:b/>
          <w:bCs/>
          <w:lang w:val="nl-NL"/>
        </w:rPr>
      </w:pPr>
      <w:r>
        <w:rPr>
          <w:b/>
          <w:bCs/>
          <w:lang w:val="nl-NL"/>
        </w:rPr>
        <w:t xml:space="preserve">6. </w:t>
      </w:r>
      <w:r w:rsidRPr="00794569" w:rsidR="00B5706D">
        <w:rPr>
          <w:b/>
          <w:bCs/>
          <w:lang w:val="nl-NL"/>
        </w:rPr>
        <w:t>Overlegafspraken</w:t>
      </w:r>
      <w:r w:rsidRPr="00794569" w:rsidR="00550E83">
        <w:rPr>
          <w:b/>
          <w:bCs/>
          <w:lang w:val="nl-NL"/>
        </w:rPr>
        <w:t xml:space="preserve"> </w:t>
      </w:r>
      <w:r w:rsidR="00C01A0D">
        <w:rPr>
          <w:b/>
          <w:bCs/>
          <w:lang w:val="nl-NL"/>
        </w:rPr>
        <w:t>en besluitvorming</w:t>
      </w:r>
      <w:r w:rsidRPr="00794569" w:rsidR="00550E83">
        <w:rPr>
          <w:b/>
          <w:bCs/>
          <w:lang w:val="nl-NL"/>
        </w:rPr>
        <w:t xml:space="preserve"> </w:t>
      </w:r>
      <w:r w:rsidRPr="00794569" w:rsidR="00B5706D">
        <w:rPr>
          <w:b/>
          <w:bCs/>
          <w:lang w:val="nl-NL"/>
        </w:rPr>
        <w:t>t</w:t>
      </w:r>
      <w:r w:rsidRPr="00794569" w:rsidR="00550E83">
        <w:rPr>
          <w:b/>
          <w:bCs/>
          <w:lang w:val="nl-NL"/>
        </w:rPr>
        <w:t>askforce</w:t>
      </w:r>
    </w:p>
    <w:p w:rsidRPr="00423F1D" w:rsidR="00C01A0D" w:rsidP="00C01A0D" w:rsidRDefault="00C01A0D" w14:paraId="7ED99E11" w14:textId="2318F854">
      <w:pPr>
        <w:pStyle w:val="Lijstalinea"/>
        <w:numPr>
          <w:ilvl w:val="0"/>
          <w:numId w:val="7"/>
        </w:numPr>
        <w:spacing w:line="276" w:lineRule="auto"/>
        <w:rPr>
          <w:rFonts w:cs="Verdana"/>
          <w:lang w:val="nl-NL"/>
        </w:rPr>
      </w:pPr>
      <w:r>
        <w:rPr>
          <w:rFonts w:cs="Verdana"/>
          <w:lang w:val="nl-NL"/>
        </w:rPr>
        <w:t>Politieke b</w:t>
      </w:r>
      <w:r w:rsidRPr="00423F1D">
        <w:rPr>
          <w:rFonts w:cs="Verdana"/>
          <w:lang w:val="nl-NL"/>
        </w:rPr>
        <w:t xml:space="preserve">esluitvorming </w:t>
      </w:r>
      <w:r>
        <w:rPr>
          <w:rFonts w:cs="Verdana"/>
          <w:lang w:val="nl-NL"/>
        </w:rPr>
        <w:t xml:space="preserve">verloopt </w:t>
      </w:r>
      <w:r w:rsidRPr="00423F1D">
        <w:rPr>
          <w:rFonts w:cs="Verdana"/>
          <w:lang w:val="nl-NL"/>
        </w:rPr>
        <w:t>via</w:t>
      </w:r>
      <w:r>
        <w:rPr>
          <w:rFonts w:cs="Verdana"/>
          <w:lang w:val="nl-NL"/>
        </w:rPr>
        <w:t xml:space="preserve"> de</w:t>
      </w:r>
      <w:r w:rsidRPr="00423F1D">
        <w:rPr>
          <w:rFonts w:cs="Verdana"/>
          <w:lang w:val="nl-NL"/>
        </w:rPr>
        <w:t xml:space="preserve"> Onderraad (I) A&amp;M. Tevens wordt de onderraad eens per kwartaal ingelicht over de voortgang van de werkzaamheden van de taskforce.</w:t>
      </w:r>
      <w:r w:rsidR="007F203B">
        <w:rPr>
          <w:rFonts w:cs="Verdana"/>
          <w:lang w:val="nl-NL"/>
        </w:rPr>
        <w:t xml:space="preserve"> </w:t>
      </w:r>
    </w:p>
    <w:p w:rsidRPr="00C01A0D" w:rsidR="00C01A0D" w:rsidP="00C01A0D" w:rsidRDefault="00C01A0D" w14:paraId="6B835494" w14:textId="08951022">
      <w:pPr>
        <w:pStyle w:val="Lijstalinea"/>
        <w:numPr>
          <w:ilvl w:val="0"/>
          <w:numId w:val="7"/>
        </w:numPr>
        <w:spacing w:line="276" w:lineRule="auto"/>
        <w:rPr>
          <w:rFonts w:cs="Verdana"/>
          <w:lang w:val="nl-NL"/>
        </w:rPr>
      </w:pPr>
      <w:r w:rsidRPr="00423F1D">
        <w:rPr>
          <w:rFonts w:cs="Verdana"/>
          <w:lang w:val="nl-NL"/>
        </w:rPr>
        <w:t>Uitgangspunt is om de overleg</w:t>
      </w:r>
      <w:r>
        <w:rPr>
          <w:rFonts w:cs="Verdana"/>
          <w:lang w:val="nl-NL"/>
        </w:rPr>
        <w:t>- en besluitvormings</w:t>
      </w:r>
      <w:r w:rsidRPr="00423F1D">
        <w:rPr>
          <w:rFonts w:cs="Verdana"/>
          <w:lang w:val="nl-NL"/>
        </w:rPr>
        <w:t xml:space="preserve">structuur zo effectief mogelijk in te richten, zoveel mogelijk gebruikmakend van bestaande (hoog-)ambtelijke </w:t>
      </w:r>
      <w:r>
        <w:rPr>
          <w:rFonts w:cs="Verdana"/>
          <w:lang w:val="nl-NL"/>
        </w:rPr>
        <w:t>gremia.</w:t>
      </w:r>
      <w:r w:rsidRPr="00423F1D">
        <w:rPr>
          <w:rFonts w:cs="Verdana"/>
          <w:lang w:val="nl-NL"/>
        </w:rPr>
        <w:t xml:space="preserve"> </w:t>
      </w:r>
    </w:p>
    <w:p w:rsidR="00AD78C3" w:rsidP="00423F1D" w:rsidRDefault="00440467" w14:paraId="335C3716" w14:textId="126BD46D">
      <w:pPr>
        <w:pStyle w:val="Lijstalinea"/>
        <w:numPr>
          <w:ilvl w:val="0"/>
          <w:numId w:val="7"/>
        </w:numPr>
        <w:spacing w:line="276" w:lineRule="auto"/>
        <w:rPr>
          <w:rFonts w:cs="Verdana"/>
          <w:lang w:val="nl-NL"/>
        </w:rPr>
      </w:pPr>
      <w:r>
        <w:rPr>
          <w:rFonts w:cs="Verdana"/>
          <w:lang w:val="nl-NL"/>
        </w:rPr>
        <w:t>De t</w:t>
      </w:r>
      <w:r w:rsidR="00AD78C3">
        <w:rPr>
          <w:rFonts w:cs="Verdana"/>
          <w:lang w:val="nl-NL"/>
        </w:rPr>
        <w:t xml:space="preserve">askforce </w:t>
      </w:r>
      <w:r>
        <w:rPr>
          <w:rFonts w:cs="Verdana"/>
          <w:lang w:val="nl-NL"/>
        </w:rPr>
        <w:t>staat onder dagelijkse leiding van de</w:t>
      </w:r>
      <w:r w:rsidR="00AD78C3">
        <w:rPr>
          <w:rFonts w:cs="Verdana"/>
          <w:lang w:val="nl-NL"/>
        </w:rPr>
        <w:t xml:space="preserve"> plv</w:t>
      </w:r>
      <w:r w:rsidR="00C01A0D">
        <w:rPr>
          <w:rFonts w:cs="Verdana"/>
          <w:lang w:val="nl-NL"/>
        </w:rPr>
        <w:t>.</w:t>
      </w:r>
      <w:r w:rsidR="00AD78C3">
        <w:rPr>
          <w:rFonts w:cs="Verdana"/>
          <w:lang w:val="nl-NL"/>
        </w:rPr>
        <w:t xml:space="preserve"> DG </w:t>
      </w:r>
      <w:r>
        <w:rPr>
          <w:rFonts w:cs="Verdana"/>
          <w:lang w:val="nl-NL"/>
        </w:rPr>
        <w:t>Internationaal Migratiebeleid (A&amp;M) en de directeur Internationaal Migratiebeleid (BZ)</w:t>
      </w:r>
      <w:r w:rsidR="00AF1F8E">
        <w:rPr>
          <w:rStyle w:val="Voetnootmarkering"/>
          <w:rFonts w:cs="Verdana"/>
          <w:lang w:val="nl-NL"/>
        </w:rPr>
        <w:footnoteReference w:id="6"/>
      </w:r>
      <w:r w:rsidR="00C01A0D">
        <w:rPr>
          <w:rFonts w:cs="Verdana"/>
          <w:lang w:val="nl-NL"/>
        </w:rPr>
        <w:t>, en zal werken op basis van een korte- en lange termijnagenda.</w:t>
      </w:r>
    </w:p>
    <w:p w:rsidRPr="00EE6A78" w:rsidR="003C6604" w:rsidP="00EE6A78" w:rsidRDefault="00D623D3" w14:paraId="23468626" w14:textId="6AA1D757">
      <w:pPr>
        <w:pStyle w:val="Lijstalinea"/>
        <w:numPr>
          <w:ilvl w:val="0"/>
          <w:numId w:val="7"/>
        </w:numPr>
        <w:spacing w:line="276" w:lineRule="auto"/>
        <w:rPr>
          <w:rFonts w:cs="Verdana"/>
          <w:lang w:val="nl-NL"/>
        </w:rPr>
      </w:pPr>
      <w:r w:rsidRPr="00440467">
        <w:rPr>
          <w:rFonts w:cs="Verdana"/>
          <w:lang w:val="nl-NL"/>
        </w:rPr>
        <w:t xml:space="preserve">Eenmaal per </w:t>
      </w:r>
      <w:r w:rsidRPr="00440467" w:rsidR="001202AA">
        <w:rPr>
          <w:rFonts w:cs="Verdana"/>
          <w:lang w:val="nl-NL"/>
        </w:rPr>
        <w:t>week</w:t>
      </w:r>
      <w:r w:rsidR="00C01A0D">
        <w:rPr>
          <w:rFonts w:cs="Verdana"/>
          <w:lang w:val="nl-NL"/>
        </w:rPr>
        <w:t xml:space="preserve"> </w:t>
      </w:r>
      <w:r w:rsidRPr="00440467" w:rsidR="00550E83">
        <w:rPr>
          <w:rFonts w:cs="Verdana"/>
          <w:lang w:val="nl-NL"/>
        </w:rPr>
        <w:t>overleg</w:t>
      </w:r>
      <w:r w:rsidR="00C01A0D">
        <w:rPr>
          <w:rFonts w:cs="Verdana"/>
          <w:lang w:val="nl-NL"/>
        </w:rPr>
        <w:t>t het</w:t>
      </w:r>
      <w:r w:rsidRPr="00440467" w:rsidR="00550E83">
        <w:rPr>
          <w:rFonts w:cs="Verdana"/>
          <w:lang w:val="nl-NL"/>
        </w:rPr>
        <w:t xml:space="preserve"> kernteam</w:t>
      </w:r>
      <w:r w:rsidRPr="00440467" w:rsidR="00794569">
        <w:rPr>
          <w:rFonts w:cs="Verdana"/>
          <w:lang w:val="nl-NL"/>
        </w:rPr>
        <w:t xml:space="preserve"> op werkniveau</w:t>
      </w:r>
      <w:r w:rsidRPr="00440467" w:rsidR="00550E83">
        <w:rPr>
          <w:rFonts w:cs="Verdana"/>
          <w:lang w:val="nl-NL"/>
        </w:rPr>
        <w:t>.</w:t>
      </w:r>
      <w:r w:rsidRPr="00440467" w:rsidR="00794569">
        <w:rPr>
          <w:rFonts w:cs="Verdana"/>
          <w:lang w:val="nl-NL"/>
        </w:rPr>
        <w:t xml:space="preserve"> </w:t>
      </w:r>
      <w:r w:rsidR="002C0087">
        <w:rPr>
          <w:rFonts w:cs="Verdana"/>
          <w:lang w:val="nl-NL"/>
        </w:rPr>
        <w:t>Andere</w:t>
      </w:r>
      <w:r w:rsidR="00FE7BFE">
        <w:rPr>
          <w:rFonts w:cs="Verdana"/>
          <w:lang w:val="nl-NL"/>
        </w:rPr>
        <w:t xml:space="preserve"> leden van de taskforce worden betrokken wanneer het werk van het kernteam raakt aan de taken en verantwoordelijkheden van anderen. </w:t>
      </w:r>
      <w:r w:rsidR="00DC11F3">
        <w:rPr>
          <w:rFonts w:cs="Verdana"/>
          <w:lang w:val="nl-NL"/>
        </w:rPr>
        <w:t>Waar relevant blijven landenoverleggen</w:t>
      </w:r>
      <w:r w:rsidR="004C3255">
        <w:rPr>
          <w:rFonts w:cs="Verdana"/>
          <w:lang w:val="nl-NL"/>
        </w:rPr>
        <w:t>, gecoördineerd door leden van</w:t>
      </w:r>
      <w:r w:rsidR="00600CB1">
        <w:rPr>
          <w:rFonts w:cs="Verdana"/>
          <w:lang w:val="nl-NL"/>
        </w:rPr>
        <w:t xml:space="preserve"> </w:t>
      </w:r>
      <w:r w:rsidR="00DC11F3">
        <w:rPr>
          <w:rFonts w:cs="Verdana"/>
          <w:lang w:val="nl-NL"/>
        </w:rPr>
        <w:t>het kernteam bestaan.</w:t>
      </w:r>
      <w:r w:rsidRPr="00EE6A78" w:rsidR="00EE6A78">
        <w:rPr>
          <w:rFonts w:cs="Verdana"/>
          <w:lang w:val="nl-NL"/>
        </w:rPr>
        <w:t xml:space="preserve"> </w:t>
      </w:r>
    </w:p>
    <w:p w:rsidRPr="00423F1D" w:rsidR="0047699E" w:rsidP="00423F1D" w:rsidRDefault="00DC4E9A" w14:paraId="368491FB" w14:textId="134CC472">
      <w:pPr>
        <w:pStyle w:val="Lijstalinea"/>
        <w:numPr>
          <w:ilvl w:val="0"/>
          <w:numId w:val="7"/>
        </w:numPr>
        <w:spacing w:line="276" w:lineRule="auto"/>
        <w:rPr>
          <w:rFonts w:cs="Verdana"/>
          <w:lang w:val="nl-NL"/>
        </w:rPr>
      </w:pPr>
      <w:r>
        <w:rPr>
          <w:rFonts w:cs="Verdana"/>
          <w:lang w:val="nl-NL"/>
        </w:rPr>
        <w:t>Het ke</w:t>
      </w:r>
      <w:r w:rsidR="00EE6A78">
        <w:rPr>
          <w:rFonts w:cs="Verdana"/>
          <w:lang w:val="nl-NL"/>
        </w:rPr>
        <w:t>rnteam</w:t>
      </w:r>
      <w:r w:rsidR="00DC11F3">
        <w:rPr>
          <w:rFonts w:cs="Verdana"/>
          <w:lang w:val="nl-NL"/>
        </w:rPr>
        <w:t xml:space="preserve"> kan</w:t>
      </w:r>
      <w:r w:rsidR="00ED6F2B">
        <w:rPr>
          <w:rFonts w:cs="Verdana"/>
          <w:lang w:val="nl-NL"/>
        </w:rPr>
        <w:t>, waar nodig in samenspraak met relevante taskforce-leden,</w:t>
      </w:r>
      <w:r w:rsidR="00DC11F3">
        <w:rPr>
          <w:rFonts w:cs="Verdana"/>
          <w:lang w:val="nl-NL"/>
        </w:rPr>
        <w:t xml:space="preserve"> besluiten tot het oprichten van ad-hoc werkgroepen op specifieke onderwerpen/processen/dossiers</w:t>
      </w:r>
      <w:r w:rsidR="00674665">
        <w:rPr>
          <w:rFonts w:cs="Verdana"/>
          <w:lang w:val="nl-NL"/>
        </w:rPr>
        <w:t>, met instemming en betrekking van relevante taskforce leden.</w:t>
      </w:r>
    </w:p>
    <w:p w:rsidRPr="00423F1D" w:rsidR="00794569" w:rsidP="00423F1D" w:rsidRDefault="002C0087" w14:paraId="3A8E0EA8" w14:textId="234204EB">
      <w:pPr>
        <w:pStyle w:val="Lijstalinea"/>
        <w:numPr>
          <w:ilvl w:val="0"/>
          <w:numId w:val="7"/>
        </w:numPr>
        <w:spacing w:line="276" w:lineRule="auto"/>
        <w:rPr>
          <w:rFonts w:cs="Verdana"/>
          <w:lang w:val="nl-NL"/>
        </w:rPr>
      </w:pPr>
      <w:r>
        <w:rPr>
          <w:rFonts w:cs="Verdana"/>
          <w:lang w:val="nl-NL"/>
        </w:rPr>
        <w:t xml:space="preserve">Eén keer in de twee maanden een </w:t>
      </w:r>
      <w:r w:rsidRPr="00423F1D" w:rsidR="00794569">
        <w:rPr>
          <w:rFonts w:cs="Verdana"/>
          <w:lang w:val="nl-NL"/>
        </w:rPr>
        <w:t>overleg op DG-niveau</w:t>
      </w:r>
      <w:r w:rsidR="00FE7BFE">
        <w:rPr>
          <w:rFonts w:cs="Verdana"/>
          <w:lang w:val="nl-NL"/>
        </w:rPr>
        <w:t xml:space="preserve"> door de DG</w:t>
      </w:r>
      <w:r w:rsidR="00B8451C">
        <w:rPr>
          <w:rFonts w:cs="Verdana"/>
          <w:lang w:val="nl-NL"/>
        </w:rPr>
        <w:t>’</w:t>
      </w:r>
      <w:r w:rsidR="00FE7BFE">
        <w:rPr>
          <w:rFonts w:cs="Verdana"/>
          <w:lang w:val="nl-NL"/>
        </w:rPr>
        <w:t xml:space="preserve">s </w:t>
      </w:r>
      <w:r w:rsidR="00B8451C">
        <w:rPr>
          <w:rFonts w:cs="Verdana"/>
          <w:lang w:val="nl-NL"/>
        </w:rPr>
        <w:t xml:space="preserve">van BZ en A&amp;M </w:t>
      </w:r>
      <w:r w:rsidR="00FE7BFE">
        <w:rPr>
          <w:rFonts w:cs="Verdana"/>
          <w:lang w:val="nl-NL"/>
        </w:rPr>
        <w:t xml:space="preserve">waaraan het kernteam rapporteert. DG’s uit overige delen van de taskforce </w:t>
      </w:r>
      <w:r>
        <w:rPr>
          <w:rFonts w:cs="Verdana"/>
          <w:lang w:val="nl-NL"/>
        </w:rPr>
        <w:t xml:space="preserve">kunnen </w:t>
      </w:r>
      <w:r w:rsidR="00FE7BFE">
        <w:rPr>
          <w:rFonts w:cs="Verdana"/>
          <w:lang w:val="nl-NL"/>
        </w:rPr>
        <w:t>worden uitgenodigd op basis van de agenda.</w:t>
      </w:r>
      <w:r w:rsidR="00AD78C3">
        <w:rPr>
          <w:rFonts w:cs="Verdana"/>
          <w:lang w:val="nl-NL"/>
        </w:rPr>
        <w:t xml:space="preserve"> </w:t>
      </w:r>
      <w:r w:rsidR="00FE7BFE">
        <w:rPr>
          <w:rFonts w:cs="Verdana"/>
          <w:lang w:val="nl-NL"/>
        </w:rPr>
        <w:t>I</w:t>
      </w:r>
      <w:r w:rsidR="00DC11F3">
        <w:rPr>
          <w:rFonts w:cs="Verdana"/>
          <w:lang w:val="nl-NL"/>
        </w:rPr>
        <w:t xml:space="preserve">ndien nodig </w:t>
      </w:r>
      <w:r w:rsidR="00FE7BFE">
        <w:rPr>
          <w:rFonts w:cs="Verdana"/>
          <w:lang w:val="nl-NL"/>
        </w:rPr>
        <w:t xml:space="preserve">wordt het DG-overleg </w:t>
      </w:r>
      <w:r w:rsidR="00AD78C3">
        <w:rPr>
          <w:rFonts w:cs="Verdana"/>
          <w:lang w:val="nl-NL"/>
        </w:rPr>
        <w:t>op ad hoc basis bijeengeroepen</w:t>
      </w:r>
      <w:r w:rsidR="00DC11F3">
        <w:rPr>
          <w:rFonts w:cs="Verdana"/>
          <w:lang w:val="nl-NL"/>
        </w:rPr>
        <w:t>.</w:t>
      </w:r>
      <w:r w:rsidRPr="00423F1D" w:rsidR="00794569">
        <w:rPr>
          <w:rFonts w:cs="Verdana"/>
          <w:lang w:val="nl-NL"/>
        </w:rPr>
        <w:t xml:space="preserve"> </w:t>
      </w:r>
      <w:r>
        <w:rPr>
          <w:rFonts w:cs="Verdana"/>
          <w:lang w:val="nl-NL"/>
        </w:rPr>
        <w:t>Dit overleg vervangt niet de besluitvorming in het AC A&amp;M.</w:t>
      </w:r>
    </w:p>
    <w:p w:rsidRPr="00423F1D" w:rsidR="00C47F1D" w:rsidP="00423F1D" w:rsidRDefault="00DC11F3" w14:paraId="6A86D2B9" w14:textId="75919CA0">
      <w:pPr>
        <w:pStyle w:val="Lijstalinea"/>
        <w:numPr>
          <w:ilvl w:val="0"/>
          <w:numId w:val="7"/>
        </w:numPr>
        <w:spacing w:line="276" w:lineRule="auto"/>
        <w:rPr>
          <w:rFonts w:cs="Verdana"/>
          <w:lang w:val="nl-NL"/>
        </w:rPr>
      </w:pPr>
      <w:r>
        <w:rPr>
          <w:rFonts w:cs="Verdana"/>
          <w:lang w:val="nl-NL"/>
        </w:rPr>
        <w:t xml:space="preserve">Minimaal </w:t>
      </w:r>
      <w:r w:rsidR="00ED6F2B">
        <w:rPr>
          <w:rFonts w:cs="Verdana"/>
          <w:lang w:val="nl-NL"/>
        </w:rPr>
        <w:t>twee keer per jaar</w:t>
      </w:r>
      <w:r w:rsidRPr="00423F1D" w:rsidR="00ED6F2B">
        <w:rPr>
          <w:rFonts w:cs="Verdana"/>
          <w:lang w:val="nl-NL"/>
        </w:rPr>
        <w:t xml:space="preserve"> </w:t>
      </w:r>
      <w:r w:rsidRPr="00423F1D" w:rsidR="00C47F1D">
        <w:rPr>
          <w:rFonts w:cs="Verdana"/>
          <w:lang w:val="nl-NL"/>
        </w:rPr>
        <w:t xml:space="preserve">bijeenkomst met </w:t>
      </w:r>
      <w:r>
        <w:rPr>
          <w:rFonts w:cs="Verdana"/>
          <w:lang w:val="nl-NL"/>
        </w:rPr>
        <w:t xml:space="preserve">de </w:t>
      </w:r>
      <w:r w:rsidRPr="00423F1D" w:rsidR="00C47F1D">
        <w:rPr>
          <w:rFonts w:cs="Verdana"/>
          <w:lang w:val="nl-NL"/>
        </w:rPr>
        <w:t xml:space="preserve">gehele </w:t>
      </w:r>
      <w:r w:rsidR="00A1480D">
        <w:rPr>
          <w:rFonts w:cs="Verdana"/>
          <w:lang w:val="nl-NL"/>
        </w:rPr>
        <w:t>taskforce</w:t>
      </w:r>
      <w:r>
        <w:rPr>
          <w:rFonts w:cs="Verdana"/>
          <w:lang w:val="nl-NL"/>
        </w:rPr>
        <w:t>.</w:t>
      </w:r>
    </w:p>
    <w:p w:rsidRPr="007A23D0" w:rsidR="007211CA" w:rsidP="007A23D0" w:rsidRDefault="00D623D3" w14:paraId="2CBE802C" w14:textId="01572E3A">
      <w:pPr>
        <w:pStyle w:val="Lijstalinea"/>
        <w:numPr>
          <w:ilvl w:val="0"/>
          <w:numId w:val="7"/>
        </w:numPr>
        <w:spacing w:line="276" w:lineRule="auto"/>
        <w:rPr>
          <w:rFonts w:cs="Verdana"/>
          <w:lang w:val="nl-NL"/>
        </w:rPr>
      </w:pPr>
      <w:r w:rsidRPr="00D623D3">
        <w:rPr>
          <w:rFonts w:cs="Verdana"/>
          <w:lang w:val="nl-NL"/>
        </w:rPr>
        <w:t>Precieze frequentie van overleggen en oprichting, samenstelling en beëindiging werkgroepen kan gaandeweg aangepast worden.</w:t>
      </w:r>
      <w:r w:rsidRPr="007A23D0" w:rsidR="007A23D0">
        <w:rPr>
          <w:rFonts w:cs="Verdana"/>
          <w:lang w:val="nl-NL"/>
        </w:rPr>
        <w:t xml:space="preserve"> </w:t>
      </w:r>
    </w:p>
    <w:sectPr w:rsidRPr="007A23D0" w:rsidR="007211CA" w:rsidSect="00D6557D">
      <w:headerReference w:type="default" r:id="rId1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0C12D" w14:textId="77777777" w:rsidR="0063376D" w:rsidRDefault="0063376D" w:rsidP="0071034D">
      <w:pPr>
        <w:spacing w:after="0" w:line="240" w:lineRule="auto"/>
      </w:pPr>
      <w:r>
        <w:separator/>
      </w:r>
    </w:p>
  </w:endnote>
  <w:endnote w:type="continuationSeparator" w:id="0">
    <w:p w14:paraId="4860988B" w14:textId="77777777" w:rsidR="0063376D" w:rsidRDefault="0063376D" w:rsidP="0071034D">
      <w:pPr>
        <w:spacing w:after="0" w:line="240" w:lineRule="auto"/>
      </w:pPr>
      <w:r>
        <w:continuationSeparator/>
      </w:r>
    </w:p>
  </w:endnote>
  <w:endnote w:type="continuationNotice" w:id="1">
    <w:p w14:paraId="01FFC581" w14:textId="77777777" w:rsidR="0063376D" w:rsidRDefault="00633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458867"/>
      <w:docPartObj>
        <w:docPartGallery w:val="Page Numbers (Bottom of Page)"/>
        <w:docPartUnique/>
      </w:docPartObj>
    </w:sdtPr>
    <w:sdtEndPr/>
    <w:sdtContent>
      <w:p w14:paraId="1E67C044" w14:textId="71A9F7B5" w:rsidR="00FE5B29" w:rsidRDefault="00FE5B29">
        <w:pPr>
          <w:pStyle w:val="Voettekst"/>
          <w:jc w:val="right"/>
        </w:pPr>
        <w:r>
          <w:fldChar w:fldCharType="begin"/>
        </w:r>
        <w:r>
          <w:instrText>PAGE   \* MERGEFORMAT</w:instrText>
        </w:r>
        <w:r>
          <w:fldChar w:fldCharType="separate"/>
        </w:r>
        <w:r w:rsidR="00B46442" w:rsidRPr="00B46442">
          <w:rPr>
            <w:noProof/>
            <w:lang w:val="nl-NL"/>
          </w:rPr>
          <w:t>1</w:t>
        </w:r>
        <w:r>
          <w:fldChar w:fldCharType="end"/>
        </w:r>
      </w:p>
    </w:sdtContent>
  </w:sdt>
  <w:p w14:paraId="51B7EA82" w14:textId="77777777" w:rsidR="00FE5B29" w:rsidRDefault="00FE5B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77E08" w14:textId="77777777" w:rsidR="0063376D" w:rsidRDefault="0063376D" w:rsidP="0071034D">
      <w:pPr>
        <w:spacing w:after="0" w:line="240" w:lineRule="auto"/>
      </w:pPr>
      <w:r>
        <w:separator/>
      </w:r>
    </w:p>
  </w:footnote>
  <w:footnote w:type="continuationSeparator" w:id="0">
    <w:p w14:paraId="3585AE7A" w14:textId="77777777" w:rsidR="0063376D" w:rsidRDefault="0063376D" w:rsidP="0071034D">
      <w:pPr>
        <w:spacing w:after="0" w:line="240" w:lineRule="auto"/>
      </w:pPr>
      <w:r>
        <w:continuationSeparator/>
      </w:r>
    </w:p>
  </w:footnote>
  <w:footnote w:type="continuationNotice" w:id="1">
    <w:p w14:paraId="19AF7E8D" w14:textId="77777777" w:rsidR="0063376D" w:rsidRDefault="0063376D">
      <w:pPr>
        <w:spacing w:after="0" w:line="240" w:lineRule="auto"/>
      </w:pPr>
    </w:p>
  </w:footnote>
  <w:footnote w:id="2">
    <w:p w14:paraId="24F7B4DA" w14:textId="77777777" w:rsidR="00797988" w:rsidRPr="00EE6A78" w:rsidRDefault="00797988" w:rsidP="00797988">
      <w:pPr>
        <w:pStyle w:val="Voetnoottekst"/>
        <w:rPr>
          <w:sz w:val="16"/>
          <w:szCs w:val="16"/>
          <w:lang w:val="nl-NL"/>
        </w:rPr>
      </w:pPr>
      <w:r w:rsidRPr="00EE6A78">
        <w:rPr>
          <w:rFonts w:cs="Verdana"/>
          <w:sz w:val="16"/>
          <w:szCs w:val="16"/>
          <w:lang w:val="nl-NL"/>
        </w:rPr>
        <w:footnoteRef/>
      </w:r>
      <w:r w:rsidRPr="00EE6A78">
        <w:rPr>
          <w:rFonts w:cs="Verdana"/>
          <w:sz w:val="16"/>
          <w:szCs w:val="16"/>
          <w:lang w:val="nl-NL"/>
        </w:rPr>
        <w:t xml:space="preserve"> Regeerprogramma kabinet-Schoof 2024 paragraaf 1, hoofdstuk 2</w:t>
      </w:r>
    </w:p>
  </w:footnote>
  <w:footnote w:id="3">
    <w:p w14:paraId="6CF4AAE8" w14:textId="2B8014C2" w:rsidR="00312057" w:rsidRPr="009E29C9" w:rsidRDefault="00312057">
      <w:pPr>
        <w:pStyle w:val="Voetnoottekst"/>
        <w:rPr>
          <w:sz w:val="16"/>
          <w:szCs w:val="16"/>
          <w:lang w:val="nl-NL"/>
        </w:rPr>
      </w:pPr>
      <w:r w:rsidRPr="008539FE">
        <w:rPr>
          <w:rStyle w:val="Voetnootmarkering"/>
          <w:sz w:val="16"/>
          <w:szCs w:val="16"/>
        </w:rPr>
        <w:footnoteRef/>
      </w:r>
      <w:r w:rsidRPr="008539FE">
        <w:rPr>
          <w:sz w:val="16"/>
          <w:szCs w:val="16"/>
          <w:lang w:val="nl-NL"/>
        </w:rPr>
        <w:t xml:space="preserve"> Internationa</w:t>
      </w:r>
      <w:r w:rsidR="00320D70">
        <w:rPr>
          <w:sz w:val="16"/>
          <w:szCs w:val="16"/>
          <w:lang w:val="nl-NL"/>
        </w:rPr>
        <w:t>le migratie</w:t>
      </w:r>
      <w:r w:rsidRPr="008539FE">
        <w:rPr>
          <w:sz w:val="16"/>
          <w:szCs w:val="16"/>
          <w:lang w:val="nl-NL"/>
        </w:rPr>
        <w:t xml:space="preserve"> betekent hier </w:t>
      </w:r>
      <w:r w:rsidR="00320D70">
        <w:rPr>
          <w:sz w:val="16"/>
          <w:szCs w:val="16"/>
          <w:lang w:val="nl-NL"/>
        </w:rPr>
        <w:t>inzet</w:t>
      </w:r>
      <w:r w:rsidRPr="008539FE">
        <w:rPr>
          <w:sz w:val="16"/>
          <w:szCs w:val="16"/>
          <w:lang w:val="nl-NL"/>
        </w:rPr>
        <w:t xml:space="preserve"> daar waar het raakt aan samenwerking met derde landen</w:t>
      </w:r>
      <w:r w:rsidR="001B18EA">
        <w:rPr>
          <w:sz w:val="16"/>
          <w:szCs w:val="16"/>
          <w:lang w:val="nl-NL"/>
        </w:rPr>
        <w:t xml:space="preserve"> – en in ieder geval niet OS-inzet op opvang in de regio en het EU-interne migratiebeleid. Waar nodig </w:t>
      </w:r>
      <w:r w:rsidR="00492E77">
        <w:rPr>
          <w:sz w:val="16"/>
          <w:szCs w:val="16"/>
          <w:lang w:val="nl-NL"/>
        </w:rPr>
        <w:t>wordt aansluiting gewaarborgd</w:t>
      </w:r>
      <w:r w:rsidR="00320D70">
        <w:rPr>
          <w:sz w:val="16"/>
          <w:szCs w:val="16"/>
          <w:lang w:val="nl-NL"/>
        </w:rPr>
        <w:t>;</w:t>
      </w:r>
    </w:p>
  </w:footnote>
  <w:footnote w:id="4">
    <w:p w14:paraId="4292E43C" w14:textId="204DA942" w:rsidR="0029754F" w:rsidRPr="0029754F" w:rsidRDefault="0029754F">
      <w:pPr>
        <w:pStyle w:val="Voetnoottekst"/>
        <w:rPr>
          <w:sz w:val="14"/>
          <w:szCs w:val="14"/>
          <w:lang w:val="nl-NL"/>
        </w:rPr>
      </w:pPr>
      <w:r w:rsidRPr="0029754F">
        <w:rPr>
          <w:rStyle w:val="Voetnootmarkering"/>
          <w:sz w:val="14"/>
          <w:szCs w:val="14"/>
        </w:rPr>
        <w:footnoteRef/>
      </w:r>
      <w:r w:rsidRPr="0024443A">
        <w:rPr>
          <w:sz w:val="14"/>
          <w:szCs w:val="14"/>
          <w:lang w:val="nl-NL"/>
        </w:rPr>
        <w:t xml:space="preserve"> </w:t>
      </w:r>
      <w:r w:rsidRPr="0029754F">
        <w:rPr>
          <w:sz w:val="14"/>
          <w:szCs w:val="14"/>
          <w:lang w:val="nl-NL"/>
        </w:rPr>
        <w:t>Nu; DSH/Misa</w:t>
      </w:r>
    </w:p>
  </w:footnote>
  <w:footnote w:id="5">
    <w:p w14:paraId="3C667B76" w14:textId="45BFA0E8" w:rsidR="00842F5C" w:rsidRPr="00EE6A78" w:rsidRDefault="00842F5C">
      <w:pPr>
        <w:pStyle w:val="Voetnoottekst"/>
        <w:rPr>
          <w:iCs/>
          <w:lang w:val="nl-NL"/>
        </w:rPr>
      </w:pPr>
      <w:r w:rsidRPr="00EE6A78">
        <w:rPr>
          <w:rStyle w:val="Voetnootmarkering"/>
          <w:sz w:val="14"/>
          <w:szCs w:val="14"/>
        </w:rPr>
        <w:footnoteRef/>
      </w:r>
      <w:r w:rsidR="00802F24" w:rsidRPr="00EE6A78">
        <w:rPr>
          <w:sz w:val="14"/>
          <w:szCs w:val="14"/>
          <w:lang w:val="nl-NL"/>
        </w:rPr>
        <w:t xml:space="preserve">Bijv. </w:t>
      </w:r>
      <w:r w:rsidRPr="00EE6A78">
        <w:rPr>
          <w:rFonts w:cs="Verdana"/>
          <w:sz w:val="14"/>
          <w:szCs w:val="14"/>
          <w:lang w:val="nl-NL"/>
        </w:rPr>
        <w:t xml:space="preserve">op basis van een gezamenlijk vastgestelde </w:t>
      </w:r>
      <w:r w:rsidRPr="00EE6A78">
        <w:rPr>
          <w:rFonts w:cs="Verdana"/>
          <w:i/>
          <w:sz w:val="14"/>
          <w:szCs w:val="14"/>
          <w:lang w:val="nl-NL"/>
        </w:rPr>
        <w:t>theory of change’</w:t>
      </w:r>
      <w:r w:rsidR="00802F24" w:rsidRPr="00EE6A78">
        <w:rPr>
          <w:rFonts w:cs="Verdana"/>
          <w:i/>
          <w:sz w:val="14"/>
          <w:szCs w:val="14"/>
          <w:lang w:val="nl-NL"/>
        </w:rPr>
        <w:t xml:space="preserve"> </w:t>
      </w:r>
      <w:r w:rsidR="00802F24" w:rsidRPr="00EE6A78">
        <w:rPr>
          <w:sz w:val="14"/>
          <w:szCs w:val="14"/>
          <w:lang w:val="nl-NL"/>
        </w:rPr>
        <w:t xml:space="preserve">een methodologie waarmee een organisatie de stappen envoorwaarden identificeert die nodig zijn om specifieke, gewenste </w:t>
      </w:r>
      <w:r w:rsidR="00ED6F2B">
        <w:rPr>
          <w:sz w:val="14"/>
          <w:szCs w:val="14"/>
          <w:lang w:val="nl-NL"/>
        </w:rPr>
        <w:t>(</w:t>
      </w:r>
      <w:r w:rsidR="00802F24" w:rsidRPr="00EE6A78">
        <w:rPr>
          <w:sz w:val="14"/>
          <w:szCs w:val="14"/>
          <w:lang w:val="nl-NL"/>
        </w:rPr>
        <w:t>sociale</w:t>
      </w:r>
      <w:r w:rsidR="00ED6F2B">
        <w:rPr>
          <w:sz w:val="14"/>
          <w:szCs w:val="14"/>
          <w:lang w:val="nl-NL"/>
        </w:rPr>
        <w:t>)</w:t>
      </w:r>
      <w:r w:rsidR="00802F24" w:rsidRPr="00EE6A78">
        <w:rPr>
          <w:sz w:val="14"/>
          <w:szCs w:val="14"/>
          <w:lang w:val="nl-NL"/>
        </w:rPr>
        <w:t xml:space="preserve"> veranderingen te realiseren en inzicht te krijgen in hoe en waarom deze veranderingen plaatsvinden.</w:t>
      </w:r>
    </w:p>
  </w:footnote>
  <w:footnote w:id="6">
    <w:p w14:paraId="02DC53A9" w14:textId="6BF38687" w:rsidR="00AF1F8E" w:rsidRPr="001F5076" w:rsidRDefault="00AF1F8E">
      <w:pPr>
        <w:pStyle w:val="Voetnoottekst"/>
        <w:rPr>
          <w:sz w:val="18"/>
          <w:szCs w:val="18"/>
        </w:rPr>
      </w:pPr>
      <w:r w:rsidRPr="001F5076">
        <w:rPr>
          <w:rStyle w:val="Voetnootmarkering"/>
          <w:sz w:val="18"/>
          <w:szCs w:val="18"/>
        </w:rPr>
        <w:footnoteRef/>
      </w:r>
      <w:r w:rsidRPr="001F5076">
        <w:rPr>
          <w:sz w:val="18"/>
          <w:szCs w:val="18"/>
        </w:rPr>
        <w:t xml:space="preserve"> </w:t>
      </w:r>
      <w:r w:rsidRPr="001F5076">
        <w:rPr>
          <w:sz w:val="14"/>
          <w:szCs w:val="14"/>
        </w:rPr>
        <w:t>Functie en directie in oprichting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9358" w14:textId="4E9E4F89" w:rsidR="0071034D" w:rsidRDefault="007103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D62"/>
    <w:multiLevelType w:val="hybridMultilevel"/>
    <w:tmpl w:val="B9C656EE"/>
    <w:lvl w:ilvl="0" w:tplc="82628578">
      <w:start w:val="1"/>
      <w:numFmt w:val="decimal"/>
      <w:lvlText w:val="%1)"/>
      <w:lvlJc w:val="left"/>
      <w:pPr>
        <w:ind w:left="-77" w:hanging="360"/>
      </w:pPr>
      <w:rPr>
        <w:rFonts w:ascii="Verdana" w:eastAsiaTheme="minorHAnsi" w:hAnsi="Verdana" w:cstheme="minorBidi"/>
        <w:i w:val="0"/>
      </w:rPr>
    </w:lvl>
    <w:lvl w:ilvl="1" w:tplc="04130003" w:tentative="1">
      <w:start w:val="1"/>
      <w:numFmt w:val="bullet"/>
      <w:lvlText w:val="o"/>
      <w:lvlJc w:val="left"/>
      <w:pPr>
        <w:ind w:left="643" w:hanging="360"/>
      </w:pPr>
      <w:rPr>
        <w:rFonts w:ascii="Courier New" w:hAnsi="Courier New" w:cs="Courier New" w:hint="default"/>
      </w:rPr>
    </w:lvl>
    <w:lvl w:ilvl="2" w:tplc="04130005" w:tentative="1">
      <w:start w:val="1"/>
      <w:numFmt w:val="bullet"/>
      <w:lvlText w:val=""/>
      <w:lvlJc w:val="left"/>
      <w:pPr>
        <w:ind w:left="1363" w:hanging="360"/>
      </w:pPr>
      <w:rPr>
        <w:rFonts w:ascii="Wingdings" w:hAnsi="Wingdings" w:hint="default"/>
      </w:rPr>
    </w:lvl>
    <w:lvl w:ilvl="3" w:tplc="04130001" w:tentative="1">
      <w:start w:val="1"/>
      <w:numFmt w:val="bullet"/>
      <w:lvlText w:val=""/>
      <w:lvlJc w:val="left"/>
      <w:pPr>
        <w:ind w:left="2083" w:hanging="360"/>
      </w:pPr>
      <w:rPr>
        <w:rFonts w:ascii="Symbol" w:hAnsi="Symbol" w:hint="default"/>
      </w:rPr>
    </w:lvl>
    <w:lvl w:ilvl="4" w:tplc="04130003" w:tentative="1">
      <w:start w:val="1"/>
      <w:numFmt w:val="bullet"/>
      <w:lvlText w:val="o"/>
      <w:lvlJc w:val="left"/>
      <w:pPr>
        <w:ind w:left="2803" w:hanging="360"/>
      </w:pPr>
      <w:rPr>
        <w:rFonts w:ascii="Courier New" w:hAnsi="Courier New" w:cs="Courier New" w:hint="default"/>
      </w:rPr>
    </w:lvl>
    <w:lvl w:ilvl="5" w:tplc="04130005" w:tentative="1">
      <w:start w:val="1"/>
      <w:numFmt w:val="bullet"/>
      <w:lvlText w:val=""/>
      <w:lvlJc w:val="left"/>
      <w:pPr>
        <w:ind w:left="3523" w:hanging="360"/>
      </w:pPr>
      <w:rPr>
        <w:rFonts w:ascii="Wingdings" w:hAnsi="Wingdings" w:hint="default"/>
      </w:rPr>
    </w:lvl>
    <w:lvl w:ilvl="6" w:tplc="04130001" w:tentative="1">
      <w:start w:val="1"/>
      <w:numFmt w:val="bullet"/>
      <w:lvlText w:val=""/>
      <w:lvlJc w:val="left"/>
      <w:pPr>
        <w:ind w:left="4243" w:hanging="360"/>
      </w:pPr>
      <w:rPr>
        <w:rFonts w:ascii="Symbol" w:hAnsi="Symbol" w:hint="default"/>
      </w:rPr>
    </w:lvl>
    <w:lvl w:ilvl="7" w:tplc="04130003" w:tentative="1">
      <w:start w:val="1"/>
      <w:numFmt w:val="bullet"/>
      <w:lvlText w:val="o"/>
      <w:lvlJc w:val="left"/>
      <w:pPr>
        <w:ind w:left="4963" w:hanging="360"/>
      </w:pPr>
      <w:rPr>
        <w:rFonts w:ascii="Courier New" w:hAnsi="Courier New" w:cs="Courier New" w:hint="default"/>
      </w:rPr>
    </w:lvl>
    <w:lvl w:ilvl="8" w:tplc="04130005" w:tentative="1">
      <w:start w:val="1"/>
      <w:numFmt w:val="bullet"/>
      <w:lvlText w:val=""/>
      <w:lvlJc w:val="left"/>
      <w:pPr>
        <w:ind w:left="5683" w:hanging="360"/>
      </w:pPr>
      <w:rPr>
        <w:rFonts w:ascii="Wingdings" w:hAnsi="Wingdings" w:hint="default"/>
      </w:rPr>
    </w:lvl>
  </w:abstractNum>
  <w:abstractNum w:abstractNumId="1" w15:restartNumberingAfterBreak="0">
    <w:nsid w:val="0056177D"/>
    <w:multiLevelType w:val="hybridMultilevel"/>
    <w:tmpl w:val="8EFCD8AA"/>
    <w:lvl w:ilvl="0" w:tplc="AB927A3E">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66232C"/>
    <w:multiLevelType w:val="hybridMultilevel"/>
    <w:tmpl w:val="057479FC"/>
    <w:lvl w:ilvl="0" w:tplc="AB927A3E">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9B1DDB"/>
    <w:multiLevelType w:val="hybridMultilevel"/>
    <w:tmpl w:val="566CDAFC"/>
    <w:lvl w:ilvl="0" w:tplc="A0289F9A">
      <w:start w:val="1"/>
      <w:numFmt w:val="decimal"/>
      <w:lvlText w:val="%1."/>
      <w:lvlJc w:val="left"/>
      <w:pPr>
        <w:ind w:left="720" w:hanging="360"/>
      </w:pPr>
      <w:rPr>
        <w:rFonts w:ascii="Verdana" w:eastAsiaTheme="minorHAnsi" w:hAnsi="Verdana" w:cstheme="minorBid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8A62D8"/>
    <w:multiLevelType w:val="hybridMultilevel"/>
    <w:tmpl w:val="C7F6DD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8D49B4"/>
    <w:multiLevelType w:val="hybridMultilevel"/>
    <w:tmpl w:val="38F44628"/>
    <w:lvl w:ilvl="0" w:tplc="FFE228AC">
      <w:numFmt w:val="bullet"/>
      <w:lvlText w:val="-"/>
      <w:lvlJc w:val="left"/>
      <w:pPr>
        <w:ind w:left="720" w:hanging="360"/>
      </w:pPr>
      <w:rPr>
        <w:rFonts w:ascii="Verdana" w:eastAsiaTheme="minorHAnsi" w:hAnsi="Verdana"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CA145B6"/>
    <w:multiLevelType w:val="hybridMultilevel"/>
    <w:tmpl w:val="2B54805A"/>
    <w:lvl w:ilvl="0" w:tplc="27241A30">
      <w:start w:val="1"/>
      <w:numFmt w:val="bullet"/>
      <w:lvlText w:val="-"/>
      <w:lvlJc w:val="left"/>
      <w:pPr>
        <w:ind w:left="720" w:hanging="360"/>
      </w:pPr>
      <w:rPr>
        <w:rFonts w:ascii="Verdana" w:eastAsiaTheme="minorHAnsi"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BD62C2"/>
    <w:multiLevelType w:val="hybridMultilevel"/>
    <w:tmpl w:val="EF760856"/>
    <w:lvl w:ilvl="0" w:tplc="04130005">
      <w:start w:val="1"/>
      <w:numFmt w:val="bullet"/>
      <w:lvlText w:val=""/>
      <w:lvlJc w:val="left"/>
      <w:pPr>
        <w:ind w:left="502" w:hanging="360"/>
      </w:pPr>
      <w:rPr>
        <w:rFonts w:ascii="Wingdings" w:hAnsi="Wingdings" w:hint="default"/>
      </w:rPr>
    </w:lvl>
    <w:lvl w:ilvl="1" w:tplc="04130003">
      <w:start w:val="1"/>
      <w:numFmt w:val="bullet"/>
      <w:lvlText w:val="o"/>
      <w:lvlJc w:val="left"/>
      <w:pPr>
        <w:ind w:left="927"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8" w15:restartNumberingAfterBreak="0">
    <w:nsid w:val="371F5BE7"/>
    <w:multiLevelType w:val="hybridMultilevel"/>
    <w:tmpl w:val="07CEE7D8"/>
    <w:lvl w:ilvl="0" w:tplc="AB927A3E">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756745"/>
    <w:multiLevelType w:val="hybridMultilevel"/>
    <w:tmpl w:val="AD82E600"/>
    <w:lvl w:ilvl="0" w:tplc="6A6AF7EC">
      <w:start w:val="3"/>
      <w:numFmt w:val="bullet"/>
      <w:lvlText w:val=""/>
      <w:lvlJc w:val="left"/>
      <w:pPr>
        <w:ind w:left="720" w:hanging="360"/>
      </w:pPr>
      <w:rPr>
        <w:rFonts w:ascii="Symbol" w:eastAsiaTheme="minorHAnsi" w:hAnsi="Symbol"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855EBE"/>
    <w:multiLevelType w:val="hybridMultilevel"/>
    <w:tmpl w:val="CBD89698"/>
    <w:lvl w:ilvl="0" w:tplc="AB927A3E">
      <w:start w:val="3"/>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3061F1D"/>
    <w:multiLevelType w:val="hybridMultilevel"/>
    <w:tmpl w:val="6C1863B2"/>
    <w:lvl w:ilvl="0" w:tplc="FE4EA1F2">
      <w:start w:val="2"/>
      <w:numFmt w:val="bullet"/>
      <w:lvlText w:val=""/>
      <w:lvlJc w:val="left"/>
      <w:pPr>
        <w:ind w:left="720" w:hanging="360"/>
      </w:pPr>
      <w:rPr>
        <w:rFonts w:ascii="Symbol" w:eastAsiaTheme="minorHAnsi"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4AF5BC1"/>
    <w:multiLevelType w:val="hybridMultilevel"/>
    <w:tmpl w:val="33300252"/>
    <w:lvl w:ilvl="0" w:tplc="AB927A3E">
      <w:start w:val="3"/>
      <w:numFmt w:val="bullet"/>
      <w:lvlText w:val=""/>
      <w:lvlJc w:val="left"/>
      <w:pPr>
        <w:ind w:left="502" w:hanging="360"/>
      </w:pPr>
      <w:rPr>
        <w:rFonts w:ascii="Symbol" w:eastAsiaTheme="minorHAnsi" w:hAnsi="Symbol" w:cstheme="minorBidi" w:hint="default"/>
      </w:rPr>
    </w:lvl>
    <w:lvl w:ilvl="1" w:tplc="FFFFFFFF">
      <w:start w:val="1"/>
      <w:numFmt w:val="bullet"/>
      <w:lvlText w:val="o"/>
      <w:lvlJc w:val="left"/>
      <w:pPr>
        <w:ind w:left="927"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3" w15:restartNumberingAfterBreak="0">
    <w:nsid w:val="6E091272"/>
    <w:multiLevelType w:val="hybridMultilevel"/>
    <w:tmpl w:val="9940CF32"/>
    <w:lvl w:ilvl="0" w:tplc="FFE228AC">
      <w:numFmt w:val="bullet"/>
      <w:lvlText w:val="-"/>
      <w:lvlJc w:val="left"/>
      <w:pPr>
        <w:ind w:left="785" w:hanging="360"/>
      </w:pPr>
      <w:rPr>
        <w:rFonts w:ascii="Verdana" w:eastAsiaTheme="minorHAnsi" w:hAnsi="Verdana" w:cstheme="minorBidi" w:hint="default"/>
      </w:rPr>
    </w:lvl>
    <w:lvl w:ilvl="1" w:tplc="FFFFFFFF">
      <w:start w:val="1"/>
      <w:numFmt w:val="bullet"/>
      <w:lvlText w:val="o"/>
      <w:lvlJc w:val="left"/>
      <w:pPr>
        <w:ind w:left="1352" w:hanging="360"/>
      </w:pPr>
      <w:rPr>
        <w:rFonts w:ascii="Courier New" w:hAnsi="Courier New" w:cs="Courier New" w:hint="default"/>
      </w:rPr>
    </w:lvl>
    <w:lvl w:ilvl="2" w:tplc="FFFFFFFF">
      <w:start w:val="1"/>
      <w:numFmt w:val="bullet"/>
      <w:lvlText w:val=""/>
      <w:lvlJc w:val="left"/>
      <w:pPr>
        <w:ind w:left="2225" w:hanging="360"/>
      </w:pPr>
      <w:rPr>
        <w:rFonts w:ascii="Wingdings" w:hAnsi="Wingdings" w:hint="default"/>
      </w:rPr>
    </w:lvl>
    <w:lvl w:ilvl="3" w:tplc="FFFFFFFF">
      <w:start w:val="1"/>
      <w:numFmt w:val="bullet"/>
      <w:lvlText w:val=""/>
      <w:lvlJc w:val="left"/>
      <w:pPr>
        <w:ind w:left="2945" w:hanging="360"/>
      </w:pPr>
      <w:rPr>
        <w:rFonts w:ascii="Symbol" w:hAnsi="Symbol" w:hint="default"/>
      </w:rPr>
    </w:lvl>
    <w:lvl w:ilvl="4" w:tplc="FFFFFFFF">
      <w:start w:val="1"/>
      <w:numFmt w:val="bullet"/>
      <w:lvlText w:val="o"/>
      <w:lvlJc w:val="left"/>
      <w:pPr>
        <w:ind w:left="3665" w:hanging="360"/>
      </w:pPr>
      <w:rPr>
        <w:rFonts w:ascii="Courier New" w:hAnsi="Courier New" w:cs="Courier New" w:hint="default"/>
      </w:rPr>
    </w:lvl>
    <w:lvl w:ilvl="5" w:tplc="FFFFFFFF">
      <w:start w:val="1"/>
      <w:numFmt w:val="bullet"/>
      <w:lvlText w:val=""/>
      <w:lvlJc w:val="left"/>
      <w:pPr>
        <w:ind w:left="4385" w:hanging="360"/>
      </w:pPr>
      <w:rPr>
        <w:rFonts w:ascii="Wingdings" w:hAnsi="Wingdings" w:hint="default"/>
      </w:rPr>
    </w:lvl>
    <w:lvl w:ilvl="6" w:tplc="FFFFFFFF">
      <w:start w:val="1"/>
      <w:numFmt w:val="bullet"/>
      <w:lvlText w:val=""/>
      <w:lvlJc w:val="left"/>
      <w:pPr>
        <w:ind w:left="5105" w:hanging="360"/>
      </w:pPr>
      <w:rPr>
        <w:rFonts w:ascii="Symbol" w:hAnsi="Symbol" w:hint="default"/>
      </w:rPr>
    </w:lvl>
    <w:lvl w:ilvl="7" w:tplc="FFFFFFFF">
      <w:start w:val="1"/>
      <w:numFmt w:val="bullet"/>
      <w:lvlText w:val="o"/>
      <w:lvlJc w:val="left"/>
      <w:pPr>
        <w:ind w:left="5825" w:hanging="360"/>
      </w:pPr>
      <w:rPr>
        <w:rFonts w:ascii="Courier New" w:hAnsi="Courier New" w:cs="Courier New" w:hint="default"/>
      </w:rPr>
    </w:lvl>
    <w:lvl w:ilvl="8" w:tplc="FFFFFFFF">
      <w:start w:val="1"/>
      <w:numFmt w:val="bullet"/>
      <w:lvlText w:val=""/>
      <w:lvlJc w:val="left"/>
      <w:pPr>
        <w:ind w:left="6545" w:hanging="360"/>
      </w:pPr>
      <w:rPr>
        <w:rFonts w:ascii="Wingdings" w:hAnsi="Wingdings" w:hint="default"/>
      </w:rPr>
    </w:lvl>
  </w:abstractNum>
  <w:abstractNum w:abstractNumId="14" w15:restartNumberingAfterBreak="0">
    <w:nsid w:val="7EDB6AB2"/>
    <w:multiLevelType w:val="hybridMultilevel"/>
    <w:tmpl w:val="18E2074C"/>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3"/>
  </w:num>
  <w:num w:numId="5">
    <w:abstractNumId w:val="13"/>
  </w:num>
  <w:num w:numId="6">
    <w:abstractNumId w:val="6"/>
  </w:num>
  <w:num w:numId="7">
    <w:abstractNumId w:val="7"/>
  </w:num>
  <w:num w:numId="8">
    <w:abstractNumId w:val="14"/>
  </w:num>
  <w:num w:numId="9">
    <w:abstractNumId w:val="4"/>
  </w:num>
  <w:num w:numId="10">
    <w:abstractNumId w:val="11"/>
  </w:num>
  <w:num w:numId="11">
    <w:abstractNumId w:val="0"/>
  </w:num>
  <w:num w:numId="12">
    <w:abstractNumId w:val="9"/>
  </w:num>
  <w:num w:numId="13">
    <w:abstractNumId w:val="2"/>
  </w:num>
  <w:num w:numId="14">
    <w:abstractNumId w:val="8"/>
  </w:num>
  <w:num w:numId="15">
    <w:abstractNumId w:val="10"/>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C5"/>
    <w:rsid w:val="000116CD"/>
    <w:rsid w:val="000117A0"/>
    <w:rsid w:val="000265F6"/>
    <w:rsid w:val="00047EF6"/>
    <w:rsid w:val="0006058B"/>
    <w:rsid w:val="000763D3"/>
    <w:rsid w:val="00082B54"/>
    <w:rsid w:val="000853D6"/>
    <w:rsid w:val="00094348"/>
    <w:rsid w:val="000B6E16"/>
    <w:rsid w:val="000B7A39"/>
    <w:rsid w:val="000C183B"/>
    <w:rsid w:val="000C2B5D"/>
    <w:rsid w:val="000C6E32"/>
    <w:rsid w:val="000F2902"/>
    <w:rsid w:val="000F2D4A"/>
    <w:rsid w:val="000F7E82"/>
    <w:rsid w:val="0010580B"/>
    <w:rsid w:val="001202AA"/>
    <w:rsid w:val="00124DA3"/>
    <w:rsid w:val="00127B8A"/>
    <w:rsid w:val="0015743F"/>
    <w:rsid w:val="00157F58"/>
    <w:rsid w:val="00173DDB"/>
    <w:rsid w:val="00192E30"/>
    <w:rsid w:val="001A315B"/>
    <w:rsid w:val="001B0F5D"/>
    <w:rsid w:val="001B18EA"/>
    <w:rsid w:val="001B3520"/>
    <w:rsid w:val="001C3841"/>
    <w:rsid w:val="001C45CA"/>
    <w:rsid w:val="001C58A4"/>
    <w:rsid w:val="001C5AD0"/>
    <w:rsid w:val="001D4A0E"/>
    <w:rsid w:val="001D5E0A"/>
    <w:rsid w:val="001E2F97"/>
    <w:rsid w:val="001E5403"/>
    <w:rsid w:val="001E5D2A"/>
    <w:rsid w:val="001F5076"/>
    <w:rsid w:val="00203ECC"/>
    <w:rsid w:val="0020529F"/>
    <w:rsid w:val="00206400"/>
    <w:rsid w:val="00213DBF"/>
    <w:rsid w:val="00241E8C"/>
    <w:rsid w:val="0024443A"/>
    <w:rsid w:val="0024475C"/>
    <w:rsid w:val="00246B48"/>
    <w:rsid w:val="002558A9"/>
    <w:rsid w:val="00257AF4"/>
    <w:rsid w:val="002756C5"/>
    <w:rsid w:val="002909B1"/>
    <w:rsid w:val="002963F8"/>
    <w:rsid w:val="0029754F"/>
    <w:rsid w:val="002A345D"/>
    <w:rsid w:val="002C0087"/>
    <w:rsid w:val="002C2196"/>
    <w:rsid w:val="002D4E5E"/>
    <w:rsid w:val="002E0813"/>
    <w:rsid w:val="002E696C"/>
    <w:rsid w:val="00301E1A"/>
    <w:rsid w:val="00312057"/>
    <w:rsid w:val="00312687"/>
    <w:rsid w:val="00320D70"/>
    <w:rsid w:val="00330FF5"/>
    <w:rsid w:val="00332BB6"/>
    <w:rsid w:val="00333103"/>
    <w:rsid w:val="003428C3"/>
    <w:rsid w:val="00344613"/>
    <w:rsid w:val="003546FB"/>
    <w:rsid w:val="00365253"/>
    <w:rsid w:val="00376C9B"/>
    <w:rsid w:val="00382820"/>
    <w:rsid w:val="00384AED"/>
    <w:rsid w:val="00391AD3"/>
    <w:rsid w:val="00397A69"/>
    <w:rsid w:val="003A200B"/>
    <w:rsid w:val="003A5BC1"/>
    <w:rsid w:val="003B1EC4"/>
    <w:rsid w:val="003B7742"/>
    <w:rsid w:val="003C0755"/>
    <w:rsid w:val="003C3934"/>
    <w:rsid w:val="003C6604"/>
    <w:rsid w:val="003D24E1"/>
    <w:rsid w:val="003E6BCE"/>
    <w:rsid w:val="003F13FB"/>
    <w:rsid w:val="0040405D"/>
    <w:rsid w:val="00406D02"/>
    <w:rsid w:val="00417ACB"/>
    <w:rsid w:val="00423F1D"/>
    <w:rsid w:val="00432566"/>
    <w:rsid w:val="00432B36"/>
    <w:rsid w:val="00435740"/>
    <w:rsid w:val="004400EE"/>
    <w:rsid w:val="00440467"/>
    <w:rsid w:val="00442022"/>
    <w:rsid w:val="0044708B"/>
    <w:rsid w:val="004523B2"/>
    <w:rsid w:val="00452D6B"/>
    <w:rsid w:val="004577F3"/>
    <w:rsid w:val="00471521"/>
    <w:rsid w:val="0047699E"/>
    <w:rsid w:val="00483156"/>
    <w:rsid w:val="00491091"/>
    <w:rsid w:val="00492E77"/>
    <w:rsid w:val="004C1C76"/>
    <w:rsid w:val="004C3255"/>
    <w:rsid w:val="004D29CD"/>
    <w:rsid w:val="004D398D"/>
    <w:rsid w:val="004D4DF7"/>
    <w:rsid w:val="004D5556"/>
    <w:rsid w:val="005140EB"/>
    <w:rsid w:val="0051754C"/>
    <w:rsid w:val="00534222"/>
    <w:rsid w:val="00536BB7"/>
    <w:rsid w:val="00542D48"/>
    <w:rsid w:val="005509BF"/>
    <w:rsid w:val="00550E83"/>
    <w:rsid w:val="00555379"/>
    <w:rsid w:val="00556EAB"/>
    <w:rsid w:val="005626AE"/>
    <w:rsid w:val="005764D4"/>
    <w:rsid w:val="00576AE7"/>
    <w:rsid w:val="005774F4"/>
    <w:rsid w:val="00581CA6"/>
    <w:rsid w:val="005862A6"/>
    <w:rsid w:val="0059579E"/>
    <w:rsid w:val="005A3626"/>
    <w:rsid w:val="005B383F"/>
    <w:rsid w:val="005B4209"/>
    <w:rsid w:val="005F34E8"/>
    <w:rsid w:val="005F5721"/>
    <w:rsid w:val="00600CB1"/>
    <w:rsid w:val="00603192"/>
    <w:rsid w:val="0063059A"/>
    <w:rsid w:val="0063376D"/>
    <w:rsid w:val="00650B8F"/>
    <w:rsid w:val="00654C4E"/>
    <w:rsid w:val="0065723F"/>
    <w:rsid w:val="0066144E"/>
    <w:rsid w:val="0066392C"/>
    <w:rsid w:val="00666C24"/>
    <w:rsid w:val="00674665"/>
    <w:rsid w:val="0067722A"/>
    <w:rsid w:val="00687E57"/>
    <w:rsid w:val="006A0889"/>
    <w:rsid w:val="006B0BB2"/>
    <w:rsid w:val="006C4EF1"/>
    <w:rsid w:val="006C598B"/>
    <w:rsid w:val="006D15BB"/>
    <w:rsid w:val="00704566"/>
    <w:rsid w:val="0071034D"/>
    <w:rsid w:val="007211CA"/>
    <w:rsid w:val="00724F09"/>
    <w:rsid w:val="00730A0C"/>
    <w:rsid w:val="00730B02"/>
    <w:rsid w:val="00740F5B"/>
    <w:rsid w:val="007444CD"/>
    <w:rsid w:val="00746274"/>
    <w:rsid w:val="00753C90"/>
    <w:rsid w:val="007574C4"/>
    <w:rsid w:val="0076122F"/>
    <w:rsid w:val="00787023"/>
    <w:rsid w:val="00794569"/>
    <w:rsid w:val="00797988"/>
    <w:rsid w:val="007A23D0"/>
    <w:rsid w:val="007A3B1D"/>
    <w:rsid w:val="007B44AF"/>
    <w:rsid w:val="007C30D6"/>
    <w:rsid w:val="007C4E01"/>
    <w:rsid w:val="007D39F4"/>
    <w:rsid w:val="007D7921"/>
    <w:rsid w:val="007E0755"/>
    <w:rsid w:val="007E4F69"/>
    <w:rsid w:val="007F1700"/>
    <w:rsid w:val="007F203B"/>
    <w:rsid w:val="007F4720"/>
    <w:rsid w:val="007F4F25"/>
    <w:rsid w:val="00802DF6"/>
    <w:rsid w:val="00802F24"/>
    <w:rsid w:val="00822B20"/>
    <w:rsid w:val="00824AC4"/>
    <w:rsid w:val="00827BDB"/>
    <w:rsid w:val="00841C37"/>
    <w:rsid w:val="00842F5C"/>
    <w:rsid w:val="008478C8"/>
    <w:rsid w:val="008539FE"/>
    <w:rsid w:val="008708D4"/>
    <w:rsid w:val="00883C07"/>
    <w:rsid w:val="00893FFA"/>
    <w:rsid w:val="0089524E"/>
    <w:rsid w:val="00897F1D"/>
    <w:rsid w:val="008E0D2F"/>
    <w:rsid w:val="008E4A3D"/>
    <w:rsid w:val="00902163"/>
    <w:rsid w:val="009023BD"/>
    <w:rsid w:val="00915222"/>
    <w:rsid w:val="00916594"/>
    <w:rsid w:val="00922A97"/>
    <w:rsid w:val="00926FF4"/>
    <w:rsid w:val="00941E36"/>
    <w:rsid w:val="00942DE8"/>
    <w:rsid w:val="0097301C"/>
    <w:rsid w:val="00977468"/>
    <w:rsid w:val="00981569"/>
    <w:rsid w:val="00981666"/>
    <w:rsid w:val="00984B02"/>
    <w:rsid w:val="009850DC"/>
    <w:rsid w:val="00995CB2"/>
    <w:rsid w:val="009C0DBC"/>
    <w:rsid w:val="009C6647"/>
    <w:rsid w:val="009D044E"/>
    <w:rsid w:val="009D08BE"/>
    <w:rsid w:val="009D0A8E"/>
    <w:rsid w:val="009D449C"/>
    <w:rsid w:val="009E29C9"/>
    <w:rsid w:val="009F6689"/>
    <w:rsid w:val="009F73BE"/>
    <w:rsid w:val="00A03156"/>
    <w:rsid w:val="00A04176"/>
    <w:rsid w:val="00A1480D"/>
    <w:rsid w:val="00A411AD"/>
    <w:rsid w:val="00A435D9"/>
    <w:rsid w:val="00A44FE4"/>
    <w:rsid w:val="00A57981"/>
    <w:rsid w:val="00A622E5"/>
    <w:rsid w:val="00A637B9"/>
    <w:rsid w:val="00A65A12"/>
    <w:rsid w:val="00A7487D"/>
    <w:rsid w:val="00A84361"/>
    <w:rsid w:val="00AA115A"/>
    <w:rsid w:val="00AA71B4"/>
    <w:rsid w:val="00AD41C5"/>
    <w:rsid w:val="00AD78C3"/>
    <w:rsid w:val="00AE3E6B"/>
    <w:rsid w:val="00AF1F8E"/>
    <w:rsid w:val="00B00856"/>
    <w:rsid w:val="00B02052"/>
    <w:rsid w:val="00B05222"/>
    <w:rsid w:val="00B13E2F"/>
    <w:rsid w:val="00B20DC2"/>
    <w:rsid w:val="00B345C0"/>
    <w:rsid w:val="00B35A32"/>
    <w:rsid w:val="00B37533"/>
    <w:rsid w:val="00B37A4B"/>
    <w:rsid w:val="00B46442"/>
    <w:rsid w:val="00B471CD"/>
    <w:rsid w:val="00B5706D"/>
    <w:rsid w:val="00B62318"/>
    <w:rsid w:val="00B642BE"/>
    <w:rsid w:val="00B76390"/>
    <w:rsid w:val="00B8451C"/>
    <w:rsid w:val="00BA0581"/>
    <w:rsid w:val="00BB0237"/>
    <w:rsid w:val="00BB02FD"/>
    <w:rsid w:val="00BB2B36"/>
    <w:rsid w:val="00BF14CF"/>
    <w:rsid w:val="00BF43E0"/>
    <w:rsid w:val="00C01A0D"/>
    <w:rsid w:val="00C05F17"/>
    <w:rsid w:val="00C103BD"/>
    <w:rsid w:val="00C11391"/>
    <w:rsid w:val="00C2111A"/>
    <w:rsid w:val="00C30214"/>
    <w:rsid w:val="00C45C68"/>
    <w:rsid w:val="00C46F16"/>
    <w:rsid w:val="00C47F1D"/>
    <w:rsid w:val="00C53D26"/>
    <w:rsid w:val="00C54F4B"/>
    <w:rsid w:val="00C57FD1"/>
    <w:rsid w:val="00C61F4D"/>
    <w:rsid w:val="00C753BD"/>
    <w:rsid w:val="00C77F48"/>
    <w:rsid w:val="00C87748"/>
    <w:rsid w:val="00C97216"/>
    <w:rsid w:val="00CC4A8F"/>
    <w:rsid w:val="00CC61D1"/>
    <w:rsid w:val="00CD3C6E"/>
    <w:rsid w:val="00CE1C32"/>
    <w:rsid w:val="00CF02F0"/>
    <w:rsid w:val="00CF3D20"/>
    <w:rsid w:val="00CF643D"/>
    <w:rsid w:val="00D04A10"/>
    <w:rsid w:val="00D16393"/>
    <w:rsid w:val="00D3608F"/>
    <w:rsid w:val="00D623D3"/>
    <w:rsid w:val="00D6557D"/>
    <w:rsid w:val="00D7733F"/>
    <w:rsid w:val="00D8409A"/>
    <w:rsid w:val="00D84212"/>
    <w:rsid w:val="00D844C9"/>
    <w:rsid w:val="00DA313E"/>
    <w:rsid w:val="00DB4B0C"/>
    <w:rsid w:val="00DB60ED"/>
    <w:rsid w:val="00DC11F3"/>
    <w:rsid w:val="00DC4E9A"/>
    <w:rsid w:val="00DD01A0"/>
    <w:rsid w:val="00DD40FF"/>
    <w:rsid w:val="00DE1ACE"/>
    <w:rsid w:val="00E071B7"/>
    <w:rsid w:val="00E17F68"/>
    <w:rsid w:val="00E2017F"/>
    <w:rsid w:val="00E24F66"/>
    <w:rsid w:val="00E36CA6"/>
    <w:rsid w:val="00E45579"/>
    <w:rsid w:val="00E45CFE"/>
    <w:rsid w:val="00E8191C"/>
    <w:rsid w:val="00E8236A"/>
    <w:rsid w:val="00E90BEF"/>
    <w:rsid w:val="00EA2211"/>
    <w:rsid w:val="00EA26F7"/>
    <w:rsid w:val="00EA3431"/>
    <w:rsid w:val="00EA4885"/>
    <w:rsid w:val="00EB13CB"/>
    <w:rsid w:val="00EB1A18"/>
    <w:rsid w:val="00EC5062"/>
    <w:rsid w:val="00EC7CBD"/>
    <w:rsid w:val="00ED6F2B"/>
    <w:rsid w:val="00EE2569"/>
    <w:rsid w:val="00EE5ECC"/>
    <w:rsid w:val="00EE663B"/>
    <w:rsid w:val="00EE6A78"/>
    <w:rsid w:val="00F07D3C"/>
    <w:rsid w:val="00F2330D"/>
    <w:rsid w:val="00F3371E"/>
    <w:rsid w:val="00F35909"/>
    <w:rsid w:val="00F72755"/>
    <w:rsid w:val="00F87B02"/>
    <w:rsid w:val="00F95026"/>
    <w:rsid w:val="00F96076"/>
    <w:rsid w:val="00FB0639"/>
    <w:rsid w:val="00FB1C75"/>
    <w:rsid w:val="00FC398F"/>
    <w:rsid w:val="00FC3EB4"/>
    <w:rsid w:val="00FC406E"/>
    <w:rsid w:val="00FE2F5D"/>
    <w:rsid w:val="00FE5B29"/>
    <w:rsid w:val="00FE7BFE"/>
    <w:rsid w:val="31C8F567"/>
    <w:rsid w:val="369A958A"/>
    <w:rsid w:val="550440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143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41C5"/>
    <w:rPr>
      <w:rFonts w:ascii="Verdana" w:hAnsi="Verdana"/>
      <w:kern w:val="0"/>
      <w:sz w:val="18"/>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AD41C5"/>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AD41C5"/>
    <w:rPr>
      <w:rFonts w:ascii="Verdana" w:hAnsi="Verdana"/>
      <w:kern w:val="0"/>
      <w:sz w:val="18"/>
      <w:lang w:val="en-US"/>
      <w14:ligatures w14:val="none"/>
    </w:rPr>
  </w:style>
  <w:style w:type="character" w:styleId="Verwijzingopmerking">
    <w:name w:val="annotation reference"/>
    <w:basedOn w:val="Standaardalinea-lettertype"/>
    <w:uiPriority w:val="99"/>
    <w:semiHidden/>
    <w:unhideWhenUsed/>
    <w:rsid w:val="007211CA"/>
    <w:rPr>
      <w:sz w:val="16"/>
      <w:szCs w:val="16"/>
    </w:rPr>
  </w:style>
  <w:style w:type="paragraph" w:styleId="Tekstopmerking">
    <w:name w:val="annotation text"/>
    <w:basedOn w:val="Standaard"/>
    <w:link w:val="TekstopmerkingChar"/>
    <w:uiPriority w:val="99"/>
    <w:unhideWhenUsed/>
    <w:rsid w:val="007211CA"/>
    <w:pPr>
      <w:spacing w:line="240" w:lineRule="auto"/>
    </w:pPr>
    <w:rPr>
      <w:sz w:val="20"/>
      <w:szCs w:val="20"/>
    </w:rPr>
  </w:style>
  <w:style w:type="character" w:customStyle="1" w:styleId="TekstopmerkingChar">
    <w:name w:val="Tekst opmerking Char"/>
    <w:basedOn w:val="Standaardalinea-lettertype"/>
    <w:link w:val="Tekstopmerking"/>
    <w:uiPriority w:val="99"/>
    <w:rsid w:val="007211CA"/>
    <w:rPr>
      <w:rFonts w:ascii="Verdana" w:hAnsi="Verdana"/>
      <w:kern w:val="0"/>
      <w:sz w:val="20"/>
      <w:szCs w:val="20"/>
      <w:lang w:val="en-US"/>
      <w14:ligatures w14:val="none"/>
    </w:rPr>
  </w:style>
  <w:style w:type="paragraph" w:styleId="Onderwerpvanopmerking">
    <w:name w:val="annotation subject"/>
    <w:basedOn w:val="Tekstopmerking"/>
    <w:next w:val="Tekstopmerking"/>
    <w:link w:val="OnderwerpvanopmerkingChar"/>
    <w:uiPriority w:val="99"/>
    <w:semiHidden/>
    <w:unhideWhenUsed/>
    <w:rsid w:val="007211CA"/>
    <w:rPr>
      <w:b/>
      <w:bCs/>
    </w:rPr>
  </w:style>
  <w:style w:type="character" w:customStyle="1" w:styleId="OnderwerpvanopmerkingChar">
    <w:name w:val="Onderwerp van opmerking Char"/>
    <w:basedOn w:val="TekstopmerkingChar"/>
    <w:link w:val="Onderwerpvanopmerking"/>
    <w:uiPriority w:val="99"/>
    <w:semiHidden/>
    <w:rsid w:val="007211CA"/>
    <w:rPr>
      <w:rFonts w:ascii="Verdana" w:hAnsi="Verdana"/>
      <w:b/>
      <w:bCs/>
      <w:kern w:val="0"/>
      <w:sz w:val="20"/>
      <w:szCs w:val="20"/>
      <w:lang w:val="en-US"/>
      <w14:ligatures w14:val="none"/>
    </w:rPr>
  </w:style>
  <w:style w:type="paragraph" w:styleId="Koptekst">
    <w:name w:val="header"/>
    <w:basedOn w:val="Standaard"/>
    <w:link w:val="KoptekstChar"/>
    <w:uiPriority w:val="99"/>
    <w:unhideWhenUsed/>
    <w:rsid w:val="0071034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1034D"/>
    <w:rPr>
      <w:rFonts w:ascii="Verdana" w:hAnsi="Verdana"/>
      <w:kern w:val="0"/>
      <w:sz w:val="18"/>
      <w:lang w:val="en-US"/>
      <w14:ligatures w14:val="none"/>
    </w:rPr>
  </w:style>
  <w:style w:type="paragraph" w:styleId="Voettekst">
    <w:name w:val="footer"/>
    <w:basedOn w:val="Standaard"/>
    <w:link w:val="VoettekstChar"/>
    <w:uiPriority w:val="99"/>
    <w:unhideWhenUsed/>
    <w:rsid w:val="0071034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1034D"/>
    <w:rPr>
      <w:rFonts w:ascii="Verdana" w:hAnsi="Verdana"/>
      <w:kern w:val="0"/>
      <w:sz w:val="18"/>
      <w:lang w:val="en-US"/>
      <w14:ligatures w14:val="none"/>
    </w:rPr>
  </w:style>
  <w:style w:type="paragraph" w:styleId="Revisie">
    <w:name w:val="Revision"/>
    <w:hidden/>
    <w:uiPriority w:val="99"/>
    <w:semiHidden/>
    <w:rsid w:val="00DE1ACE"/>
    <w:pPr>
      <w:spacing w:after="0" w:line="240" w:lineRule="auto"/>
    </w:pPr>
    <w:rPr>
      <w:rFonts w:ascii="Verdana" w:hAnsi="Verdana"/>
      <w:kern w:val="0"/>
      <w:sz w:val="18"/>
      <w:lang w:val="en-US"/>
      <w14:ligatures w14:val="none"/>
    </w:rPr>
  </w:style>
  <w:style w:type="table" w:styleId="Tabelraster">
    <w:name w:val="Table Grid"/>
    <w:basedOn w:val="Standaardtabel"/>
    <w:uiPriority w:val="39"/>
    <w:rsid w:val="00981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2963F8"/>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D04A1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04A10"/>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D04A10"/>
    <w:rPr>
      <w:vertAlign w:val="superscript"/>
    </w:rPr>
  </w:style>
  <w:style w:type="table" w:styleId="Gemiddeldraster3">
    <w:name w:val="Medium Grid 3"/>
    <w:basedOn w:val="Standaardtabel"/>
    <w:uiPriority w:val="69"/>
    <w:unhideWhenUsed/>
    <w:rsid w:val="00893FFA"/>
    <w:pPr>
      <w:spacing w:after="0" w:line="240" w:lineRule="auto"/>
    </w:pPr>
    <w:rPr>
      <w:rFonts w:ascii="Calibri" w:eastAsia="Arial" w:hAnsi="Calibri" w:cs="Times New Roman"/>
      <w:kern w:val="0"/>
      <w:lang w:eastAsia="nl-NL"/>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51791">
      <w:bodyDiv w:val="1"/>
      <w:marLeft w:val="0"/>
      <w:marRight w:val="0"/>
      <w:marTop w:val="0"/>
      <w:marBottom w:val="0"/>
      <w:divBdr>
        <w:top w:val="none" w:sz="0" w:space="0" w:color="auto"/>
        <w:left w:val="none" w:sz="0" w:space="0" w:color="auto"/>
        <w:bottom w:val="none" w:sz="0" w:space="0" w:color="auto"/>
        <w:right w:val="none" w:sz="0" w:space="0" w:color="auto"/>
      </w:divBdr>
    </w:div>
    <w:div w:id="880481784">
      <w:bodyDiv w:val="1"/>
      <w:marLeft w:val="0"/>
      <w:marRight w:val="0"/>
      <w:marTop w:val="0"/>
      <w:marBottom w:val="0"/>
      <w:divBdr>
        <w:top w:val="none" w:sz="0" w:space="0" w:color="auto"/>
        <w:left w:val="none" w:sz="0" w:space="0" w:color="auto"/>
        <w:bottom w:val="none" w:sz="0" w:space="0" w:color="auto"/>
        <w:right w:val="none" w:sz="0" w:space="0" w:color="auto"/>
      </w:divBdr>
    </w:div>
    <w:div w:id="1168138504">
      <w:bodyDiv w:val="1"/>
      <w:marLeft w:val="0"/>
      <w:marRight w:val="0"/>
      <w:marTop w:val="0"/>
      <w:marBottom w:val="0"/>
      <w:divBdr>
        <w:top w:val="none" w:sz="0" w:space="0" w:color="auto"/>
        <w:left w:val="none" w:sz="0" w:space="0" w:color="auto"/>
        <w:bottom w:val="none" w:sz="0" w:space="0" w:color="auto"/>
        <w:right w:val="none" w:sz="0" w:space="0" w:color="auto"/>
      </w:divBdr>
    </w:div>
    <w:div w:id="1707951305">
      <w:bodyDiv w:val="1"/>
      <w:marLeft w:val="0"/>
      <w:marRight w:val="0"/>
      <w:marTop w:val="0"/>
      <w:marBottom w:val="0"/>
      <w:divBdr>
        <w:top w:val="none" w:sz="0" w:space="0" w:color="auto"/>
        <w:left w:val="none" w:sz="0" w:space="0" w:color="auto"/>
        <w:bottom w:val="none" w:sz="0" w:space="0" w:color="auto"/>
        <w:right w:val="none" w:sz="0" w:space="0" w:color="auto"/>
      </w:divBdr>
    </w:div>
    <w:div w:id="1800805052">
      <w:bodyDiv w:val="1"/>
      <w:marLeft w:val="0"/>
      <w:marRight w:val="0"/>
      <w:marTop w:val="0"/>
      <w:marBottom w:val="0"/>
      <w:divBdr>
        <w:top w:val="none" w:sz="0" w:space="0" w:color="auto"/>
        <w:left w:val="none" w:sz="0" w:space="0" w:color="auto"/>
        <w:bottom w:val="none" w:sz="0" w:space="0" w:color="auto"/>
        <w:right w:val="none" w:sz="0" w:space="0" w:color="auto"/>
      </w:divBdr>
    </w:div>
    <w:div w:id="209323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1198</ap:Words>
  <ap:Characters>6590</ap:Characters>
  <ap:DocSecurity>0</ap:DocSecurity>
  <ap:Lines>54</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2024-12-20T15:09:00.0000000Z</dcterms:created>
  <dcterms:modified xsi:type="dcterms:W3CDTF">2024-12-20T15:09:00.0000000Z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0x010100AEA30C99F7370D4799F9BF64B3FC5FD7</vt:lpwstr>
  </property>
  <property fmtid="{D5CDD505-2E9C-101B-9397-08002B2CF9AE}" pid="3" name="BZForumOrganisation">
    <vt:lpwstr>2;#Not applicable|0049e722-bfb1-4a3f-9d08-af7366a9af40</vt:lpwstr>
  </property>
  <property fmtid="{D5CDD505-2E9C-101B-9397-08002B2CF9AE}" pid="4" name="BZTheme">
    <vt:lpwstr>1;#Migration and development general|f427d1d1-42ba-418b-82d3-46ebbbd56644</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BZClassification">
    <vt:lpwstr>4;#UNCLASSIFIED (U)|284e6a62-15ab-4017-be27-a1e965f4e940</vt:lpwstr>
  </property>
</Properties>
</file>