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8B" w:rsidRDefault="00C2488B" w14:paraId="7E050FDA" w14:textId="77777777">
      <w:bookmarkStart w:name="_GoBack" w:id="0"/>
      <w:bookmarkEnd w:id="0"/>
    </w:p>
    <w:p w:rsidR="00C2488B" w:rsidRDefault="00C2488B" w14:paraId="1E77BF87" w14:textId="77777777"/>
    <w:p w:rsidRPr="00DA1F61" w:rsidR="00F12533" w:rsidP="00F12533" w:rsidRDefault="00F12533" w14:paraId="2E96194C" w14:textId="771F068B">
      <w:pPr>
        <w:spacing w:line="240" w:lineRule="auto"/>
      </w:pPr>
      <w:r>
        <w:t>In antwoord op uw brief van 29 oktober 2024 deel ik u mee, dat de schriftelijke vragen van het lid Ellian (VVD)</w:t>
      </w:r>
      <w:r w:rsidRPr="004057A7">
        <w:rPr>
          <w:sz w:val="17"/>
          <w:szCs w:val="17"/>
        </w:rPr>
        <w:t xml:space="preserve"> </w:t>
      </w:r>
      <w:r w:rsidRPr="009150AD">
        <w:t xml:space="preserve">inzake </w:t>
      </w:r>
      <w:r w:rsidRPr="009150AD">
        <w:rPr>
          <w:shd w:val="clear" w:color="auto" w:fill="FFFFFF"/>
        </w:rPr>
        <w:t>gerechtelijke dwalingen</w:t>
      </w:r>
      <w:r w:rsidRPr="009150AD">
        <w:rPr>
          <w:color w:val="auto"/>
        </w:rPr>
        <w:t>,</w:t>
      </w:r>
      <w:r w:rsidRPr="00916F85">
        <w:rPr>
          <w:rFonts w:eastAsia="Times New Roman" w:cs="Times New Roman"/>
          <w:color w:val="auto"/>
        </w:rPr>
        <w:t xml:space="preserve"> </w:t>
      </w:r>
      <w:r w:rsidRPr="00F570B7">
        <w:rPr>
          <w:rFonts w:eastAsia="Times New Roman" w:cs="Times New Roman"/>
          <w:color w:val="auto"/>
        </w:rPr>
        <w:t xml:space="preserve">worden </w:t>
      </w:r>
      <w:r w:rsidRPr="00F570B7">
        <w:t>beantwoor</w:t>
      </w:r>
      <w:r>
        <w:t>d zoals aangegeven in de bijlage bij deze brief.</w:t>
      </w:r>
    </w:p>
    <w:p w:rsidR="00C2488B" w:rsidRDefault="00C2488B" w14:paraId="331C1752" w14:textId="77777777"/>
    <w:p w:rsidR="00EF2ECA" w:rsidRDefault="00EF2ECA" w14:paraId="446D94A7" w14:textId="77777777"/>
    <w:p w:rsidR="00412158" w:rsidRDefault="00D433E2" w14:paraId="32EAE7DC" w14:textId="72FB709C">
      <w:r>
        <w:t>De Staatssecretaris Rechtsbescherming,</w:t>
      </w:r>
    </w:p>
    <w:p w:rsidR="00412158" w:rsidRDefault="00412158" w14:paraId="78CDACB9" w14:textId="77777777"/>
    <w:p w:rsidR="00C2488B" w:rsidRDefault="00C2488B" w14:paraId="3D504A69" w14:textId="77777777"/>
    <w:p w:rsidR="00C2488B" w:rsidRDefault="00C2488B" w14:paraId="5247FCC3" w14:textId="77777777"/>
    <w:p w:rsidR="00412158" w:rsidRDefault="00412158" w14:paraId="05683231" w14:textId="77777777"/>
    <w:p w:rsidR="00412158" w:rsidRDefault="00D433E2" w14:paraId="095A3462" w14:textId="7F410CC6">
      <w:r>
        <w:t>T</w:t>
      </w:r>
      <w:r w:rsidR="00772DD5">
        <w:t>.H.D.</w:t>
      </w:r>
      <w:r>
        <w:t xml:space="preserve"> Struycken</w:t>
      </w:r>
    </w:p>
    <w:p w:rsidR="00412158" w:rsidRDefault="00412158" w14:paraId="64983804" w14:textId="77777777"/>
    <w:p w:rsidR="00EF2ECA" w:rsidP="00F12533" w:rsidRDefault="00F12533" w14:paraId="77BAC9B3" w14:textId="40A820F4">
      <w:pPr>
        <w:rPr>
          <w:b/>
          <w:bCs/>
        </w:rPr>
      </w:pPr>
      <w:r>
        <w:br/>
      </w:r>
    </w:p>
    <w:p w:rsidR="00EF2ECA" w:rsidRDefault="00EF2ECA" w14:paraId="29544D9C" w14:textId="77777777">
      <w:pPr>
        <w:spacing w:line="240" w:lineRule="auto"/>
        <w:rPr>
          <w:b/>
          <w:bCs/>
        </w:rPr>
      </w:pPr>
      <w:r>
        <w:rPr>
          <w:b/>
          <w:bCs/>
        </w:rPr>
        <w:br w:type="page"/>
      </w:r>
    </w:p>
    <w:p w:rsidRPr="00EF2ECA" w:rsidR="00F12533" w:rsidP="00EF2ECA" w:rsidRDefault="00F12533" w14:paraId="53D8CEDD" w14:textId="1E19F3DB">
      <w:pPr>
        <w:pBdr>
          <w:bottom w:val="single" w:color="auto" w:sz="4" w:space="1"/>
        </w:pBdr>
        <w:spacing w:line="240" w:lineRule="auto"/>
        <w:rPr>
          <w:b/>
          <w:bCs/>
        </w:rPr>
      </w:pPr>
      <w:r w:rsidRPr="00EF2ECA">
        <w:rPr>
          <w:b/>
          <w:bCs/>
        </w:rPr>
        <w:lastRenderedPageBreak/>
        <w:t xml:space="preserve">Vragen van het lid Ellian (VVD) aan de staatssecretaris van </w:t>
      </w:r>
      <w:r w:rsidR="00EF2ECA">
        <w:rPr>
          <w:b/>
          <w:bCs/>
        </w:rPr>
        <w:t>Rechtsbescherming</w:t>
      </w:r>
      <w:r w:rsidRPr="00EF2ECA">
        <w:rPr>
          <w:b/>
          <w:bCs/>
        </w:rPr>
        <w:t xml:space="preserve"> over gerechtelijke dwalingen</w:t>
      </w:r>
      <w:r w:rsidRPr="00EF2ECA" w:rsidR="00EF2ECA">
        <w:rPr>
          <w:b/>
          <w:bCs/>
        </w:rPr>
        <w:br/>
        <w:t>(ingezonden 29 oktober 2024,</w:t>
      </w:r>
      <w:r w:rsidR="00EF2ECA">
        <w:t xml:space="preserve"> </w:t>
      </w:r>
      <w:r w:rsidRPr="250AE766" w:rsidR="00EF2ECA">
        <w:rPr>
          <w:b/>
          <w:bCs/>
        </w:rPr>
        <w:t>2024Z17131</w:t>
      </w:r>
      <w:r w:rsidR="00EF2ECA">
        <w:rPr>
          <w:b/>
          <w:bCs/>
        </w:rPr>
        <w:t>)</w:t>
      </w:r>
    </w:p>
    <w:p w:rsidR="00512C11" w:rsidP="00512C11" w:rsidRDefault="00512C11" w14:paraId="0F9F824E" w14:textId="77777777">
      <w:pPr>
        <w:autoSpaceDN/>
        <w:spacing w:after="160" w:line="259" w:lineRule="auto"/>
        <w:textAlignment w:val="auto"/>
        <w:rPr>
          <w:b/>
          <w:bCs/>
        </w:rPr>
      </w:pPr>
    </w:p>
    <w:p w:rsidRPr="00512C11" w:rsidR="00382C31" w:rsidP="00512C11" w:rsidRDefault="00512C11" w14:paraId="62B2C9BE" w14:textId="1A5EA8B2">
      <w:pPr>
        <w:autoSpaceDN/>
        <w:spacing w:after="160" w:line="259" w:lineRule="auto"/>
        <w:textAlignment w:val="auto"/>
        <w:rPr>
          <w:b/>
          <w:bCs/>
        </w:rPr>
      </w:pPr>
      <w:r>
        <w:rPr>
          <w:b/>
          <w:bCs/>
        </w:rPr>
        <w:t>Vraag 1</w:t>
      </w:r>
      <w:r>
        <w:rPr>
          <w:b/>
          <w:bCs/>
        </w:rPr>
        <w:br/>
      </w:r>
      <w:r w:rsidRPr="00F12533" w:rsidR="00F12533">
        <w:rPr>
          <w:b/>
          <w:bCs/>
        </w:rPr>
        <w:t>Bent u bekend met de zaak van Berry de R.[1]</w:t>
      </w:r>
      <w:r>
        <w:rPr>
          <w:b/>
          <w:bCs/>
        </w:rPr>
        <w:br/>
      </w:r>
      <w:r>
        <w:rPr>
          <w:b/>
          <w:bCs/>
        </w:rPr>
        <w:br/>
      </w:r>
      <w:r w:rsidRPr="00512C11" w:rsidR="00EF2ECA">
        <w:rPr>
          <w:b/>
          <w:bCs/>
        </w:rPr>
        <w:t>Antwoord op vraag 1</w:t>
      </w:r>
      <w:r w:rsidR="00EF2ECA">
        <w:br/>
      </w:r>
      <w:r w:rsidRPr="009150AD" w:rsidR="009150AD">
        <w:t>Ja</w:t>
      </w:r>
      <w:r>
        <w:rPr>
          <w:b/>
          <w:bCs/>
        </w:rPr>
        <w:br/>
      </w:r>
      <w:r>
        <w:rPr>
          <w:b/>
          <w:bCs/>
        </w:rPr>
        <w:br/>
        <w:t>Vraag 2</w:t>
      </w:r>
      <w:r>
        <w:rPr>
          <w:b/>
          <w:bCs/>
        </w:rPr>
        <w:br/>
      </w:r>
      <w:r w:rsidRPr="00F12533" w:rsidR="00F12533">
        <w:rPr>
          <w:b/>
          <w:bCs/>
        </w:rPr>
        <w:t>Wat vindt u ervan dat iemand aantoonbaar onschuldig is veroordeeld en onschuldig heeft vastgezeten door toedoen van het vermeende slachtoffer?</w:t>
      </w:r>
      <w:r>
        <w:rPr>
          <w:b/>
          <w:bCs/>
        </w:rPr>
        <w:br/>
      </w:r>
      <w:r>
        <w:rPr>
          <w:b/>
          <w:bCs/>
        </w:rPr>
        <w:br/>
      </w:r>
      <w:r w:rsidRPr="00512C11" w:rsidR="00EF2ECA">
        <w:rPr>
          <w:b/>
          <w:bCs/>
        </w:rPr>
        <w:t>Antwoord op vraag 2</w:t>
      </w:r>
      <w:r w:rsidR="00EF2ECA">
        <w:br/>
      </w:r>
      <w:r w:rsidRPr="009150AD" w:rsidR="009150AD">
        <w:t>Het is zeer te betreuren als blijkt dat iemand ten onrechte is veroordeeld voor een feit dat hij of zij niet heeft gepleegd, waarvoor de gewezen verdachte ook nog een gevangenisstraf heeft moeten ondergaan. Iedere onterechte veroordeling is er wat mij betreft een te veel. Onterechte</w:t>
      </w:r>
      <w:r w:rsidR="009150AD">
        <w:t xml:space="preserve"> </w:t>
      </w:r>
      <w:r w:rsidRPr="009150AD" w:rsidR="009150AD">
        <w:t>veroordelingen hebben niet alleen zeer ingrijpende gevolgen voor de direct</w:t>
      </w:r>
      <w:r w:rsidR="009150AD">
        <w:t xml:space="preserve"> </w:t>
      </w:r>
      <w:r w:rsidRPr="009150AD" w:rsidR="009150AD">
        <w:t>betrokken personen, maar zijn ook schadelijk voor het vertrouwen van burgers in</w:t>
      </w:r>
      <w:r w:rsidR="009150AD">
        <w:t xml:space="preserve"> </w:t>
      </w:r>
      <w:r w:rsidRPr="009150AD" w:rsidR="009150AD">
        <w:t>de rechtsbescherming die een rechts</w:t>
      </w:r>
      <w:r w:rsidR="006A0B05">
        <w:t>s</w:t>
      </w:r>
      <w:r w:rsidRPr="009150AD" w:rsidR="009150AD">
        <w:t xml:space="preserve">taat aan </w:t>
      </w:r>
      <w:r w:rsidR="006A0B05">
        <w:t>zijn</w:t>
      </w:r>
      <w:r w:rsidRPr="009150AD" w:rsidR="009150AD">
        <w:t xml:space="preserve"> burgers wordt geacht te</w:t>
      </w:r>
      <w:r w:rsidR="009150AD">
        <w:t xml:space="preserve"> </w:t>
      </w:r>
      <w:r w:rsidRPr="009150AD" w:rsidR="009150AD">
        <w:t>bieden.</w:t>
      </w:r>
      <w:r>
        <w:rPr>
          <w:b/>
          <w:bCs/>
        </w:rPr>
        <w:br/>
      </w:r>
      <w:r>
        <w:rPr>
          <w:b/>
          <w:bCs/>
        </w:rPr>
        <w:br/>
        <w:t>Vraag 3</w:t>
      </w:r>
      <w:r>
        <w:rPr>
          <w:b/>
          <w:bCs/>
        </w:rPr>
        <w:br/>
      </w:r>
      <w:r w:rsidRPr="00F12533" w:rsidR="00F12533">
        <w:rPr>
          <w:b/>
          <w:bCs/>
        </w:rPr>
        <w:t>Hoe veel rechtelijke dwalingen hebben er totaal in Nederland plaatsgevonden volgens de cijfers van de rechtspraak en het Openbaar Ministerie?</w:t>
      </w:r>
      <w:r w:rsidR="00A452F3">
        <w:rPr>
          <w:b/>
          <w:bCs/>
        </w:rPr>
        <w:br/>
      </w:r>
      <w:r w:rsidR="00A452F3">
        <w:rPr>
          <w:b/>
          <w:bCs/>
        </w:rPr>
        <w:br/>
      </w:r>
      <w:r w:rsidRPr="00512C11" w:rsidR="00EF2ECA">
        <w:rPr>
          <w:b/>
          <w:bCs/>
          <w:color w:val="auto"/>
        </w:rPr>
        <w:t>Antwoord op vraag 3</w:t>
      </w:r>
      <w:r w:rsidR="00EF2ECA">
        <w:rPr>
          <w:color w:val="auto"/>
        </w:rPr>
        <w:br/>
      </w:r>
      <w:r w:rsidRPr="00C22988" w:rsidR="00382C31">
        <w:rPr>
          <w:color w:val="auto"/>
        </w:rPr>
        <w:t xml:space="preserve">Gerechtelijke dwalingen worden niet specifiek geregistreerd in de systemen van Rechtspraak en het OM. </w:t>
      </w:r>
      <w:r w:rsidRPr="00C22988" w:rsidR="0087652F">
        <w:rPr>
          <w:color w:val="auto"/>
        </w:rPr>
        <w:t>S</w:t>
      </w:r>
      <w:r w:rsidRPr="00C22988" w:rsidR="00382C31">
        <w:rPr>
          <w:color w:val="auto"/>
        </w:rPr>
        <w:t>inds de negentiger jaren</w:t>
      </w:r>
      <w:r w:rsidRPr="00C22988" w:rsidR="0087652F">
        <w:rPr>
          <w:color w:val="auto"/>
        </w:rPr>
        <w:t xml:space="preserve"> zijn</w:t>
      </w:r>
      <w:r w:rsidRPr="00C22988" w:rsidR="00382C31">
        <w:rPr>
          <w:color w:val="auto"/>
        </w:rPr>
        <w:t xml:space="preserve"> in ieder geval acht zaken bekend, te weten de Schiedammer Parkmoord, Puttense Moordzaak, Ina Post, Lucia de B., Showbizzmoord, Rosmalense Flatzaak, Pettense campingmoord en Berry de R.</w:t>
      </w:r>
    </w:p>
    <w:p w:rsidRPr="00C22988" w:rsidR="00382C31" w:rsidP="00382C31" w:rsidRDefault="00382C31" w14:paraId="16AB9F88" w14:textId="77777777">
      <w:pPr>
        <w:rPr>
          <w:color w:val="auto"/>
        </w:rPr>
      </w:pPr>
    </w:p>
    <w:p w:rsidR="00A452F3" w:rsidP="00D433E2" w:rsidRDefault="00382C31" w14:paraId="3FDFF467" w14:textId="77777777">
      <w:pPr>
        <w:rPr>
          <w:b/>
          <w:bCs/>
        </w:rPr>
      </w:pPr>
      <w:r w:rsidRPr="00C22988">
        <w:rPr>
          <w:color w:val="auto"/>
        </w:rPr>
        <w:t>In dit verband verwijs ik ook naar de cijfers van het project van EUREX (The European Registry of Exonerations)</w:t>
      </w:r>
      <w:r w:rsidRPr="00C22988">
        <w:rPr>
          <w:rStyle w:val="Voetnootmarkering"/>
          <w:color w:val="auto"/>
        </w:rPr>
        <w:footnoteReference w:id="1"/>
      </w:r>
      <w:r w:rsidRPr="00C22988">
        <w:rPr>
          <w:color w:val="auto"/>
        </w:rPr>
        <w:t xml:space="preserve">, waarbij het gaat om </w:t>
      </w:r>
      <w:r w:rsidRPr="00C22988" w:rsidR="00F566D7">
        <w:rPr>
          <w:color w:val="auto"/>
        </w:rPr>
        <w:t>twaalf</w:t>
      </w:r>
      <w:r w:rsidRPr="00C22988">
        <w:rPr>
          <w:color w:val="auto"/>
        </w:rPr>
        <w:t xml:space="preserve"> vastgestelde onterechte veroordelingen in Nederland in een periode van bijna </w:t>
      </w:r>
      <w:r w:rsidRPr="00C22988" w:rsidR="00F566D7">
        <w:rPr>
          <w:color w:val="auto"/>
        </w:rPr>
        <w:t>vijftig</w:t>
      </w:r>
      <w:r w:rsidRPr="00C22988">
        <w:rPr>
          <w:color w:val="auto"/>
        </w:rPr>
        <w:t xml:space="preserve"> jaar (van 1970 tot 2019).</w:t>
      </w:r>
      <w:r w:rsidRPr="00382C31">
        <w:rPr>
          <w:color w:val="auto"/>
        </w:rPr>
        <w:t xml:space="preserve"> </w:t>
      </w:r>
      <w:r w:rsidR="00D433E2">
        <w:rPr>
          <w:i/>
          <w:iCs/>
          <w:color w:val="auto"/>
        </w:rPr>
        <w:br/>
      </w:r>
      <w:r w:rsidR="00D433E2">
        <w:rPr>
          <w:i/>
          <w:iCs/>
          <w:color w:val="auto"/>
        </w:rPr>
        <w:br/>
      </w:r>
    </w:p>
    <w:p w:rsidR="00A452F3" w:rsidRDefault="00A452F3" w14:paraId="33727487" w14:textId="77777777">
      <w:pPr>
        <w:spacing w:line="240" w:lineRule="auto"/>
        <w:rPr>
          <w:b/>
          <w:bCs/>
        </w:rPr>
      </w:pPr>
      <w:r>
        <w:rPr>
          <w:b/>
          <w:bCs/>
        </w:rPr>
        <w:br w:type="page"/>
      </w:r>
    </w:p>
    <w:p w:rsidRPr="00D433E2" w:rsidR="00F12533" w:rsidP="00D433E2" w:rsidRDefault="00512C11" w14:paraId="4A4C0B26" w14:textId="0DAFFC65">
      <w:pPr>
        <w:rPr>
          <w:i/>
          <w:iCs/>
          <w:color w:val="auto"/>
        </w:rPr>
      </w:pPr>
      <w:r>
        <w:rPr>
          <w:b/>
          <w:bCs/>
        </w:rPr>
        <w:t>Vraag 4</w:t>
      </w:r>
      <w:r>
        <w:rPr>
          <w:b/>
          <w:bCs/>
        </w:rPr>
        <w:br/>
      </w:r>
      <w:r w:rsidRPr="00F12533" w:rsidR="00F12533">
        <w:rPr>
          <w:b/>
          <w:bCs/>
        </w:rPr>
        <w:t>Welke reflectie vindt er bij alle betrokken partijen (politie, advocatuur, Openbaar Ministerie en rechtspraak) plaats nadat een rechtelijke dwaling is geconstateerd?</w:t>
      </w:r>
    </w:p>
    <w:p w:rsidRPr="00001DD2" w:rsidR="0084099C" w:rsidP="0084099C" w:rsidRDefault="00A452F3" w14:paraId="03A37BA7" w14:textId="48ED1D9C">
      <w:pPr>
        <w:rPr>
          <w:color w:val="auto"/>
        </w:rPr>
      </w:pPr>
      <w:r>
        <w:rPr>
          <w:b/>
          <w:bCs/>
          <w:color w:val="auto"/>
        </w:rPr>
        <w:br/>
      </w:r>
      <w:r w:rsidRPr="00512C11" w:rsidR="00EF2ECA">
        <w:rPr>
          <w:b/>
          <w:bCs/>
          <w:color w:val="auto"/>
        </w:rPr>
        <w:t>Antwoord op vraag 4</w:t>
      </w:r>
      <w:r w:rsidR="00EF2ECA">
        <w:rPr>
          <w:color w:val="auto"/>
        </w:rPr>
        <w:br/>
      </w:r>
      <w:r w:rsidRPr="00001DD2" w:rsidR="0084099C">
        <w:rPr>
          <w:color w:val="auto"/>
        </w:rPr>
        <w:t xml:space="preserve">De reflectie kan afhankelijk van de specifieke zaak en binnen de afzonderlijke organisaties op verschillende manieren plaatsvinden. </w:t>
      </w:r>
    </w:p>
    <w:p w:rsidR="00001DD2" w:rsidP="0084099C" w:rsidRDefault="00001DD2" w14:paraId="70907DF6" w14:textId="77777777">
      <w:pPr>
        <w:rPr>
          <w:color w:val="auto"/>
        </w:rPr>
      </w:pPr>
    </w:p>
    <w:p w:rsidR="00021752" w:rsidP="0084099C" w:rsidRDefault="0084099C" w14:paraId="6AD794CC" w14:textId="6630EA15">
      <w:pPr>
        <w:rPr>
          <w:color w:val="auto"/>
        </w:rPr>
      </w:pPr>
      <w:r w:rsidRPr="00001DD2">
        <w:rPr>
          <w:color w:val="auto"/>
        </w:rPr>
        <w:t>Bij de politie wordt</w:t>
      </w:r>
      <w:r w:rsidRPr="00001DD2">
        <w:rPr>
          <w:b/>
          <w:bCs/>
          <w:color w:val="auto"/>
        </w:rPr>
        <w:t xml:space="preserve"> </w:t>
      </w:r>
      <w:r w:rsidRPr="00001DD2">
        <w:rPr>
          <w:color w:val="auto"/>
        </w:rPr>
        <w:t xml:space="preserve">de zaak na vaststelling van onterechte veroordeling neergelegd in de politie-eenheid waar de zaak heeft gedraaid. Daar wordt </w:t>
      </w:r>
      <w:r w:rsidR="006A0B05">
        <w:rPr>
          <w:color w:val="auto"/>
        </w:rPr>
        <w:t>de zaak</w:t>
      </w:r>
      <w:r w:rsidRPr="00001DD2">
        <w:rPr>
          <w:color w:val="auto"/>
        </w:rPr>
        <w:t xml:space="preserve"> besproken tussen politie en OM. Eventuele leerpunten kunnen worden voorgelegd aan het landelijk overleg recherche, dit kan leiden tot aanpassing van werkprocessen en/of opleidingen. </w:t>
      </w:r>
    </w:p>
    <w:p w:rsidR="00001DD2" w:rsidP="0084099C" w:rsidRDefault="00001DD2" w14:paraId="460DFE0D" w14:textId="4FD8E4B0">
      <w:pPr>
        <w:rPr>
          <w:color w:val="auto"/>
        </w:rPr>
      </w:pPr>
      <w:r>
        <w:rPr>
          <w:color w:val="auto"/>
        </w:rPr>
        <w:t xml:space="preserve">Bij de advocatuur is </w:t>
      </w:r>
      <w:r w:rsidRPr="00001DD2">
        <w:rPr>
          <w:color w:val="auto"/>
        </w:rPr>
        <w:t>het aan de desbetreffende advocaat/advocaten in de zaak zelf om te bepalen hoe zij reflecteren in dergelijke gevallen</w:t>
      </w:r>
      <w:r>
        <w:rPr>
          <w:color w:val="auto"/>
        </w:rPr>
        <w:t>.</w:t>
      </w:r>
      <w:r w:rsidR="008A5857">
        <w:rPr>
          <w:color w:val="auto"/>
        </w:rPr>
        <w:t xml:space="preserve"> Er zijn </w:t>
      </w:r>
      <w:r w:rsidRPr="008A5857" w:rsidR="008A5857">
        <w:rPr>
          <w:color w:val="auto"/>
        </w:rPr>
        <w:t>opleidingen</w:t>
      </w:r>
      <w:r w:rsidR="008A5857">
        <w:rPr>
          <w:color w:val="auto"/>
        </w:rPr>
        <w:t xml:space="preserve"> en </w:t>
      </w:r>
      <w:r w:rsidRPr="008A5857" w:rsidR="008A5857">
        <w:rPr>
          <w:color w:val="auto"/>
        </w:rPr>
        <w:t xml:space="preserve">cursussen voor juridische professionals die </w:t>
      </w:r>
      <w:r w:rsidR="008A5857">
        <w:rPr>
          <w:color w:val="auto"/>
        </w:rPr>
        <w:t>advocaten</w:t>
      </w:r>
      <w:r w:rsidRPr="008A5857" w:rsidR="008A5857">
        <w:rPr>
          <w:color w:val="auto"/>
        </w:rPr>
        <w:t xml:space="preserve"> kunnen volgen in het kader van hun permanente educatie die </w:t>
      </w:r>
      <w:r w:rsidR="008A5857">
        <w:rPr>
          <w:color w:val="auto"/>
        </w:rPr>
        <w:t xml:space="preserve">specifiek aandacht besteden aan gerechtelijke dwalingen. </w:t>
      </w:r>
    </w:p>
    <w:p w:rsidRPr="00001DD2" w:rsidR="00001DD2" w:rsidP="00001DD2" w:rsidRDefault="00001DD2" w14:paraId="18C8C844" w14:textId="7D91214F">
      <w:pPr>
        <w:rPr>
          <w:color w:val="auto"/>
        </w:rPr>
      </w:pPr>
      <w:r w:rsidRPr="00001DD2">
        <w:rPr>
          <w:color w:val="auto"/>
        </w:rPr>
        <w:t xml:space="preserve">Bij het OM kan </w:t>
      </w:r>
      <w:r w:rsidR="006A0B05">
        <w:rPr>
          <w:color w:val="auto"/>
        </w:rPr>
        <w:t>het reflecteren</w:t>
      </w:r>
      <w:r w:rsidRPr="00001DD2">
        <w:rPr>
          <w:color w:val="auto"/>
        </w:rPr>
        <w:t xml:space="preserve"> variëren van reflectie door de betrokken OM-onderdelen zelf, door een speciaal daarvoor ingestelde commissie, door de Reflectiekamer Kwaliteitsontwikkeling of reflectie door de Landelijke Reflectiekamer.</w:t>
      </w:r>
    </w:p>
    <w:p w:rsidRPr="00D433E2" w:rsidR="00B43794" w:rsidP="00D433E2" w:rsidRDefault="0084099C" w14:paraId="7F183251" w14:textId="69B6DD73">
      <w:pPr>
        <w:spacing w:after="240"/>
        <w:rPr>
          <w:color w:val="auto"/>
        </w:rPr>
      </w:pPr>
      <w:r w:rsidRPr="00001DD2">
        <w:rPr>
          <w:color w:val="auto"/>
        </w:rPr>
        <w:t>Bij de Rechtspraak worden arresten in hoger beroep of cassatie in beginsel verstrekt aan het gerecht (hof en/of rechtbank) waar de zaak is behandeld en daar doorgestuurd ter kennisneming aan de rechter(s) (en gerechtsjuristen) die de zaak hebben behandeld. Ook na herziening is dat het geval. Vervolgens kunnen bespreking en reflectie verder ook plaatsvinden op een (jurisprudentie)overleg waaraan rechters en gerechtsjuristen van de betreffende rechtbank deelnemen. Zie verder hieronder het antwoord op vraag 7.</w:t>
      </w:r>
      <w:r w:rsidR="00D433E2">
        <w:rPr>
          <w:color w:val="auto"/>
        </w:rPr>
        <w:br/>
      </w:r>
      <w:r w:rsidR="00D433E2">
        <w:rPr>
          <w:color w:val="auto"/>
        </w:rPr>
        <w:br/>
      </w:r>
      <w:r w:rsidR="00512C11">
        <w:rPr>
          <w:b/>
          <w:bCs/>
        </w:rPr>
        <w:t>Vraag 5</w:t>
      </w:r>
      <w:r w:rsidR="00512C11">
        <w:rPr>
          <w:b/>
          <w:bCs/>
        </w:rPr>
        <w:br/>
      </w:r>
      <w:r w:rsidRPr="00F12533" w:rsidR="00F12533">
        <w:rPr>
          <w:b/>
          <w:bCs/>
        </w:rPr>
        <w:t>Op welke wijze bestaat binnen de rechtspraak aandacht voor het voorkomen van rechtelijke dwalingen?</w:t>
      </w:r>
      <w:r w:rsidR="00D433E2">
        <w:rPr>
          <w:color w:val="auto"/>
        </w:rPr>
        <w:br/>
      </w:r>
      <w:r w:rsidR="00D433E2">
        <w:rPr>
          <w:color w:val="auto"/>
        </w:rPr>
        <w:br/>
      </w:r>
      <w:r w:rsidRPr="00512C11" w:rsidR="00EF2ECA">
        <w:rPr>
          <w:rFonts w:eastAsia="Calibri" w:cs="Calibri"/>
          <w:b/>
          <w:bCs/>
          <w:color w:val="auto"/>
        </w:rPr>
        <w:t>Antwoord op vraag 5</w:t>
      </w:r>
      <w:r w:rsidR="00EF2ECA">
        <w:rPr>
          <w:rFonts w:eastAsia="Calibri" w:cs="Calibri"/>
          <w:color w:val="auto"/>
        </w:rPr>
        <w:br/>
      </w:r>
      <w:r w:rsidRPr="00FF756B" w:rsidR="00B43794">
        <w:rPr>
          <w:rFonts w:eastAsia="Calibri" w:cs="Calibri"/>
          <w:color w:val="auto"/>
        </w:rPr>
        <w:t>Uit gerechtelijke dwalingen in het verleden heeft de Rechtspraak lessen getrokken en acties ondernomen met als doel gerechtelijke dwalingen te voorkomen. Zo is er een register van gerechtelijke deskundigen (NRGD) opgesteld zodat rechters snel de passende deskundige kunnen benoemen en de juiste informatie kunnen opvragen. Rechters en raadsheren worden bovendien extra geschoold, bijvoorbeeld op het gebied van statistiek en DNA.</w:t>
      </w:r>
    </w:p>
    <w:p w:rsidRPr="00FF756B" w:rsidR="00B43794" w:rsidP="00B43794" w:rsidRDefault="00B43794" w14:paraId="5E4F4336" w14:textId="77777777">
      <w:pPr>
        <w:spacing w:line="240" w:lineRule="auto"/>
        <w:rPr>
          <w:rFonts w:eastAsia="Calibri" w:cs="Calibri"/>
          <w:color w:val="auto"/>
        </w:rPr>
      </w:pPr>
      <w:r w:rsidRPr="00FF756B">
        <w:rPr>
          <w:rFonts w:eastAsia="Calibri" w:cs="Calibri"/>
          <w:color w:val="auto"/>
        </w:rPr>
        <w:t>Verder worden rechters en raadsheren specifiek over het onderwerp oordeelsvorming geschoold. Met cursussen van het studiecentrum rechtspleging (SSR) als ‘Rechterlijke oordeelsvorming’ en ‘De menselijke factor’ leren rechters en raadsheren technieken en beschouwingswijzen ter verbetering van de oordeelsvorming en ter voorkoming van tunnelvisie.</w:t>
      </w:r>
    </w:p>
    <w:p w:rsidRPr="00D433E2" w:rsidR="00F12533" w:rsidP="00D433E2" w:rsidRDefault="00B43794" w14:paraId="5E01C883" w14:textId="2C7260E3">
      <w:pPr>
        <w:spacing w:after="240" w:line="240" w:lineRule="auto"/>
        <w:rPr>
          <w:rFonts w:eastAsia="Calibri" w:cs="Calibri"/>
          <w:color w:val="auto"/>
        </w:rPr>
      </w:pPr>
      <w:r w:rsidRPr="00FF756B">
        <w:rPr>
          <w:rFonts w:eastAsia="Calibri" w:cs="Calibri"/>
          <w:color w:val="auto"/>
        </w:rPr>
        <w:t xml:space="preserve">Daarnaast zijn bij alle gerechten forensisch adviseurs aangesteld die rechters, raadsheren en gerechtsjuristen ondersteunen bij forensische kwesties in complexe strafzaken. Zij helpen bij het wetenschappelijk correct interpreteren van forensisch bewijs en wijzen op risico’s voor misinterpretaties. </w:t>
      </w:r>
      <w:r w:rsidR="00D433E2">
        <w:rPr>
          <w:rFonts w:eastAsia="Calibri" w:cs="Calibri"/>
          <w:color w:val="auto"/>
        </w:rPr>
        <w:br/>
      </w:r>
      <w:r w:rsidR="00D433E2">
        <w:rPr>
          <w:rFonts w:eastAsia="Calibri" w:cs="Calibri"/>
          <w:color w:val="auto"/>
        </w:rPr>
        <w:br/>
      </w:r>
      <w:r w:rsidR="00512C11">
        <w:rPr>
          <w:b/>
          <w:bCs/>
        </w:rPr>
        <w:t>Vraag 6</w:t>
      </w:r>
      <w:r w:rsidR="00512C11">
        <w:rPr>
          <w:b/>
          <w:bCs/>
        </w:rPr>
        <w:br/>
      </w:r>
      <w:r w:rsidRPr="00F12533" w:rsidR="00F12533">
        <w:rPr>
          <w:b/>
          <w:bCs/>
        </w:rPr>
        <w:t>Welke hulp is beschikbaar als sprake is van een rechtelijke dwaling? </w:t>
      </w:r>
    </w:p>
    <w:p w:rsidR="00FF756B" w:rsidP="0000675D" w:rsidRDefault="00EF2ECA" w14:paraId="6267A93A" w14:textId="6FB183D6">
      <w:pPr>
        <w:autoSpaceDN/>
        <w:spacing w:after="160" w:line="240" w:lineRule="auto"/>
        <w:textAlignment w:val="auto"/>
      </w:pPr>
      <w:r w:rsidRPr="00512C11">
        <w:rPr>
          <w:b/>
          <w:bCs/>
        </w:rPr>
        <w:t>Antwoord op vraag 6</w:t>
      </w:r>
      <w:r>
        <w:br/>
      </w:r>
      <w:r w:rsidRPr="00FF756B" w:rsidR="0000675D">
        <w:t>In deze zaak heeft het OM</w:t>
      </w:r>
      <w:r w:rsidR="003D2098">
        <w:t xml:space="preserve"> reeds</w:t>
      </w:r>
      <w:r w:rsidRPr="00FF756B" w:rsidR="0000675D">
        <w:t xml:space="preserve"> excuses aangeboden aan de gewezen verdachte. Dat is belangrijk omdat het aanbieden van excuses een eerste stap is naar volledige rehabilitatie van de betrokkene. </w:t>
      </w:r>
    </w:p>
    <w:p w:rsidRPr="00C22988" w:rsidR="00FF756B" w:rsidP="00D433E2" w:rsidRDefault="0000675D" w14:paraId="593600FA" w14:textId="415EDD8F">
      <w:pPr>
        <w:autoSpaceDN/>
        <w:spacing w:after="160" w:line="240" w:lineRule="auto"/>
        <w:textAlignment w:val="auto"/>
      </w:pPr>
      <w:r w:rsidRPr="00FF756B">
        <w:t>De vervolgstappen in het proces van rehabilitatie kunnen</w:t>
      </w:r>
      <w:r w:rsidR="00AA56B0">
        <w:t>,</w:t>
      </w:r>
      <w:r w:rsidRPr="00FF756B">
        <w:t xml:space="preserve"> </w:t>
      </w:r>
      <w:r w:rsidR="00AA56B0">
        <w:t xml:space="preserve">afhankelijk van het individuele geval, </w:t>
      </w:r>
      <w:r w:rsidRPr="00FF756B">
        <w:t xml:space="preserve">zijn het vergoeden van de geleden materiële en immateriële schade en het bieden van nazorg om de spoedige terugkeer van de betrokkene in de samenleving te bevorderen. </w:t>
      </w:r>
      <w:r w:rsidR="00D433E2">
        <w:br/>
      </w:r>
      <w:r w:rsidR="00D433E2">
        <w:br/>
      </w:r>
      <w:r w:rsidR="00512C11">
        <w:rPr>
          <w:b/>
          <w:bCs/>
        </w:rPr>
        <w:t>Vraag 7</w:t>
      </w:r>
      <w:r w:rsidR="00512C11">
        <w:rPr>
          <w:b/>
          <w:bCs/>
        </w:rPr>
        <w:br/>
      </w:r>
      <w:r w:rsidRPr="00F12533" w:rsidR="00F12533">
        <w:rPr>
          <w:b/>
          <w:bCs/>
        </w:rPr>
        <w:t xml:space="preserve">Bent u bereid om de zaak van Berry de R. volledig te laten evalueren om helder te krijgen hoe het zo ongelooflijk mis kon gaan en om voor </w:t>
      </w:r>
      <w:r w:rsidRPr="00C22988" w:rsidR="00F12533">
        <w:rPr>
          <w:b/>
          <w:bCs/>
        </w:rPr>
        <w:t>de toekomst te leren van deze zaak? Zo ja/nee, waarom? </w:t>
      </w:r>
      <w:r w:rsidR="00D433E2">
        <w:br/>
      </w:r>
      <w:r w:rsidR="00D433E2">
        <w:br/>
      </w:r>
      <w:r w:rsidRPr="00512C11" w:rsidR="00EF2ECA">
        <w:rPr>
          <w:b/>
          <w:bCs/>
        </w:rPr>
        <w:t>Antwoord op vraag 7</w:t>
      </w:r>
      <w:r w:rsidR="00EF2ECA">
        <w:br/>
      </w:r>
      <w:r w:rsidRPr="00C22988" w:rsidR="00FF756B">
        <w:t xml:space="preserve">De zaak Berry de R. is geanalyseerd door de Reflectiekamer Kwaliteitsontwikkeling hierna: de Reflectiekamer). De Reflectiekamer is in 2019 opgericht door het College van Procureurs Generaal om te reflecteren op (kortgezegd) vormverzuimen. De Reflectiekamer wordt voorgezeten door een oud-rechter. Verder zitten er advocaten, wetenschappers, politiemensen en vertegenwoordigers van het OM in. </w:t>
      </w:r>
    </w:p>
    <w:p w:rsidRPr="00FF756B" w:rsidR="00FF756B" w:rsidP="00FF756B" w:rsidRDefault="00FF756B" w14:paraId="07D06BF0" w14:textId="43B7D34D">
      <w:pPr>
        <w:autoSpaceDN/>
        <w:spacing w:after="160" w:line="259" w:lineRule="auto"/>
        <w:textAlignment w:val="auto"/>
      </w:pPr>
      <w:r w:rsidRPr="00C22988">
        <w:t>Het advies van de Reflectiekamer is gestuurd naar het desbetreffende OM-onderdeel, de politie-eenheid en de rechtbank die de zaak hebben behandeld, met als doel om het advies in breder verband te bespreken, bijvoorbeeld tijdens een bijeenkomst voor het hele cluster strafrecht van de rechtbank. Ook zal het advies breder binnen het OM worden gedeeld en wordt het advies betrokken bij interne cursussen en opleiding over digitale opsporing.</w:t>
      </w:r>
    </w:p>
    <w:p w:rsidRPr="00FF756B" w:rsidR="00FF756B" w:rsidP="00FF756B" w:rsidRDefault="00FF756B" w14:paraId="4D27052B" w14:textId="77777777">
      <w:pPr>
        <w:autoSpaceDN/>
        <w:spacing w:after="160" w:line="259" w:lineRule="auto"/>
        <w:textAlignment w:val="auto"/>
      </w:pPr>
    </w:p>
    <w:p w:rsidR="00F12533" w:rsidP="00F12533" w:rsidRDefault="00F12533" w14:paraId="2222AEA6" w14:textId="77777777">
      <w:r>
        <w:t> </w:t>
      </w:r>
      <w:r>
        <w:br/>
      </w:r>
    </w:p>
    <w:p w:rsidR="00F12533" w:rsidP="00F12533" w:rsidRDefault="00F12533" w14:paraId="2792E5A8" w14:textId="77777777">
      <w:r>
        <w:t>[1] Algemeen Dagblad, 25 mei 2024, ‘Stalker’ Berry zat jaar onschuldig in de cel, maar dankzij Thijs Zeeman staat zijn 'slachtoffer’ nu zelf terecht (https://www.ad.nl/binnenland/stalker-berry-zat-jaar-onschuldig-in-de-cel-maar-dankzij-thijs-zeeman-staat-zijn-slachtoffer-nu-zelf-terecht~ae9c3110/?referrer=https%3A%2F%2Fwww.google.com%2F).</w:t>
      </w:r>
      <w:r>
        <w:br/>
      </w:r>
    </w:p>
    <w:p w:rsidR="00F12533" w:rsidP="00F12533" w:rsidRDefault="00F12533" w14:paraId="49811F38" w14:textId="77777777"/>
    <w:p w:rsidR="00F12533" w:rsidRDefault="00F12533" w14:paraId="62DED3C7" w14:textId="77777777"/>
    <w:p w:rsidR="00412158" w:rsidRDefault="00412158" w14:paraId="3EA9D5EF" w14:textId="77777777"/>
    <w:sectPr w:rsidR="0041215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3E58" w14:textId="77777777" w:rsidR="00802023" w:rsidRDefault="00802023">
      <w:pPr>
        <w:spacing w:line="240" w:lineRule="auto"/>
      </w:pPr>
      <w:r>
        <w:separator/>
      </w:r>
    </w:p>
  </w:endnote>
  <w:endnote w:type="continuationSeparator" w:id="0">
    <w:p w14:paraId="6F67115F" w14:textId="77777777" w:rsidR="00802023" w:rsidRDefault="00802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B6639" w14:textId="77777777" w:rsidR="00802023" w:rsidRDefault="00802023">
      <w:pPr>
        <w:spacing w:line="240" w:lineRule="auto"/>
      </w:pPr>
      <w:r>
        <w:separator/>
      </w:r>
    </w:p>
  </w:footnote>
  <w:footnote w:type="continuationSeparator" w:id="0">
    <w:p w14:paraId="674A1B84" w14:textId="77777777" w:rsidR="00802023" w:rsidRDefault="00802023">
      <w:pPr>
        <w:spacing w:line="240" w:lineRule="auto"/>
      </w:pPr>
      <w:r>
        <w:continuationSeparator/>
      </w:r>
    </w:p>
  </w:footnote>
  <w:footnote w:id="1">
    <w:p w14:paraId="12A2629C" w14:textId="77777777" w:rsidR="00382C31" w:rsidRPr="00537C0A" w:rsidRDefault="00382C31" w:rsidP="00382C31">
      <w:pPr>
        <w:pStyle w:val="Voetnoottekst"/>
      </w:pPr>
      <w:r>
        <w:rPr>
          <w:rStyle w:val="Voetnootmarkering"/>
        </w:rPr>
        <w:footnoteRef/>
      </w:r>
      <w:r>
        <w:t xml:space="preserve"> </w:t>
      </w:r>
      <w:r w:rsidRPr="00537C0A">
        <w:t>Met de EUREX-database hebben onderzoekers een eerste, omvangrijke aanzet gedaan om Europese gerechtelijke dwalingen in kaart te brengen. https://www.registryofexonerations.eu/facts-and-data</w:t>
      </w:r>
    </w:p>
    <w:p w14:paraId="7AADC06D" w14:textId="77777777" w:rsidR="00382C31" w:rsidRPr="00F753C9" w:rsidRDefault="00382C31" w:rsidP="00382C3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F5B2" w14:textId="77777777" w:rsidR="00412158" w:rsidRDefault="00D433E2">
    <w:r>
      <w:rPr>
        <w:noProof/>
      </w:rPr>
      <mc:AlternateContent>
        <mc:Choice Requires="wps">
          <w:drawing>
            <wp:anchor distT="0" distB="0" distL="0" distR="0" simplePos="0" relativeHeight="251652096" behindDoc="0" locked="1" layoutInCell="1" allowOverlap="1" wp14:anchorId="5D86C4AD" wp14:editId="1634135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1DFE2F2" w14:textId="77777777" w:rsidR="00B205D6" w:rsidRDefault="00B205D6"/>
                      </w:txbxContent>
                    </wps:txbx>
                    <wps:bodyPr vert="horz" wrap="square" lIns="0" tIns="0" rIns="0" bIns="0" anchor="t" anchorCtr="0"/>
                  </wps:wsp>
                </a:graphicData>
              </a:graphic>
            </wp:anchor>
          </w:drawing>
        </mc:Choice>
        <mc:Fallback>
          <w:pict>
            <v:shapetype w14:anchorId="5D86C4A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1DFE2F2" w14:textId="77777777" w:rsidR="00B205D6" w:rsidRDefault="00B205D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6D6B90F" wp14:editId="5686671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F686D8" w14:textId="77777777" w:rsidR="00EF2ECA" w:rsidRDefault="00EF2ECA">
                          <w:pPr>
                            <w:pStyle w:val="Referentiegegevensbold"/>
                          </w:pPr>
                        </w:p>
                        <w:p w14:paraId="65E2EFE7" w14:textId="77777777" w:rsidR="00EF2ECA" w:rsidRDefault="00EF2ECA">
                          <w:pPr>
                            <w:pStyle w:val="Referentiegegevensbold"/>
                          </w:pPr>
                        </w:p>
                        <w:p w14:paraId="19953A8C" w14:textId="649FEA0D" w:rsidR="00412158" w:rsidRDefault="00D433E2">
                          <w:pPr>
                            <w:pStyle w:val="Referentiegegevensbold"/>
                          </w:pPr>
                          <w:r>
                            <w:t>Directoraat-Generaal Rechtspleging en Rechtshandhaving</w:t>
                          </w:r>
                        </w:p>
                        <w:p w14:paraId="0CF3C476" w14:textId="77777777" w:rsidR="00412158" w:rsidRDefault="00D433E2">
                          <w:pPr>
                            <w:pStyle w:val="Referentiegegevens"/>
                          </w:pPr>
                          <w:r>
                            <w:t>Directie Juridische en Operationele Aangelegenheden</w:t>
                          </w:r>
                        </w:p>
                        <w:p w14:paraId="7EC48DCC" w14:textId="77777777" w:rsidR="00412158" w:rsidRDefault="00D433E2">
                          <w:pPr>
                            <w:pStyle w:val="Referentiegegevens"/>
                          </w:pPr>
                          <w:r>
                            <w:t>BBOP</w:t>
                          </w:r>
                        </w:p>
                        <w:p w14:paraId="5580CE62" w14:textId="77777777" w:rsidR="00412158" w:rsidRDefault="00412158">
                          <w:pPr>
                            <w:pStyle w:val="WitregelW2"/>
                          </w:pPr>
                        </w:p>
                        <w:p w14:paraId="497A686F" w14:textId="77777777" w:rsidR="00412158" w:rsidRDefault="00D433E2">
                          <w:pPr>
                            <w:pStyle w:val="Referentiegegevensbold"/>
                          </w:pPr>
                          <w:r>
                            <w:t>Datum</w:t>
                          </w:r>
                        </w:p>
                        <w:p w14:paraId="78053433" w14:textId="462DB520" w:rsidR="00412158" w:rsidRDefault="00DF05E8">
                          <w:pPr>
                            <w:pStyle w:val="Referentiegegevens"/>
                          </w:pPr>
                          <w:sdt>
                            <w:sdtPr>
                              <w:id w:val="793947241"/>
                              <w:date w:fullDate="2024-12-20T00:00:00Z">
                                <w:dateFormat w:val="d MMMM yyyy"/>
                                <w:lid w:val="nl"/>
                                <w:storeMappedDataAs w:val="dateTime"/>
                                <w:calendar w:val="gregorian"/>
                              </w:date>
                            </w:sdtPr>
                            <w:sdtEndPr/>
                            <w:sdtContent>
                              <w:r w:rsidR="005D21E7">
                                <w:t>20 december 2024</w:t>
                              </w:r>
                            </w:sdtContent>
                          </w:sdt>
                        </w:p>
                        <w:p w14:paraId="7AB08C79" w14:textId="77777777" w:rsidR="00412158" w:rsidRDefault="00412158">
                          <w:pPr>
                            <w:pStyle w:val="WitregelW1"/>
                          </w:pPr>
                        </w:p>
                        <w:p w14:paraId="6209F936" w14:textId="77777777" w:rsidR="00412158" w:rsidRDefault="00D433E2">
                          <w:pPr>
                            <w:pStyle w:val="Referentiegegevensbold"/>
                          </w:pPr>
                          <w:r>
                            <w:t>Onze referentie</w:t>
                          </w:r>
                        </w:p>
                        <w:p w14:paraId="33AA852E" w14:textId="77777777" w:rsidR="00412158" w:rsidRDefault="00D433E2">
                          <w:pPr>
                            <w:pStyle w:val="Referentiegegevens"/>
                          </w:pPr>
                          <w:r>
                            <w:t>5876281</w:t>
                          </w:r>
                        </w:p>
                      </w:txbxContent>
                    </wps:txbx>
                    <wps:bodyPr vert="horz" wrap="square" lIns="0" tIns="0" rIns="0" bIns="0" anchor="t" anchorCtr="0"/>
                  </wps:wsp>
                </a:graphicData>
              </a:graphic>
            </wp:anchor>
          </w:drawing>
        </mc:Choice>
        <mc:Fallback>
          <w:pict>
            <v:shape w14:anchorId="66D6B90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8F686D8" w14:textId="77777777" w:rsidR="00EF2ECA" w:rsidRDefault="00EF2ECA">
                    <w:pPr>
                      <w:pStyle w:val="Referentiegegevensbold"/>
                    </w:pPr>
                  </w:p>
                  <w:p w14:paraId="65E2EFE7" w14:textId="77777777" w:rsidR="00EF2ECA" w:rsidRDefault="00EF2ECA">
                    <w:pPr>
                      <w:pStyle w:val="Referentiegegevensbold"/>
                    </w:pPr>
                  </w:p>
                  <w:p w14:paraId="19953A8C" w14:textId="649FEA0D" w:rsidR="00412158" w:rsidRDefault="00D433E2">
                    <w:pPr>
                      <w:pStyle w:val="Referentiegegevensbold"/>
                    </w:pPr>
                    <w:r>
                      <w:t>Directoraat-Generaal Rechtspleging en Rechtshandhaving</w:t>
                    </w:r>
                  </w:p>
                  <w:p w14:paraId="0CF3C476" w14:textId="77777777" w:rsidR="00412158" w:rsidRDefault="00D433E2">
                    <w:pPr>
                      <w:pStyle w:val="Referentiegegevens"/>
                    </w:pPr>
                    <w:r>
                      <w:t>Directie Juridische en Operationele Aangelegenheden</w:t>
                    </w:r>
                  </w:p>
                  <w:p w14:paraId="7EC48DCC" w14:textId="77777777" w:rsidR="00412158" w:rsidRDefault="00D433E2">
                    <w:pPr>
                      <w:pStyle w:val="Referentiegegevens"/>
                    </w:pPr>
                    <w:r>
                      <w:t>BBOP</w:t>
                    </w:r>
                  </w:p>
                  <w:p w14:paraId="5580CE62" w14:textId="77777777" w:rsidR="00412158" w:rsidRDefault="00412158">
                    <w:pPr>
                      <w:pStyle w:val="WitregelW2"/>
                    </w:pPr>
                  </w:p>
                  <w:p w14:paraId="497A686F" w14:textId="77777777" w:rsidR="00412158" w:rsidRDefault="00D433E2">
                    <w:pPr>
                      <w:pStyle w:val="Referentiegegevensbold"/>
                    </w:pPr>
                    <w:r>
                      <w:t>Datum</w:t>
                    </w:r>
                  </w:p>
                  <w:p w14:paraId="78053433" w14:textId="462DB520" w:rsidR="00412158" w:rsidRDefault="00DF05E8">
                    <w:pPr>
                      <w:pStyle w:val="Referentiegegevens"/>
                    </w:pPr>
                    <w:sdt>
                      <w:sdtPr>
                        <w:id w:val="793947241"/>
                        <w:date w:fullDate="2024-12-20T00:00:00Z">
                          <w:dateFormat w:val="d MMMM yyyy"/>
                          <w:lid w:val="nl"/>
                          <w:storeMappedDataAs w:val="dateTime"/>
                          <w:calendar w:val="gregorian"/>
                        </w:date>
                      </w:sdtPr>
                      <w:sdtEndPr/>
                      <w:sdtContent>
                        <w:r w:rsidR="005D21E7">
                          <w:t>20 december 2024</w:t>
                        </w:r>
                      </w:sdtContent>
                    </w:sdt>
                  </w:p>
                  <w:p w14:paraId="7AB08C79" w14:textId="77777777" w:rsidR="00412158" w:rsidRDefault="00412158">
                    <w:pPr>
                      <w:pStyle w:val="WitregelW1"/>
                    </w:pPr>
                  </w:p>
                  <w:p w14:paraId="6209F936" w14:textId="77777777" w:rsidR="00412158" w:rsidRDefault="00D433E2">
                    <w:pPr>
                      <w:pStyle w:val="Referentiegegevensbold"/>
                    </w:pPr>
                    <w:r>
                      <w:t>Onze referentie</w:t>
                    </w:r>
                  </w:p>
                  <w:p w14:paraId="33AA852E" w14:textId="77777777" w:rsidR="00412158" w:rsidRDefault="00D433E2">
                    <w:pPr>
                      <w:pStyle w:val="Referentiegegevens"/>
                    </w:pPr>
                    <w:r>
                      <w:t>5876281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D2DB3BF" wp14:editId="5D5590C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53F6EA" w14:textId="77777777" w:rsidR="00B205D6" w:rsidRDefault="00B205D6"/>
                      </w:txbxContent>
                    </wps:txbx>
                    <wps:bodyPr vert="horz" wrap="square" lIns="0" tIns="0" rIns="0" bIns="0" anchor="t" anchorCtr="0"/>
                  </wps:wsp>
                </a:graphicData>
              </a:graphic>
            </wp:anchor>
          </w:drawing>
        </mc:Choice>
        <mc:Fallback>
          <w:pict>
            <v:shape w14:anchorId="7D2DB3B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B53F6EA" w14:textId="77777777" w:rsidR="00B205D6" w:rsidRDefault="00B205D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6A04629" wp14:editId="3DB0764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63F481" w14:textId="194B221B" w:rsidR="00412158" w:rsidRDefault="00D433E2">
                          <w:pPr>
                            <w:pStyle w:val="Referentiegegevens"/>
                          </w:pPr>
                          <w:r>
                            <w:t xml:space="preserve">Pagina </w:t>
                          </w:r>
                          <w:r>
                            <w:fldChar w:fldCharType="begin"/>
                          </w:r>
                          <w:r>
                            <w:instrText>PAGE</w:instrText>
                          </w:r>
                          <w:r>
                            <w:fldChar w:fldCharType="separate"/>
                          </w:r>
                          <w:r w:rsidR="00F12533">
                            <w:rPr>
                              <w:noProof/>
                            </w:rPr>
                            <w:t>2</w:t>
                          </w:r>
                          <w:r>
                            <w:fldChar w:fldCharType="end"/>
                          </w:r>
                          <w:r>
                            <w:t xml:space="preserve"> van </w:t>
                          </w:r>
                          <w:r>
                            <w:fldChar w:fldCharType="begin"/>
                          </w:r>
                          <w:r>
                            <w:instrText>NUMPAGES</w:instrText>
                          </w:r>
                          <w:r>
                            <w:fldChar w:fldCharType="separate"/>
                          </w:r>
                          <w:r w:rsidR="00C2488B">
                            <w:rPr>
                              <w:noProof/>
                            </w:rPr>
                            <w:t>1</w:t>
                          </w:r>
                          <w:r>
                            <w:fldChar w:fldCharType="end"/>
                          </w:r>
                        </w:p>
                      </w:txbxContent>
                    </wps:txbx>
                    <wps:bodyPr vert="horz" wrap="square" lIns="0" tIns="0" rIns="0" bIns="0" anchor="t" anchorCtr="0"/>
                  </wps:wsp>
                </a:graphicData>
              </a:graphic>
            </wp:anchor>
          </w:drawing>
        </mc:Choice>
        <mc:Fallback>
          <w:pict>
            <v:shape w14:anchorId="36A0462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C63F481" w14:textId="194B221B" w:rsidR="00412158" w:rsidRDefault="00D433E2">
                    <w:pPr>
                      <w:pStyle w:val="Referentiegegevens"/>
                    </w:pPr>
                    <w:r>
                      <w:t xml:space="preserve">Pagina </w:t>
                    </w:r>
                    <w:r>
                      <w:fldChar w:fldCharType="begin"/>
                    </w:r>
                    <w:r>
                      <w:instrText>PAGE</w:instrText>
                    </w:r>
                    <w:r>
                      <w:fldChar w:fldCharType="separate"/>
                    </w:r>
                    <w:r w:rsidR="00F12533">
                      <w:rPr>
                        <w:noProof/>
                      </w:rPr>
                      <w:t>2</w:t>
                    </w:r>
                    <w:r>
                      <w:fldChar w:fldCharType="end"/>
                    </w:r>
                    <w:r>
                      <w:t xml:space="preserve"> van </w:t>
                    </w:r>
                    <w:r>
                      <w:fldChar w:fldCharType="begin"/>
                    </w:r>
                    <w:r>
                      <w:instrText>NUMPAGES</w:instrText>
                    </w:r>
                    <w:r>
                      <w:fldChar w:fldCharType="separate"/>
                    </w:r>
                    <w:r w:rsidR="00C2488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471D" w14:textId="77777777" w:rsidR="00412158" w:rsidRDefault="00D433E2">
    <w:pPr>
      <w:spacing w:after="6377" w:line="14" w:lineRule="exact"/>
    </w:pPr>
    <w:r>
      <w:rPr>
        <w:noProof/>
      </w:rPr>
      <mc:AlternateContent>
        <mc:Choice Requires="wps">
          <w:drawing>
            <wp:anchor distT="0" distB="0" distL="0" distR="0" simplePos="0" relativeHeight="251656192" behindDoc="0" locked="1" layoutInCell="1" allowOverlap="1" wp14:anchorId="35B5498C" wp14:editId="06D3409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BAD900" w14:textId="77777777" w:rsidR="00412158" w:rsidRDefault="00D433E2">
                          <w:pPr>
                            <w:spacing w:line="240" w:lineRule="auto"/>
                          </w:pPr>
                          <w:r>
                            <w:rPr>
                              <w:noProof/>
                            </w:rPr>
                            <w:drawing>
                              <wp:inline distT="0" distB="0" distL="0" distR="0" wp14:anchorId="02A4C8B0" wp14:editId="06B3CC4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B5498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0BAD900" w14:textId="77777777" w:rsidR="00412158" w:rsidRDefault="00D433E2">
                    <w:pPr>
                      <w:spacing w:line="240" w:lineRule="auto"/>
                    </w:pPr>
                    <w:r>
                      <w:rPr>
                        <w:noProof/>
                      </w:rPr>
                      <w:drawing>
                        <wp:inline distT="0" distB="0" distL="0" distR="0" wp14:anchorId="02A4C8B0" wp14:editId="06B3CC4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620505" wp14:editId="5867900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1CF51F" w14:textId="77777777" w:rsidR="00412158" w:rsidRDefault="00D433E2">
                          <w:pPr>
                            <w:spacing w:line="240" w:lineRule="auto"/>
                          </w:pPr>
                          <w:r>
                            <w:rPr>
                              <w:noProof/>
                            </w:rPr>
                            <w:drawing>
                              <wp:inline distT="0" distB="0" distL="0" distR="0" wp14:anchorId="3AB06616" wp14:editId="1C491D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62050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11CF51F" w14:textId="77777777" w:rsidR="00412158" w:rsidRDefault="00D433E2">
                    <w:pPr>
                      <w:spacing w:line="240" w:lineRule="auto"/>
                    </w:pPr>
                    <w:r>
                      <w:rPr>
                        <w:noProof/>
                      </w:rPr>
                      <w:drawing>
                        <wp:inline distT="0" distB="0" distL="0" distR="0" wp14:anchorId="3AB06616" wp14:editId="1C491D7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0DE052" wp14:editId="676379F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7CEC59" w14:textId="77777777" w:rsidR="00412158" w:rsidRDefault="00D433E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0DE05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D7CEC59" w14:textId="77777777" w:rsidR="00412158" w:rsidRDefault="00D433E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4AB9D7" wp14:editId="43C8676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BB62B3" w14:textId="1AFDF80A" w:rsidR="00412158" w:rsidRDefault="00C2488B">
                          <w:r>
                            <w:t>Aan de Voorzitter van de Tweede Kamer</w:t>
                          </w:r>
                        </w:p>
                        <w:p w14:paraId="4DC63B07" w14:textId="67110015" w:rsidR="00412158" w:rsidRDefault="00C2488B">
                          <w:r>
                            <w:t>der Staten-Generaal</w:t>
                          </w:r>
                        </w:p>
                        <w:p w14:paraId="48D358C1" w14:textId="77777777" w:rsidR="00412158" w:rsidRDefault="00D433E2">
                          <w:r>
                            <w:t xml:space="preserve">Postbus 20018 </w:t>
                          </w:r>
                        </w:p>
                        <w:p w14:paraId="6F00BC74" w14:textId="77777777" w:rsidR="00412158" w:rsidRDefault="00D433E2">
                          <w:r>
                            <w:t>2500 EA  DEN HAAG</w:t>
                          </w:r>
                        </w:p>
                        <w:p w14:paraId="0A4A8DE7" w14:textId="3EDF1037" w:rsidR="00412158" w:rsidRDefault="00412158"/>
                      </w:txbxContent>
                    </wps:txbx>
                    <wps:bodyPr vert="horz" wrap="square" lIns="0" tIns="0" rIns="0" bIns="0" anchor="t" anchorCtr="0"/>
                  </wps:wsp>
                </a:graphicData>
              </a:graphic>
            </wp:anchor>
          </w:drawing>
        </mc:Choice>
        <mc:Fallback>
          <w:pict>
            <v:shape w14:anchorId="6E4AB9D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6BB62B3" w14:textId="1AFDF80A" w:rsidR="00412158" w:rsidRDefault="00C2488B">
                    <w:r>
                      <w:t>Aan de Voorzitter van de Tweede Kamer</w:t>
                    </w:r>
                  </w:p>
                  <w:p w14:paraId="4DC63B07" w14:textId="67110015" w:rsidR="00412158" w:rsidRDefault="00C2488B">
                    <w:r>
                      <w:t>der Staten-Generaal</w:t>
                    </w:r>
                  </w:p>
                  <w:p w14:paraId="48D358C1" w14:textId="77777777" w:rsidR="00412158" w:rsidRDefault="00D433E2">
                    <w:r>
                      <w:t xml:space="preserve">Postbus 20018 </w:t>
                    </w:r>
                  </w:p>
                  <w:p w14:paraId="6F00BC74" w14:textId="77777777" w:rsidR="00412158" w:rsidRDefault="00D433E2">
                    <w:r>
                      <w:t>2500 EA  DEN HAAG</w:t>
                    </w:r>
                  </w:p>
                  <w:p w14:paraId="0A4A8DE7" w14:textId="3EDF1037" w:rsidR="00412158" w:rsidRDefault="0041215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332B96" wp14:editId="181C058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12158" w14:paraId="1AFE662D" w14:textId="77777777">
                            <w:trPr>
                              <w:trHeight w:val="240"/>
                            </w:trPr>
                            <w:tc>
                              <w:tcPr>
                                <w:tcW w:w="1140" w:type="dxa"/>
                              </w:tcPr>
                              <w:p w14:paraId="53C30D0D" w14:textId="77777777" w:rsidR="00412158" w:rsidRDefault="00D433E2">
                                <w:r>
                                  <w:t>Datum</w:t>
                                </w:r>
                              </w:p>
                            </w:tc>
                            <w:tc>
                              <w:tcPr>
                                <w:tcW w:w="5918" w:type="dxa"/>
                              </w:tcPr>
                              <w:p w14:paraId="7CD88F4D" w14:textId="1565994E" w:rsidR="00412158" w:rsidRDefault="00DF05E8">
                                <w:sdt>
                                  <w:sdtPr>
                                    <w:id w:val="1619638318"/>
                                    <w:date w:fullDate="2024-12-20T00:00:00Z">
                                      <w:dateFormat w:val="d MMMM yyyy"/>
                                      <w:lid w:val="nl"/>
                                      <w:storeMappedDataAs w:val="dateTime"/>
                                      <w:calendar w:val="gregorian"/>
                                    </w:date>
                                  </w:sdtPr>
                                  <w:sdtEndPr/>
                                  <w:sdtContent>
                                    <w:r w:rsidR="00833A47">
                                      <w:rPr>
                                        <w:lang w:val="nl"/>
                                      </w:rPr>
                                      <w:t>20 december 2024</w:t>
                                    </w:r>
                                  </w:sdtContent>
                                </w:sdt>
                              </w:p>
                            </w:tc>
                          </w:tr>
                          <w:tr w:rsidR="00412158" w14:paraId="0283A73C" w14:textId="77777777">
                            <w:trPr>
                              <w:trHeight w:val="240"/>
                            </w:trPr>
                            <w:tc>
                              <w:tcPr>
                                <w:tcW w:w="1140" w:type="dxa"/>
                              </w:tcPr>
                              <w:p w14:paraId="2CA280B9" w14:textId="77777777" w:rsidR="00412158" w:rsidRDefault="00D433E2">
                                <w:r>
                                  <w:t>Betreft</w:t>
                                </w:r>
                              </w:p>
                            </w:tc>
                            <w:tc>
                              <w:tcPr>
                                <w:tcW w:w="5918" w:type="dxa"/>
                              </w:tcPr>
                              <w:p w14:paraId="2BAFE09E" w14:textId="021E2621" w:rsidR="00F12533" w:rsidRPr="00EF2ECA" w:rsidRDefault="00F12533" w:rsidP="00F12533">
                                <w:pPr>
                                  <w:spacing w:line="240" w:lineRule="auto"/>
                                  <w:rPr>
                                    <w:color w:val="auto"/>
                                  </w:rPr>
                                </w:pPr>
                                <w:r w:rsidRPr="00EF2ECA">
                                  <w:t>Antwoorden Kamervragen inzake gerechtelijke dwalingen</w:t>
                                </w:r>
                              </w:p>
                              <w:p w14:paraId="713111C5" w14:textId="0006500B" w:rsidR="00412158" w:rsidRDefault="00412158"/>
                            </w:tc>
                          </w:tr>
                        </w:tbl>
                        <w:p w14:paraId="0FB3553C" w14:textId="77777777" w:rsidR="00B205D6" w:rsidRDefault="00B205D6"/>
                      </w:txbxContent>
                    </wps:txbx>
                    <wps:bodyPr vert="horz" wrap="square" lIns="0" tIns="0" rIns="0" bIns="0" anchor="t" anchorCtr="0"/>
                  </wps:wsp>
                </a:graphicData>
              </a:graphic>
            </wp:anchor>
          </w:drawing>
        </mc:Choice>
        <mc:Fallback>
          <w:pict>
            <v:shape w14:anchorId="7A332B9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12158" w14:paraId="1AFE662D" w14:textId="77777777">
                      <w:trPr>
                        <w:trHeight w:val="240"/>
                      </w:trPr>
                      <w:tc>
                        <w:tcPr>
                          <w:tcW w:w="1140" w:type="dxa"/>
                        </w:tcPr>
                        <w:p w14:paraId="53C30D0D" w14:textId="77777777" w:rsidR="00412158" w:rsidRDefault="00D433E2">
                          <w:r>
                            <w:t>Datum</w:t>
                          </w:r>
                        </w:p>
                      </w:tc>
                      <w:tc>
                        <w:tcPr>
                          <w:tcW w:w="5918" w:type="dxa"/>
                        </w:tcPr>
                        <w:p w14:paraId="7CD88F4D" w14:textId="1565994E" w:rsidR="00412158" w:rsidRDefault="00DF05E8">
                          <w:sdt>
                            <w:sdtPr>
                              <w:id w:val="1619638318"/>
                              <w:date w:fullDate="2024-12-20T00:00:00Z">
                                <w:dateFormat w:val="d MMMM yyyy"/>
                                <w:lid w:val="nl"/>
                                <w:storeMappedDataAs w:val="dateTime"/>
                                <w:calendar w:val="gregorian"/>
                              </w:date>
                            </w:sdtPr>
                            <w:sdtEndPr/>
                            <w:sdtContent>
                              <w:r w:rsidR="00833A47">
                                <w:rPr>
                                  <w:lang w:val="nl"/>
                                </w:rPr>
                                <w:t>20 december 2024</w:t>
                              </w:r>
                            </w:sdtContent>
                          </w:sdt>
                        </w:p>
                      </w:tc>
                    </w:tr>
                    <w:tr w:rsidR="00412158" w14:paraId="0283A73C" w14:textId="77777777">
                      <w:trPr>
                        <w:trHeight w:val="240"/>
                      </w:trPr>
                      <w:tc>
                        <w:tcPr>
                          <w:tcW w:w="1140" w:type="dxa"/>
                        </w:tcPr>
                        <w:p w14:paraId="2CA280B9" w14:textId="77777777" w:rsidR="00412158" w:rsidRDefault="00D433E2">
                          <w:r>
                            <w:t>Betreft</w:t>
                          </w:r>
                        </w:p>
                      </w:tc>
                      <w:tc>
                        <w:tcPr>
                          <w:tcW w:w="5918" w:type="dxa"/>
                        </w:tcPr>
                        <w:p w14:paraId="2BAFE09E" w14:textId="021E2621" w:rsidR="00F12533" w:rsidRPr="00EF2ECA" w:rsidRDefault="00F12533" w:rsidP="00F12533">
                          <w:pPr>
                            <w:spacing w:line="240" w:lineRule="auto"/>
                            <w:rPr>
                              <w:color w:val="auto"/>
                            </w:rPr>
                          </w:pPr>
                          <w:r w:rsidRPr="00EF2ECA">
                            <w:t>Antwoorden Kamervragen inzake gerechtelijke dwalingen</w:t>
                          </w:r>
                        </w:p>
                        <w:p w14:paraId="713111C5" w14:textId="0006500B" w:rsidR="00412158" w:rsidRDefault="00412158"/>
                      </w:tc>
                    </w:tr>
                  </w:tbl>
                  <w:p w14:paraId="0FB3553C" w14:textId="77777777" w:rsidR="00B205D6" w:rsidRDefault="00B205D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0D5647" wp14:editId="48B39EC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26E31D" w14:textId="77777777" w:rsidR="00412158" w:rsidRDefault="00D433E2">
                          <w:pPr>
                            <w:pStyle w:val="Referentiegegevensbold"/>
                          </w:pPr>
                          <w:r>
                            <w:t>Directoraat-Generaal Rechtspleging en Rechtshandhaving</w:t>
                          </w:r>
                        </w:p>
                        <w:p w14:paraId="57443AA2" w14:textId="77777777" w:rsidR="00412158" w:rsidRDefault="00412158">
                          <w:pPr>
                            <w:pStyle w:val="WitregelW1"/>
                          </w:pPr>
                        </w:p>
                        <w:p w14:paraId="6F8A433F" w14:textId="77777777" w:rsidR="00412158" w:rsidRDefault="00D433E2">
                          <w:pPr>
                            <w:pStyle w:val="Referentiegegevens"/>
                          </w:pPr>
                          <w:r>
                            <w:t>Turfmarkt 147</w:t>
                          </w:r>
                        </w:p>
                        <w:p w14:paraId="2642C565" w14:textId="77777777" w:rsidR="00412158" w:rsidRPr="00B32D15" w:rsidRDefault="00D433E2">
                          <w:pPr>
                            <w:pStyle w:val="Referentiegegevens"/>
                            <w:rPr>
                              <w:lang w:val="de-DE"/>
                            </w:rPr>
                          </w:pPr>
                          <w:r w:rsidRPr="00B32D15">
                            <w:rPr>
                              <w:lang w:val="de-DE"/>
                            </w:rPr>
                            <w:t>2511 DP   Den Haag</w:t>
                          </w:r>
                        </w:p>
                        <w:p w14:paraId="6A9B70C1" w14:textId="77777777" w:rsidR="00412158" w:rsidRPr="00B32D15" w:rsidRDefault="00D433E2">
                          <w:pPr>
                            <w:pStyle w:val="Referentiegegevens"/>
                            <w:rPr>
                              <w:lang w:val="de-DE"/>
                            </w:rPr>
                          </w:pPr>
                          <w:r w:rsidRPr="00B32D15">
                            <w:rPr>
                              <w:lang w:val="de-DE"/>
                            </w:rPr>
                            <w:t>Postbus 20301</w:t>
                          </w:r>
                        </w:p>
                        <w:p w14:paraId="68419DBD" w14:textId="77777777" w:rsidR="00412158" w:rsidRPr="00B32D15" w:rsidRDefault="00D433E2">
                          <w:pPr>
                            <w:pStyle w:val="Referentiegegevens"/>
                            <w:rPr>
                              <w:lang w:val="de-DE"/>
                            </w:rPr>
                          </w:pPr>
                          <w:r w:rsidRPr="00B32D15">
                            <w:rPr>
                              <w:lang w:val="de-DE"/>
                            </w:rPr>
                            <w:t>2500 EH   Den Haag</w:t>
                          </w:r>
                        </w:p>
                        <w:p w14:paraId="384D3EA4" w14:textId="77777777" w:rsidR="00412158" w:rsidRPr="00B32D15" w:rsidRDefault="00D433E2">
                          <w:pPr>
                            <w:pStyle w:val="Referentiegegevens"/>
                            <w:rPr>
                              <w:lang w:val="de-DE"/>
                            </w:rPr>
                          </w:pPr>
                          <w:r w:rsidRPr="00B32D15">
                            <w:rPr>
                              <w:lang w:val="de-DE"/>
                            </w:rPr>
                            <w:t>www.rijksoverheid.nl/jenv</w:t>
                          </w:r>
                        </w:p>
                        <w:p w14:paraId="26071B83" w14:textId="77777777" w:rsidR="00412158" w:rsidRPr="00B32D15" w:rsidRDefault="00412158">
                          <w:pPr>
                            <w:pStyle w:val="WitregelW2"/>
                            <w:rPr>
                              <w:lang w:val="de-DE"/>
                            </w:rPr>
                          </w:pPr>
                        </w:p>
                        <w:p w14:paraId="79B72C74" w14:textId="77777777" w:rsidR="00412158" w:rsidRDefault="00D433E2">
                          <w:pPr>
                            <w:pStyle w:val="Referentiegegevensbold"/>
                          </w:pPr>
                          <w:r>
                            <w:t>Onze referentie</w:t>
                          </w:r>
                        </w:p>
                        <w:p w14:paraId="0331635E" w14:textId="77777777" w:rsidR="00412158" w:rsidRDefault="00D433E2">
                          <w:pPr>
                            <w:pStyle w:val="Referentiegegevens"/>
                          </w:pPr>
                          <w:r>
                            <w:t>5876281</w:t>
                          </w:r>
                        </w:p>
                        <w:p w14:paraId="18BDBF21" w14:textId="77777777" w:rsidR="00412158" w:rsidRDefault="00412158">
                          <w:pPr>
                            <w:pStyle w:val="WitregelW1"/>
                          </w:pPr>
                        </w:p>
                        <w:p w14:paraId="425A0E63" w14:textId="77777777" w:rsidR="00412158" w:rsidRDefault="00D433E2">
                          <w:pPr>
                            <w:pStyle w:val="Referentiegegevensbold"/>
                          </w:pPr>
                          <w:r>
                            <w:t>Uw referentie</w:t>
                          </w:r>
                        </w:p>
                        <w:p w14:paraId="13E6BBB1" w14:textId="54460037" w:rsidR="00412158" w:rsidRDefault="00DF05E8">
                          <w:pPr>
                            <w:pStyle w:val="Referentiegegevens"/>
                          </w:pPr>
                          <w:sdt>
                            <w:sdtPr>
                              <w:id w:val="514577940"/>
                              <w:dataBinding w:prefixMappings="xmlns:ns0='docgen-assistant'" w:xpath="/ns0:CustomXml[1]/ns0:Variables[1]/ns0:Variable[1]/ns0:Value[1]" w:storeItemID="{00000000-0000-0000-0000-000000000000}"/>
                              <w:text/>
                            </w:sdtPr>
                            <w:sdtEndPr/>
                            <w:sdtContent>
                              <w:r w:rsidR="00F12533">
                                <w:t>2024Z17131</w:t>
                              </w:r>
                            </w:sdtContent>
                          </w:sdt>
                        </w:p>
                      </w:txbxContent>
                    </wps:txbx>
                    <wps:bodyPr vert="horz" wrap="square" lIns="0" tIns="0" rIns="0" bIns="0" anchor="t" anchorCtr="0"/>
                  </wps:wsp>
                </a:graphicData>
              </a:graphic>
            </wp:anchor>
          </w:drawing>
        </mc:Choice>
        <mc:Fallback>
          <w:pict>
            <v:shape w14:anchorId="060D564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D26E31D" w14:textId="77777777" w:rsidR="00412158" w:rsidRDefault="00D433E2">
                    <w:pPr>
                      <w:pStyle w:val="Referentiegegevensbold"/>
                    </w:pPr>
                    <w:r>
                      <w:t>Directoraat-Generaal Rechtspleging en Rechtshandhaving</w:t>
                    </w:r>
                  </w:p>
                  <w:p w14:paraId="57443AA2" w14:textId="77777777" w:rsidR="00412158" w:rsidRDefault="00412158">
                    <w:pPr>
                      <w:pStyle w:val="WitregelW1"/>
                    </w:pPr>
                  </w:p>
                  <w:p w14:paraId="6F8A433F" w14:textId="77777777" w:rsidR="00412158" w:rsidRDefault="00D433E2">
                    <w:pPr>
                      <w:pStyle w:val="Referentiegegevens"/>
                    </w:pPr>
                    <w:r>
                      <w:t>Turfmarkt 147</w:t>
                    </w:r>
                  </w:p>
                  <w:p w14:paraId="2642C565" w14:textId="77777777" w:rsidR="00412158" w:rsidRPr="00B32D15" w:rsidRDefault="00D433E2">
                    <w:pPr>
                      <w:pStyle w:val="Referentiegegevens"/>
                      <w:rPr>
                        <w:lang w:val="de-DE"/>
                      </w:rPr>
                    </w:pPr>
                    <w:r w:rsidRPr="00B32D15">
                      <w:rPr>
                        <w:lang w:val="de-DE"/>
                      </w:rPr>
                      <w:t>2511 DP   Den Haag</w:t>
                    </w:r>
                  </w:p>
                  <w:p w14:paraId="6A9B70C1" w14:textId="77777777" w:rsidR="00412158" w:rsidRPr="00B32D15" w:rsidRDefault="00D433E2">
                    <w:pPr>
                      <w:pStyle w:val="Referentiegegevens"/>
                      <w:rPr>
                        <w:lang w:val="de-DE"/>
                      </w:rPr>
                    </w:pPr>
                    <w:r w:rsidRPr="00B32D15">
                      <w:rPr>
                        <w:lang w:val="de-DE"/>
                      </w:rPr>
                      <w:t>Postbus 20301</w:t>
                    </w:r>
                  </w:p>
                  <w:p w14:paraId="68419DBD" w14:textId="77777777" w:rsidR="00412158" w:rsidRPr="00B32D15" w:rsidRDefault="00D433E2">
                    <w:pPr>
                      <w:pStyle w:val="Referentiegegevens"/>
                      <w:rPr>
                        <w:lang w:val="de-DE"/>
                      </w:rPr>
                    </w:pPr>
                    <w:r w:rsidRPr="00B32D15">
                      <w:rPr>
                        <w:lang w:val="de-DE"/>
                      </w:rPr>
                      <w:t>2500 EH   Den Haag</w:t>
                    </w:r>
                  </w:p>
                  <w:p w14:paraId="384D3EA4" w14:textId="77777777" w:rsidR="00412158" w:rsidRPr="00B32D15" w:rsidRDefault="00D433E2">
                    <w:pPr>
                      <w:pStyle w:val="Referentiegegevens"/>
                      <w:rPr>
                        <w:lang w:val="de-DE"/>
                      </w:rPr>
                    </w:pPr>
                    <w:r w:rsidRPr="00B32D15">
                      <w:rPr>
                        <w:lang w:val="de-DE"/>
                      </w:rPr>
                      <w:t>www.rijksoverheid.nl/jenv</w:t>
                    </w:r>
                  </w:p>
                  <w:p w14:paraId="26071B83" w14:textId="77777777" w:rsidR="00412158" w:rsidRPr="00B32D15" w:rsidRDefault="00412158">
                    <w:pPr>
                      <w:pStyle w:val="WitregelW2"/>
                      <w:rPr>
                        <w:lang w:val="de-DE"/>
                      </w:rPr>
                    </w:pPr>
                  </w:p>
                  <w:p w14:paraId="79B72C74" w14:textId="77777777" w:rsidR="00412158" w:rsidRDefault="00D433E2">
                    <w:pPr>
                      <w:pStyle w:val="Referentiegegevensbold"/>
                    </w:pPr>
                    <w:r>
                      <w:t>Onze referentie</w:t>
                    </w:r>
                  </w:p>
                  <w:p w14:paraId="0331635E" w14:textId="77777777" w:rsidR="00412158" w:rsidRDefault="00D433E2">
                    <w:pPr>
                      <w:pStyle w:val="Referentiegegevens"/>
                    </w:pPr>
                    <w:r>
                      <w:t>5876281</w:t>
                    </w:r>
                  </w:p>
                  <w:p w14:paraId="18BDBF21" w14:textId="77777777" w:rsidR="00412158" w:rsidRDefault="00412158">
                    <w:pPr>
                      <w:pStyle w:val="WitregelW1"/>
                    </w:pPr>
                  </w:p>
                  <w:p w14:paraId="425A0E63" w14:textId="77777777" w:rsidR="00412158" w:rsidRDefault="00D433E2">
                    <w:pPr>
                      <w:pStyle w:val="Referentiegegevensbold"/>
                    </w:pPr>
                    <w:r>
                      <w:t>Uw referentie</w:t>
                    </w:r>
                  </w:p>
                  <w:p w14:paraId="13E6BBB1" w14:textId="54460037" w:rsidR="00412158" w:rsidRDefault="00DF05E8">
                    <w:pPr>
                      <w:pStyle w:val="Referentiegegevens"/>
                    </w:pPr>
                    <w:sdt>
                      <w:sdtPr>
                        <w:id w:val="514577940"/>
                        <w:dataBinding w:prefixMappings="xmlns:ns0='docgen-assistant'" w:xpath="/ns0:CustomXml[1]/ns0:Variables[1]/ns0:Variable[1]/ns0:Value[1]" w:storeItemID="{00000000-0000-0000-0000-000000000000}"/>
                        <w:text/>
                      </w:sdtPr>
                      <w:sdtEndPr/>
                      <w:sdtContent>
                        <w:r w:rsidR="00F12533">
                          <w:t>2024Z17131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DF5951" wp14:editId="6C72392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9F1A60" w14:textId="73B5029D" w:rsidR="00412158" w:rsidRDefault="00D433E2">
                          <w:pPr>
                            <w:pStyle w:val="Referentiegegevens"/>
                          </w:pPr>
                          <w:r>
                            <w:t xml:space="preserve">Pagina </w:t>
                          </w:r>
                          <w:r>
                            <w:fldChar w:fldCharType="begin"/>
                          </w:r>
                          <w:r>
                            <w:instrText>PAGE</w:instrText>
                          </w:r>
                          <w:r>
                            <w:fldChar w:fldCharType="separate"/>
                          </w:r>
                          <w:r w:rsidR="00DF05E8">
                            <w:rPr>
                              <w:noProof/>
                            </w:rPr>
                            <w:t>1</w:t>
                          </w:r>
                          <w:r>
                            <w:fldChar w:fldCharType="end"/>
                          </w:r>
                          <w:r>
                            <w:t xml:space="preserve"> van </w:t>
                          </w:r>
                          <w:r>
                            <w:fldChar w:fldCharType="begin"/>
                          </w:r>
                          <w:r>
                            <w:instrText>NUMPAGES</w:instrText>
                          </w:r>
                          <w:r>
                            <w:fldChar w:fldCharType="separate"/>
                          </w:r>
                          <w:r w:rsidR="00DF05E8">
                            <w:rPr>
                              <w:noProof/>
                            </w:rPr>
                            <w:t>1</w:t>
                          </w:r>
                          <w:r>
                            <w:fldChar w:fldCharType="end"/>
                          </w:r>
                        </w:p>
                      </w:txbxContent>
                    </wps:txbx>
                    <wps:bodyPr vert="horz" wrap="square" lIns="0" tIns="0" rIns="0" bIns="0" anchor="t" anchorCtr="0"/>
                  </wps:wsp>
                </a:graphicData>
              </a:graphic>
            </wp:anchor>
          </w:drawing>
        </mc:Choice>
        <mc:Fallback>
          <w:pict>
            <v:shape w14:anchorId="2DDF595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99F1A60" w14:textId="73B5029D" w:rsidR="00412158" w:rsidRDefault="00D433E2">
                    <w:pPr>
                      <w:pStyle w:val="Referentiegegevens"/>
                    </w:pPr>
                    <w:r>
                      <w:t xml:space="preserve">Pagina </w:t>
                    </w:r>
                    <w:r>
                      <w:fldChar w:fldCharType="begin"/>
                    </w:r>
                    <w:r>
                      <w:instrText>PAGE</w:instrText>
                    </w:r>
                    <w:r>
                      <w:fldChar w:fldCharType="separate"/>
                    </w:r>
                    <w:r w:rsidR="00DF05E8">
                      <w:rPr>
                        <w:noProof/>
                      </w:rPr>
                      <w:t>1</w:t>
                    </w:r>
                    <w:r>
                      <w:fldChar w:fldCharType="end"/>
                    </w:r>
                    <w:r>
                      <w:t xml:space="preserve"> van </w:t>
                    </w:r>
                    <w:r>
                      <w:fldChar w:fldCharType="begin"/>
                    </w:r>
                    <w:r>
                      <w:instrText>NUMPAGES</w:instrText>
                    </w:r>
                    <w:r>
                      <w:fldChar w:fldCharType="separate"/>
                    </w:r>
                    <w:r w:rsidR="00DF05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07D7B2" wp14:editId="48EAC6F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401B11" w14:textId="77777777" w:rsidR="00B205D6" w:rsidRDefault="00B205D6"/>
                      </w:txbxContent>
                    </wps:txbx>
                    <wps:bodyPr vert="horz" wrap="square" lIns="0" tIns="0" rIns="0" bIns="0" anchor="t" anchorCtr="0"/>
                  </wps:wsp>
                </a:graphicData>
              </a:graphic>
            </wp:anchor>
          </w:drawing>
        </mc:Choice>
        <mc:Fallback>
          <w:pict>
            <v:shape w14:anchorId="7507D7B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B401B11" w14:textId="77777777" w:rsidR="00B205D6" w:rsidRDefault="00B205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A2D647"/>
    <w:multiLevelType w:val="multilevel"/>
    <w:tmpl w:val="06F0AA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7B2B6D1"/>
    <w:multiLevelType w:val="multilevel"/>
    <w:tmpl w:val="BE0B6F6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96379C"/>
    <w:multiLevelType w:val="multilevel"/>
    <w:tmpl w:val="B0A939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2851A0F"/>
    <w:multiLevelType w:val="multilevel"/>
    <w:tmpl w:val="D5FAF46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B5982B4"/>
    <w:multiLevelType w:val="multilevel"/>
    <w:tmpl w:val="7D3490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7683423"/>
    <w:multiLevelType w:val="multilevel"/>
    <w:tmpl w:val="5FAE74D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8B63AB3"/>
    <w:multiLevelType w:val="hybridMultilevel"/>
    <w:tmpl w:val="3F146AF8"/>
    <w:lvl w:ilvl="0" w:tplc="18EC8040">
      <w:start w:val="1"/>
      <w:numFmt w:val="decimal"/>
      <w:lvlText w:val="%1."/>
      <w:lvlJc w:val="left"/>
      <w:pPr>
        <w:ind w:left="720" w:hanging="360"/>
      </w:pPr>
    </w:lvl>
    <w:lvl w:ilvl="1" w:tplc="83F0F8A0">
      <w:start w:val="1"/>
      <w:numFmt w:val="lowerLetter"/>
      <w:lvlText w:val="%2."/>
      <w:lvlJc w:val="left"/>
      <w:pPr>
        <w:ind w:left="1440" w:hanging="360"/>
      </w:pPr>
    </w:lvl>
    <w:lvl w:ilvl="2" w:tplc="BDB0A110">
      <w:start w:val="1"/>
      <w:numFmt w:val="lowerRoman"/>
      <w:lvlText w:val="%3."/>
      <w:lvlJc w:val="right"/>
      <w:pPr>
        <w:ind w:left="2160" w:hanging="180"/>
      </w:pPr>
    </w:lvl>
    <w:lvl w:ilvl="3" w:tplc="87A0661E">
      <w:start w:val="1"/>
      <w:numFmt w:val="decimal"/>
      <w:lvlText w:val="%4."/>
      <w:lvlJc w:val="left"/>
      <w:pPr>
        <w:ind w:left="2880" w:hanging="360"/>
      </w:pPr>
    </w:lvl>
    <w:lvl w:ilvl="4" w:tplc="F82EC892">
      <w:start w:val="1"/>
      <w:numFmt w:val="lowerLetter"/>
      <w:lvlText w:val="%5."/>
      <w:lvlJc w:val="left"/>
      <w:pPr>
        <w:ind w:left="3600" w:hanging="360"/>
      </w:pPr>
    </w:lvl>
    <w:lvl w:ilvl="5" w:tplc="207A5D46">
      <w:start w:val="1"/>
      <w:numFmt w:val="lowerRoman"/>
      <w:lvlText w:val="%6."/>
      <w:lvlJc w:val="right"/>
      <w:pPr>
        <w:ind w:left="4320" w:hanging="180"/>
      </w:pPr>
    </w:lvl>
    <w:lvl w:ilvl="6" w:tplc="A4ACECD4">
      <w:start w:val="1"/>
      <w:numFmt w:val="decimal"/>
      <w:lvlText w:val="%7."/>
      <w:lvlJc w:val="left"/>
      <w:pPr>
        <w:ind w:left="5040" w:hanging="360"/>
      </w:pPr>
    </w:lvl>
    <w:lvl w:ilvl="7" w:tplc="33B05EEC">
      <w:start w:val="1"/>
      <w:numFmt w:val="lowerLetter"/>
      <w:lvlText w:val="%8."/>
      <w:lvlJc w:val="left"/>
      <w:pPr>
        <w:ind w:left="5760" w:hanging="360"/>
      </w:pPr>
    </w:lvl>
    <w:lvl w:ilvl="8" w:tplc="10F6237A">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8B"/>
    <w:rsid w:val="00001DD2"/>
    <w:rsid w:val="0000675D"/>
    <w:rsid w:val="00021752"/>
    <w:rsid w:val="000462CB"/>
    <w:rsid w:val="002D272D"/>
    <w:rsid w:val="003214F4"/>
    <w:rsid w:val="00382C31"/>
    <w:rsid w:val="003A79C8"/>
    <w:rsid w:val="003D2098"/>
    <w:rsid w:val="00412158"/>
    <w:rsid w:val="00512C11"/>
    <w:rsid w:val="00523A52"/>
    <w:rsid w:val="005C17DC"/>
    <w:rsid w:val="005D21E7"/>
    <w:rsid w:val="00653053"/>
    <w:rsid w:val="006A0B05"/>
    <w:rsid w:val="00706D3D"/>
    <w:rsid w:val="00761580"/>
    <w:rsid w:val="00772DD5"/>
    <w:rsid w:val="007C4157"/>
    <w:rsid w:val="00802023"/>
    <w:rsid w:val="008247E2"/>
    <w:rsid w:val="00833A47"/>
    <w:rsid w:val="008341DB"/>
    <w:rsid w:val="0084099C"/>
    <w:rsid w:val="0087652F"/>
    <w:rsid w:val="008A5857"/>
    <w:rsid w:val="009150AD"/>
    <w:rsid w:val="00A452F3"/>
    <w:rsid w:val="00AA56B0"/>
    <w:rsid w:val="00B205D6"/>
    <w:rsid w:val="00B32D15"/>
    <w:rsid w:val="00B43794"/>
    <w:rsid w:val="00C22988"/>
    <w:rsid w:val="00C2488B"/>
    <w:rsid w:val="00CF3E01"/>
    <w:rsid w:val="00D433E2"/>
    <w:rsid w:val="00D54C4C"/>
    <w:rsid w:val="00DA136F"/>
    <w:rsid w:val="00DF05E8"/>
    <w:rsid w:val="00E0025E"/>
    <w:rsid w:val="00EF2ECA"/>
    <w:rsid w:val="00F12533"/>
    <w:rsid w:val="00F566D7"/>
    <w:rsid w:val="00FD3C70"/>
    <w:rsid w:val="00FF072B"/>
    <w:rsid w:val="00FF7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248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488B"/>
    <w:rPr>
      <w:rFonts w:ascii="Verdana" w:hAnsi="Verdana"/>
      <w:color w:val="000000"/>
      <w:sz w:val="18"/>
      <w:szCs w:val="18"/>
    </w:rPr>
  </w:style>
  <w:style w:type="paragraph" w:styleId="Voetnoottekst">
    <w:name w:val="footnote text"/>
    <w:basedOn w:val="Standaard"/>
    <w:link w:val="VoetnoottekstChar"/>
    <w:uiPriority w:val="99"/>
    <w:semiHidden/>
    <w:unhideWhenUsed/>
    <w:rsid w:val="00382C3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82C31"/>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82C31"/>
    <w:rPr>
      <w:vertAlign w:val="superscript"/>
    </w:rPr>
  </w:style>
  <w:style w:type="character" w:styleId="Verwijzingopmerking">
    <w:name w:val="annotation reference"/>
    <w:basedOn w:val="Standaardalinea-lettertype"/>
    <w:uiPriority w:val="99"/>
    <w:semiHidden/>
    <w:unhideWhenUsed/>
    <w:rsid w:val="003A79C8"/>
    <w:rPr>
      <w:sz w:val="16"/>
      <w:szCs w:val="16"/>
    </w:rPr>
  </w:style>
  <w:style w:type="paragraph" w:styleId="Tekstopmerking">
    <w:name w:val="annotation text"/>
    <w:basedOn w:val="Standaard"/>
    <w:link w:val="TekstopmerkingChar"/>
    <w:uiPriority w:val="99"/>
    <w:unhideWhenUsed/>
    <w:rsid w:val="003A79C8"/>
    <w:pPr>
      <w:spacing w:line="240" w:lineRule="auto"/>
    </w:pPr>
    <w:rPr>
      <w:sz w:val="20"/>
      <w:szCs w:val="20"/>
    </w:rPr>
  </w:style>
  <w:style w:type="character" w:customStyle="1" w:styleId="TekstopmerkingChar">
    <w:name w:val="Tekst opmerking Char"/>
    <w:basedOn w:val="Standaardalinea-lettertype"/>
    <w:link w:val="Tekstopmerking"/>
    <w:uiPriority w:val="99"/>
    <w:rsid w:val="003A79C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A79C8"/>
    <w:rPr>
      <w:b/>
      <w:bCs/>
    </w:rPr>
  </w:style>
  <w:style w:type="character" w:customStyle="1" w:styleId="OnderwerpvanopmerkingChar">
    <w:name w:val="Onderwerp van opmerking Char"/>
    <w:basedOn w:val="TekstopmerkingChar"/>
    <w:link w:val="Onderwerpvanopmerking"/>
    <w:uiPriority w:val="99"/>
    <w:semiHidden/>
    <w:rsid w:val="003A79C8"/>
    <w:rPr>
      <w:rFonts w:ascii="Verdana" w:hAnsi="Verdana"/>
      <w:b/>
      <w:bCs/>
      <w:color w:val="000000"/>
    </w:rPr>
  </w:style>
  <w:style w:type="paragraph" w:styleId="Revisie">
    <w:name w:val="Revision"/>
    <w:hidden/>
    <w:uiPriority w:val="99"/>
    <w:semiHidden/>
    <w:rsid w:val="00AA56B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8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1056</ap:Words>
  <ap:Characters>5809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6852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2024-12-20T15:49:00.0000000Z</dcterms:created>
  <dcterms:modified xsi:type="dcterms:W3CDTF">2024-12-20T15:49:00.0000000Z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30 oktober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5876281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