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78E9" w:rsidP="001B4DF3" w:rsidRDefault="001B4DF3" w14:paraId="1811585B" w14:textId="77777777">
      <w:bookmarkStart w:name="_Hlk185256018" w:id="0"/>
      <w:r>
        <w:t>Geachte Voorzitter,</w:t>
      </w:r>
      <w:r>
        <w:br/>
      </w:r>
    </w:p>
    <w:p w:rsidRPr="00F11E7C" w:rsidR="007F3645" w:rsidP="001B4DF3" w:rsidRDefault="001B4DF3" w14:paraId="6C774FA8" w14:textId="51A1BCEC">
      <w:pPr>
        <w:rPr>
          <w:szCs w:val="18"/>
        </w:rPr>
      </w:pPr>
      <w:r>
        <w:t xml:space="preserve">Hierbij zend </w:t>
      </w:r>
      <w:r w:rsidR="00285FFD">
        <w:t>het kabinet</w:t>
      </w:r>
      <w:r>
        <w:t xml:space="preserve"> u de antwoorden op de vragen van het lid </w:t>
      </w:r>
      <w:r w:rsidR="00961241">
        <w:t>Erkens</w:t>
      </w:r>
      <w:r>
        <w:t xml:space="preserve"> (</w:t>
      </w:r>
      <w:r w:rsidR="00961241">
        <w:t>VVD)</w:t>
      </w:r>
      <w:r>
        <w:t xml:space="preserve"> </w:t>
      </w:r>
      <w:r w:rsidRPr="00961241" w:rsidR="00961241">
        <w:t xml:space="preserve">over </w:t>
      </w:r>
      <w:r w:rsidRPr="00961241" w:rsidR="00961241">
        <w:rPr>
          <w:i/>
          <w:iCs/>
        </w:rPr>
        <w:t>de opschaling van groen gas</w:t>
      </w:r>
      <w:r w:rsidR="00653F3A">
        <w:rPr>
          <w:rStyle w:val="Voetnootmarkering"/>
          <w:i/>
          <w:iCs/>
        </w:rPr>
        <w:footnoteReference w:id="1"/>
      </w:r>
      <w:r>
        <w:rPr>
          <w:i/>
          <w:iCs/>
        </w:rPr>
        <w:t>,</w:t>
      </w:r>
      <w:r w:rsidRPr="00961241" w:rsidR="00961241">
        <w:t xml:space="preserve"> </w:t>
      </w:r>
      <w:r>
        <w:t>ingezonden</w:t>
      </w:r>
      <w:r w:rsidR="00961241">
        <w:t xml:space="preserve"> 11 december 2024</w:t>
      </w:r>
      <w:r>
        <w:rPr>
          <w:szCs w:val="18"/>
        </w:rPr>
        <w:t>.</w:t>
      </w:r>
    </w:p>
    <w:p w:rsidR="00423A19" w:rsidP="001B4DF3" w:rsidRDefault="00423A19" w14:paraId="3837CD81" w14:textId="77777777"/>
    <w:p w:rsidR="00F8639C" w:rsidP="001B4DF3" w:rsidRDefault="00F8639C" w14:paraId="546A570D" w14:textId="77777777"/>
    <w:p w:rsidR="00F8639C" w:rsidP="001B4DF3" w:rsidRDefault="00F8639C" w14:paraId="3DA788C1" w14:textId="77777777"/>
    <w:p w:rsidR="00F8639C" w:rsidP="001B4DF3" w:rsidRDefault="00F8639C" w14:paraId="1D5C1FA8" w14:textId="77777777"/>
    <w:p w:rsidRPr="00747885" w:rsidR="0029019C" w:rsidP="001B4DF3" w:rsidRDefault="001B4DF3" w14:paraId="02435F31" w14:textId="77777777">
      <w:pPr>
        <w:rPr>
          <w:szCs w:val="18"/>
        </w:rPr>
      </w:pPr>
      <w:r w:rsidRPr="005461DA">
        <w:rPr>
          <w:szCs w:val="18"/>
        </w:rPr>
        <w:t>Sophie Hermans</w:t>
      </w:r>
    </w:p>
    <w:p w:rsidRPr="005461DA" w:rsidR="004E505E" w:rsidP="001B4DF3" w:rsidRDefault="001B4DF3" w14:paraId="6DA793F8" w14:textId="77777777">
      <w:pPr>
        <w:rPr>
          <w:szCs w:val="18"/>
        </w:rPr>
      </w:pPr>
      <w:r>
        <w:rPr>
          <w:szCs w:val="18"/>
        </w:rPr>
        <w:t>Minister van Klimaat en Groene Groei</w:t>
      </w:r>
    </w:p>
    <w:p w:rsidR="00EF6D37" w:rsidP="001B4DF3" w:rsidRDefault="00EF6D37" w14:paraId="50E481A3" w14:textId="77777777">
      <w:pPr>
        <w:rPr>
          <w:b/>
        </w:rPr>
      </w:pPr>
    </w:p>
    <w:p w:rsidR="00EF6D37" w:rsidP="001B4DF3" w:rsidRDefault="00EF6D37" w14:paraId="694E3463" w14:textId="77777777">
      <w:pPr>
        <w:rPr>
          <w:b/>
        </w:rPr>
      </w:pPr>
    </w:p>
    <w:p w:rsidR="00225675" w:rsidP="001B4DF3" w:rsidRDefault="001B4DF3" w14:paraId="783CA290" w14:textId="77777777">
      <w:pPr>
        <w:rPr>
          <w:b/>
        </w:rPr>
      </w:pPr>
      <w:r>
        <w:rPr>
          <w:b/>
        </w:rPr>
        <w:br w:type="page"/>
      </w:r>
    </w:p>
    <w:p w:rsidRPr="00C7073F" w:rsidR="00961241" w:rsidP="001B4DF3" w:rsidRDefault="00961241" w14:paraId="41A5BABD" w14:textId="77777777">
      <w:pPr>
        <w:rPr>
          <w:rStyle w:val="Zwaar"/>
          <w:b w:val="0"/>
          <w:bCs w:val="0"/>
        </w:rPr>
      </w:pPr>
      <w:r w:rsidRPr="00C7073F">
        <w:rPr>
          <w:b/>
          <w:bCs/>
        </w:rPr>
        <w:lastRenderedPageBreak/>
        <w:t>2024Z20785 </w:t>
      </w:r>
      <w:r w:rsidRPr="00C7073F" w:rsidR="00747885">
        <w:rPr>
          <w:b/>
          <w:bCs/>
        </w:rPr>
        <w:br/>
      </w:r>
    </w:p>
    <w:p w:rsidRPr="00A84CD9" w:rsidR="00961241" w:rsidP="001B4DF3" w:rsidRDefault="00961241" w14:paraId="09472BA4" w14:textId="77777777">
      <w:r w:rsidRPr="00A84CD9">
        <w:t xml:space="preserve">1 </w:t>
      </w:r>
    </w:p>
    <w:p w:rsidR="00961241" w:rsidP="001B4DF3" w:rsidRDefault="00961241" w14:paraId="68421E93" w14:textId="0ED5BBB5">
      <w:r w:rsidRPr="00A84CD9">
        <w:t>Kunt u toelichten op welke wijze de opschaling van mestvergisting op dit moment plaatsvindt in afstemming met gemeenten en de Regionale Energie Strategieën-regio's (RES-regio's)? Welke stappen worden er vervolgens vanaf 2026 gezet om de doelstellingen van 2030 te bereiken?</w:t>
      </w:r>
    </w:p>
    <w:p w:rsidRPr="00A84CD9" w:rsidR="00A84CD9" w:rsidP="001B4DF3" w:rsidRDefault="00A84CD9" w14:paraId="5BD621A1" w14:textId="77777777"/>
    <w:p w:rsidRPr="00A84CD9" w:rsidR="00961241" w:rsidP="001B4DF3" w:rsidRDefault="00961241" w14:paraId="4B9BE6C9" w14:textId="77777777">
      <w:r w:rsidRPr="00A84CD9">
        <w:t xml:space="preserve">Antwoord </w:t>
      </w:r>
    </w:p>
    <w:p w:rsidRPr="00A84CD9" w:rsidR="00455315" w:rsidP="001B4DF3" w:rsidRDefault="00455315" w14:paraId="199800FC" w14:textId="57903264">
      <w:r w:rsidRPr="00A84CD9">
        <w:t xml:space="preserve">Met de medeoverheden </w:t>
      </w:r>
      <w:r w:rsidR="00F304A3">
        <w:t xml:space="preserve">heeft het kabinet </w:t>
      </w:r>
      <w:r w:rsidRPr="00A84CD9">
        <w:t xml:space="preserve">afgesproken dat groen gas, waar het gaat om de uitdagingen die ruimtelijke inpassing met zich meebrengt en de versnelling </w:t>
      </w:r>
      <w:r w:rsidR="00F304A3">
        <w:t>daar</w:t>
      </w:r>
      <w:r w:rsidRPr="00A84CD9">
        <w:t>van, meeloopt in de integrale brede ‘nieuwe samenwerkingsafspraken voor de ontwikkeling van het energiesysteem’. Op dit moment verken</w:t>
      </w:r>
      <w:r w:rsidR="00285FFD">
        <w:t xml:space="preserve">t het kabinet </w:t>
      </w:r>
      <w:r w:rsidRPr="00A84CD9">
        <w:t xml:space="preserve">de mogelijkheden voor </w:t>
      </w:r>
      <w:r w:rsidRPr="00A84CD9" w:rsidR="003E4902">
        <w:t>dergelijke</w:t>
      </w:r>
      <w:r w:rsidRPr="00A84CD9">
        <w:t xml:space="preserve"> afspraken.</w:t>
      </w:r>
    </w:p>
    <w:p w:rsidRPr="00A84CD9" w:rsidR="00455315" w:rsidP="001B4DF3" w:rsidRDefault="00455315" w14:paraId="776A840F" w14:textId="4FE81DCB">
      <w:r w:rsidRPr="00A84CD9">
        <w:t xml:space="preserve">Het Rijk ondersteunt provincies </w:t>
      </w:r>
      <w:r w:rsidR="00F304A3">
        <w:t xml:space="preserve">in het algemeen </w:t>
      </w:r>
      <w:r w:rsidRPr="00A84CD9">
        <w:t>o</w:t>
      </w:r>
      <w:r w:rsidR="001B4DF3">
        <w:t>nder andere</w:t>
      </w:r>
      <w:r w:rsidRPr="00A84CD9">
        <w:t xml:space="preserve"> via Road Shows (voorlichtingsbijeenkomsten), een handreiking voor vergunningverlening en via een Expertisecentrum Groen Gas (in oprichting).</w:t>
      </w:r>
    </w:p>
    <w:p w:rsidRPr="00A84CD9" w:rsidR="00455315" w:rsidP="001B4DF3" w:rsidRDefault="00455315" w14:paraId="4C591C59" w14:textId="050C2441">
      <w:r w:rsidRPr="00A84CD9">
        <w:t xml:space="preserve">Verder </w:t>
      </w:r>
      <w:r w:rsidR="00F304A3">
        <w:t xml:space="preserve">beziet het kabinet </w:t>
      </w:r>
      <w:r w:rsidRPr="00A84CD9">
        <w:t>met een aantal provincies hoe groen</w:t>
      </w:r>
      <w:r w:rsidR="00F304A3">
        <w:t>-</w:t>
      </w:r>
      <w:r w:rsidRPr="00A84CD9">
        <w:t xml:space="preserve">gasproductie in hun provincie (nog) verder gestimuleerd kan worden, waar het Rijk kan ondersteunen en welke goede voorbeelden gedeeld kunnen worden.   </w:t>
      </w:r>
    </w:p>
    <w:p w:rsidR="00455315" w:rsidP="001B4DF3" w:rsidRDefault="00455315" w14:paraId="08950326" w14:textId="59E90D2F">
      <w:r w:rsidRPr="00A84CD9">
        <w:t xml:space="preserve">Tot slot </w:t>
      </w:r>
      <w:r w:rsidR="00F304A3">
        <w:t xml:space="preserve">wordt </w:t>
      </w:r>
      <w:r w:rsidRPr="00A84CD9">
        <w:t>op dit dossier nauw samen</w:t>
      </w:r>
      <w:r w:rsidR="00F304A3">
        <w:t xml:space="preserve">gewerkt door de </w:t>
      </w:r>
      <w:r w:rsidR="001B4DF3">
        <w:t>m</w:t>
      </w:r>
      <w:r w:rsidR="00F304A3">
        <w:t xml:space="preserve">inisteries van Klimaat en Groene Groei en van </w:t>
      </w:r>
      <w:r w:rsidRPr="00A84CD9">
        <w:t>Landbouw, Visserij, Voedselzekerheid en Natuur. Recent is Raymond Knops aangesteld als verkenner voor versnelling van de vergunningverlening van mestverwerkers en</w:t>
      </w:r>
      <w:r w:rsidRPr="00A84CD9" w:rsidR="003E4902">
        <w:t xml:space="preserve"> mest</w:t>
      </w:r>
      <w:r w:rsidRPr="00A84CD9">
        <w:t xml:space="preserve">vergisters. </w:t>
      </w:r>
    </w:p>
    <w:p w:rsidRPr="00A84CD9" w:rsidR="00A84CD9" w:rsidP="001B4DF3" w:rsidRDefault="00A84CD9" w14:paraId="1E009FE6" w14:textId="77777777"/>
    <w:p w:rsidRPr="00A84CD9" w:rsidR="00961241" w:rsidP="001B4DF3" w:rsidRDefault="00961241" w14:paraId="21475866" w14:textId="1DA9725C">
      <w:r w:rsidRPr="00A84CD9">
        <w:t>2</w:t>
      </w:r>
    </w:p>
    <w:p w:rsidR="00961241" w:rsidP="001B4DF3" w:rsidRDefault="00961241" w14:paraId="4917028B" w14:textId="77777777">
      <w:r w:rsidRPr="00A84CD9">
        <w:t>Deelt u de mening dat voor de versterking van decentrale energiesystemen het noodzakelijk is een goede regionale spreiding te bevorderen van de lokale productie van groen gas?</w:t>
      </w:r>
    </w:p>
    <w:p w:rsidRPr="00A84CD9" w:rsidR="00A84CD9" w:rsidP="001B4DF3" w:rsidRDefault="00A84CD9" w14:paraId="7E8D9C8C" w14:textId="77777777"/>
    <w:p w:rsidRPr="00A84CD9" w:rsidR="00961241" w:rsidP="001B4DF3" w:rsidRDefault="00961241" w14:paraId="12C95EE6" w14:textId="77777777">
      <w:r w:rsidRPr="00A84CD9">
        <w:t>Antwoord</w:t>
      </w:r>
    </w:p>
    <w:p w:rsidR="00455315" w:rsidP="001B4DF3" w:rsidRDefault="00455315" w14:paraId="578373C9" w14:textId="468BD643">
      <w:r w:rsidRPr="00A84CD9">
        <w:t>Het Rijk stuurt niet specifiek op regionale spreiding</w:t>
      </w:r>
      <w:r w:rsidR="007A4352">
        <w:t xml:space="preserve"> bij de productie van groen gas</w:t>
      </w:r>
      <w:r w:rsidRPr="00A84CD9">
        <w:t>. Het kabinet is van mening dat de groen</w:t>
      </w:r>
      <w:r w:rsidR="00F304A3">
        <w:t>-</w:t>
      </w:r>
      <w:r w:rsidRPr="00A84CD9">
        <w:t xml:space="preserve">gasproductie moet aansluiten bij de lokale omstandigheden, zoals de aanwezigheid van grondstoffen en infrastructuur. Uit onderzoek blijkt dat er in </w:t>
      </w:r>
      <w:r w:rsidR="007A4352">
        <w:t xml:space="preserve">alle provincies </w:t>
      </w:r>
      <w:r w:rsidR="00C26332">
        <w:t xml:space="preserve">veel </w:t>
      </w:r>
      <w:r w:rsidR="007A4352">
        <w:t xml:space="preserve">potentie is om </w:t>
      </w:r>
      <w:r w:rsidRPr="00A84CD9">
        <w:t xml:space="preserve">groen gas </w:t>
      </w:r>
      <w:r w:rsidR="007A4352">
        <w:t>te produceren</w:t>
      </w:r>
      <w:r w:rsidR="00222689">
        <w:rPr>
          <w:rStyle w:val="Voetnootmarkering"/>
        </w:rPr>
        <w:footnoteReference w:id="2"/>
      </w:r>
      <w:r w:rsidRPr="00A84CD9">
        <w:t xml:space="preserve">. In de gesprekken met de medeoverheden zet het kabinet er </w:t>
      </w:r>
      <w:r w:rsidR="00C26332">
        <w:t>in</w:t>
      </w:r>
      <w:r w:rsidRPr="00A84CD9" w:rsidR="00C26332">
        <w:t xml:space="preserve"> </w:t>
      </w:r>
      <w:r w:rsidRPr="00A84CD9">
        <w:t xml:space="preserve"> </w:t>
      </w:r>
      <w:r w:rsidR="007A4352">
        <w:t xml:space="preserve">algemene zin op in </w:t>
      </w:r>
      <w:r w:rsidRPr="00A84CD9">
        <w:t xml:space="preserve">lokale groen gas productie </w:t>
      </w:r>
      <w:r w:rsidR="007A4352">
        <w:t xml:space="preserve">te stimuleren, </w:t>
      </w:r>
      <w:r w:rsidRPr="00A84CD9">
        <w:t xml:space="preserve">voldoende geschikte locaties </w:t>
      </w:r>
      <w:r w:rsidR="007A4352">
        <w:t xml:space="preserve">aan te wijzen </w:t>
      </w:r>
      <w:r w:rsidRPr="00A84CD9">
        <w:t xml:space="preserve">en de vergunningverlening </w:t>
      </w:r>
      <w:r w:rsidR="007A4352">
        <w:t>te versnellen</w:t>
      </w:r>
      <w:r w:rsidRPr="00A84CD9">
        <w:t>.</w:t>
      </w:r>
    </w:p>
    <w:p w:rsidRPr="00A84CD9" w:rsidR="00A84CD9" w:rsidP="001B4DF3" w:rsidRDefault="00A84CD9" w14:paraId="7266A575" w14:textId="77777777"/>
    <w:p w:rsidRPr="00A84CD9" w:rsidR="00961241" w:rsidP="001B4DF3" w:rsidRDefault="00961241" w14:paraId="74F1FBBA" w14:textId="2E2188A2">
      <w:r w:rsidRPr="00A84CD9">
        <w:t>3</w:t>
      </w:r>
    </w:p>
    <w:p w:rsidR="00961241" w:rsidP="001B4DF3" w:rsidRDefault="00961241" w14:paraId="488FC67C" w14:textId="26EE01FE">
      <w:r w:rsidRPr="00A84CD9">
        <w:t>Op welke wijze wordt de regionale spreiding van de opschaling van groen gas door het Rijk en de RES-regio’s gestuurd? Bent u voornemens om voor de RES-regio’s ook een groen gas</w:t>
      </w:r>
      <w:r w:rsidRPr="00A84CD9" w:rsidR="00F07DC4">
        <w:t xml:space="preserve"> </w:t>
      </w:r>
      <w:r w:rsidRPr="00A84CD9">
        <w:t>doel te stellen?</w:t>
      </w:r>
    </w:p>
    <w:p w:rsidRPr="00A84CD9" w:rsidR="00A84CD9" w:rsidP="001B4DF3" w:rsidRDefault="00A84CD9" w14:paraId="62C76178" w14:textId="77777777"/>
    <w:p w:rsidRPr="00A84CD9" w:rsidR="00961241" w:rsidP="001B4DF3" w:rsidRDefault="00961241" w14:paraId="4EBE650E" w14:textId="77777777">
      <w:r w:rsidRPr="00A84CD9">
        <w:t xml:space="preserve">Antwoord  </w:t>
      </w:r>
    </w:p>
    <w:p w:rsidR="00455315" w:rsidP="001B4DF3" w:rsidRDefault="00455315" w14:paraId="6F100FE5" w14:textId="7DA7AE2A">
      <w:r w:rsidRPr="00A84CD9">
        <w:t xml:space="preserve">Zoals hierboven aangegeven stuurt het kabinet niet op waar het groen gas geproduceerd </w:t>
      </w:r>
      <w:r w:rsidR="00C26332">
        <w:t>dient te</w:t>
      </w:r>
      <w:r w:rsidRPr="00A84CD9" w:rsidR="00C26332">
        <w:t xml:space="preserve"> </w:t>
      </w:r>
      <w:r w:rsidRPr="00A84CD9">
        <w:t>worden, maar is in gesprek met de medeoverheden om te kijken hoe de regionale groen</w:t>
      </w:r>
      <w:r w:rsidR="000A275D">
        <w:t>-</w:t>
      </w:r>
      <w:r w:rsidRPr="00A84CD9">
        <w:t xml:space="preserve">gasproductie opgeschaald en gefaciliteerd kan worden. </w:t>
      </w:r>
    </w:p>
    <w:p w:rsidRPr="00A84CD9" w:rsidR="00A84CD9" w:rsidP="001B4DF3" w:rsidRDefault="00A84CD9" w14:paraId="6F4D671C" w14:textId="77777777"/>
    <w:p w:rsidRPr="00A84CD9" w:rsidR="00455315" w:rsidP="001B4DF3" w:rsidRDefault="00455315" w14:paraId="55D76A1F" w14:textId="0D8E259A">
      <w:r w:rsidRPr="00A84CD9">
        <w:t xml:space="preserve">Momenteel </w:t>
      </w:r>
      <w:r w:rsidR="000A275D">
        <w:t xml:space="preserve">maakt het kabinet </w:t>
      </w:r>
      <w:r w:rsidRPr="00A84CD9">
        <w:t xml:space="preserve">samen met de medeoverheden integrale brede ‘nieuwe samenwerkingsafspraken voor de ontwikkeling van het energiesysteem’, zie antwoord op vraag 1. Hierbij </w:t>
      </w:r>
      <w:r w:rsidR="000A275D">
        <w:t xml:space="preserve">wordt </w:t>
      </w:r>
      <w:r w:rsidRPr="00A84CD9">
        <w:t xml:space="preserve">de vraag </w:t>
      </w:r>
      <w:r w:rsidR="000A275D">
        <w:t xml:space="preserve">betrokken </w:t>
      </w:r>
      <w:r w:rsidRPr="00A84CD9">
        <w:t>of er na 2030 andersoortige doelen dan doelen voor elektriciteitsopwekking op land wenselijk en haalbaar zijn.</w:t>
      </w:r>
    </w:p>
    <w:p w:rsidR="00A84CD9" w:rsidP="001B4DF3" w:rsidRDefault="00A84CD9" w14:paraId="55376CF7" w14:textId="77777777"/>
    <w:p w:rsidRPr="00A84CD9" w:rsidR="00961241" w:rsidP="001B4DF3" w:rsidRDefault="00961241" w14:paraId="09CBD423" w14:textId="25B96A80">
      <w:r w:rsidRPr="00A84CD9">
        <w:t>4</w:t>
      </w:r>
    </w:p>
    <w:p w:rsidRPr="00A84CD9" w:rsidR="00961241" w:rsidP="001B4DF3" w:rsidRDefault="00961241" w14:paraId="70E7C06E" w14:textId="380B3C22">
      <w:r w:rsidRPr="00A84CD9">
        <w:t>Deelt u de mening dat, alhoewel de uiteindelijke doelstellingen een essentiële stap zijn in de verbreding van de energiemix, het aannemelijk is dat de vraag de komende jaren het aanbod zal overstijgen?</w:t>
      </w:r>
    </w:p>
    <w:p w:rsidR="00A84CD9" w:rsidP="001B4DF3" w:rsidRDefault="00A84CD9" w14:paraId="469FE40F" w14:textId="77777777"/>
    <w:p w:rsidRPr="00A84CD9" w:rsidR="00961241" w:rsidP="001B4DF3" w:rsidRDefault="00961241" w14:paraId="05CE3187" w14:textId="1F70D4C9">
      <w:r w:rsidRPr="00A84CD9">
        <w:t>Antwoord</w:t>
      </w:r>
    </w:p>
    <w:p w:rsidRPr="00A84CD9" w:rsidR="00455315" w:rsidP="001B4DF3" w:rsidRDefault="00C26332" w14:paraId="316521B6" w14:textId="7C6D5306">
      <w:r>
        <w:t xml:space="preserve">Het kabinet </w:t>
      </w:r>
      <w:r w:rsidRPr="00A84CD9" w:rsidR="00455315">
        <w:t>deel</w:t>
      </w:r>
      <w:r w:rsidR="00285FFD">
        <w:t xml:space="preserve">t </w:t>
      </w:r>
      <w:r w:rsidRPr="00A84CD9" w:rsidR="00455315">
        <w:t xml:space="preserve">deze inschatting. </w:t>
      </w:r>
      <w:r w:rsidR="00285FFD">
        <w:t>Het kabinet</w:t>
      </w:r>
      <w:r w:rsidRPr="00A84CD9" w:rsidR="00455315">
        <w:t xml:space="preserve"> schat in dat de toekomstige vraag naar groen gas groot zal zijn. Groen gas kan gebruikt worden als energiebron en als bron van koolstof voor bijvoorbeeld de chemie en industrie. Als energiebron is groen gas breed inzetbaar, en te gebruiken via grotendeels bestaande infrastructuur. Het aanbod daarentegen is inherent beperkt omdat hiervoor onder andere grondstoffen en productielocaties nodig zijn, welke beperkt beschikbaar zijn.</w:t>
      </w:r>
    </w:p>
    <w:p w:rsidR="00A84CD9" w:rsidP="001B4DF3" w:rsidRDefault="00A84CD9" w14:paraId="7C92E07A" w14:textId="77777777"/>
    <w:p w:rsidRPr="00A84CD9" w:rsidR="00961241" w:rsidP="001B4DF3" w:rsidRDefault="00961241" w14:paraId="3AC52585" w14:textId="4C0BD262">
      <w:r w:rsidRPr="00A84CD9">
        <w:t>5</w:t>
      </w:r>
    </w:p>
    <w:p w:rsidRPr="00A84CD9" w:rsidR="00961241" w:rsidP="001B4DF3" w:rsidRDefault="00961241" w14:paraId="383D2CCB" w14:textId="77777777">
      <w:r w:rsidRPr="00A84CD9">
        <w:t>Kunt u toelichten op welke wijze u de verwachte prijsstijging per m³ voor de gasprijs zult monitoren?</w:t>
      </w:r>
    </w:p>
    <w:p w:rsidR="00A84CD9" w:rsidP="001B4DF3" w:rsidRDefault="00A84CD9" w14:paraId="602609A3" w14:textId="77777777"/>
    <w:p w:rsidRPr="00A84CD9" w:rsidR="00961241" w:rsidP="001B4DF3" w:rsidRDefault="00961241" w14:paraId="1DEC3A8B" w14:textId="54085EB4">
      <w:r w:rsidRPr="00A84CD9">
        <w:t>Antwoord</w:t>
      </w:r>
    </w:p>
    <w:p w:rsidRPr="00A84CD9" w:rsidR="00455315" w:rsidP="001B4DF3" w:rsidRDefault="00455315" w14:paraId="51F97803" w14:textId="3ADF76FB">
      <w:r w:rsidRPr="00A84CD9">
        <w:t xml:space="preserve">In opdracht van het Rijk rapporteert het CBS maandelijks over de gemiddelde tarieven voor aardgas en elektriciteit voor consumenten. Omdat de prijsstijging als gevolg van het stijgende percentage groen gas in het gasnet slechts één van de ontwikkelingen is die effect heeft op de consumentenprijs, kan op deze manier integraal de betaalbaarheid van energie worden gemonitord. Er is geen aparte monitor voorzien voor de prijs van groen gas: er is ook </w:t>
      </w:r>
      <w:r w:rsidR="00C26332">
        <w:t xml:space="preserve">(nog) </w:t>
      </w:r>
      <w:r w:rsidRPr="00A84CD9">
        <w:t xml:space="preserve">geen handelsplatform waar prijsinformatie op transparante wijze kan worden verkregen. Wel wordt vanuit het Programma Groen Gas regelmatig overlegd met producenten, financiers en afnemers van groen gas, en wordt op deze wijze informatie verzameld over de stand van de sector en markt. </w:t>
      </w:r>
    </w:p>
    <w:p w:rsidR="00A84CD9" w:rsidP="001B4DF3" w:rsidRDefault="00A84CD9" w14:paraId="1E25D03F" w14:textId="77777777"/>
    <w:p w:rsidRPr="00A84CD9" w:rsidR="00961241" w:rsidP="001B4DF3" w:rsidRDefault="00961241" w14:paraId="5FA44078" w14:textId="17973054">
      <w:r w:rsidRPr="00A84CD9">
        <w:t>6</w:t>
      </w:r>
    </w:p>
    <w:p w:rsidRPr="00A84CD9" w:rsidR="00961241" w:rsidP="001B4DF3" w:rsidRDefault="00961241" w14:paraId="25A643AB" w14:textId="0A03F299">
      <w:r w:rsidRPr="00A84CD9">
        <w:t>Welke afspraken zijn er gemaakt over toekomstig onderhoud en vervanging van het huidige gasnetwerk zodat deze voor groen gas ingezet kunnen worden in de toekomst?</w:t>
      </w:r>
    </w:p>
    <w:p w:rsidR="00A84CD9" w:rsidP="001B4DF3" w:rsidRDefault="00A84CD9" w14:paraId="351BFF14" w14:textId="77777777"/>
    <w:p w:rsidRPr="00A84CD9" w:rsidR="00961241" w:rsidP="001B4DF3" w:rsidRDefault="00961241" w14:paraId="767EC15F" w14:textId="31020238">
      <w:r w:rsidRPr="00A84CD9">
        <w:t>Antwoord</w:t>
      </w:r>
    </w:p>
    <w:p w:rsidRPr="00A84CD9" w:rsidR="00455315" w:rsidP="001B4DF3" w:rsidRDefault="00455315" w14:paraId="4606156B" w14:textId="09170631">
      <w:r w:rsidRPr="00A84CD9">
        <w:t xml:space="preserve">Netbeheerders zijn conform Europese en nationale wetgeving gehouden aan hun transporttaken voor aardgas en groen gas. Netbeheerders zijn reeds actief bezig met het in beeld brengen van knelpunten die kunnen ontstaan op het gasnet door de invoeding van groen gas en nemen reeds maatregelen, waaronder investeringen, om deze knelpunten te verhelpen en het aardgasnet </w:t>
      </w:r>
      <w:r w:rsidR="000A275D">
        <w:t xml:space="preserve">geschikt te maken voor </w:t>
      </w:r>
      <w:r w:rsidRPr="00A84CD9">
        <w:t>groen gas. Voorbeelden hiervan zijn het regionaal koppelen van gasnetten van Alliander en Stedin, het plaatsen van boosters</w:t>
      </w:r>
      <w:r w:rsidR="00285FFD">
        <w:t xml:space="preserve"> (installaties die het gas kunnen verplaatsen naar een hoger druk </w:t>
      </w:r>
      <w:r w:rsidR="00A16128">
        <w:t>–</w:t>
      </w:r>
      <w:r w:rsidR="00285FFD">
        <w:t xml:space="preserve"> distributienet</w:t>
      </w:r>
      <w:r w:rsidR="00A16128">
        <w:t xml:space="preserve"> of transmissienet</w:t>
      </w:r>
      <w:r w:rsidR="00285FFD">
        <w:t>)</w:t>
      </w:r>
      <w:r w:rsidRPr="00A84CD9">
        <w:t xml:space="preserve"> door Gasunie en de bouw van een</w:t>
      </w:r>
      <w:r w:rsidR="00285FFD">
        <w:t xml:space="preserve"> groen gas</w:t>
      </w:r>
      <w:r w:rsidRPr="00A84CD9">
        <w:t xml:space="preserve"> verzamelleiding tussen Emmen en Ommen zodat </w:t>
      </w:r>
      <w:r w:rsidR="002E26F7">
        <w:t>het net</w:t>
      </w:r>
      <w:r w:rsidRPr="00A84CD9">
        <w:t xml:space="preserve"> efficiënter wordt gebruikt. </w:t>
      </w:r>
    </w:p>
    <w:p w:rsidR="00A84CD9" w:rsidP="001B4DF3" w:rsidRDefault="00A84CD9" w14:paraId="3565F688" w14:textId="77777777"/>
    <w:p w:rsidRPr="00285FFD" w:rsidR="00455315" w:rsidP="001B4DF3" w:rsidRDefault="00455315" w14:paraId="57445D8D" w14:textId="01D2F22C">
      <w:r w:rsidRPr="00A84CD9">
        <w:t>Op termijn zal desalniettemin de vraag naar transportcapaciteit voor aardgas afnemen. Dit zal met name gevolgen hebben voor de lage druk distributienetten, wanneer individuele wijken en buurten van het aardgas afgaan</w:t>
      </w:r>
      <w:r w:rsidR="00A16128">
        <w:t xml:space="preserve"> en over gaan op een warmtenet of volledig elektrisch verwarmen</w:t>
      </w:r>
      <w:r w:rsidRPr="00A84CD9">
        <w:t>. Gezien de beperkte beschikbaarheid van groen gas ligt het niet in de rede dat wijken die nu van het aardgas afgaan, omdat ze een goed alternatief hebben, op termijn weer terugkomen op het gasnet voor groen</w:t>
      </w:r>
      <w:r w:rsidR="000A275D">
        <w:t>-</w:t>
      </w:r>
      <w:r w:rsidRPr="00A84CD9">
        <w:t>gasgebruik. Verwijdering van deze netten is dan aan de orde.</w:t>
      </w:r>
    </w:p>
    <w:p w:rsidR="00A84CD9" w:rsidP="001B4DF3" w:rsidRDefault="00A84CD9" w14:paraId="2859F405" w14:textId="77777777"/>
    <w:p w:rsidRPr="00A84CD9" w:rsidR="00961241" w:rsidP="001B4DF3" w:rsidRDefault="00961241" w14:paraId="5134BE81" w14:textId="1DB0F2A9">
      <w:r w:rsidRPr="00A84CD9">
        <w:t>7</w:t>
      </w:r>
    </w:p>
    <w:p w:rsidRPr="00A84CD9" w:rsidR="00961241" w:rsidP="001B4DF3" w:rsidRDefault="00961241" w14:paraId="308418C3" w14:textId="032A86E7">
      <w:r w:rsidRPr="00A84CD9">
        <w:t>Welke mogelijkheden zijn er om regionale en/of nationale voorrang te verlenen aan het verhandelen van Garanties van Oorsprong, zodat het ook daadwerkelijk ten goede komt aan het behalen van de Nederlandse klimaatdoelen?</w:t>
      </w:r>
    </w:p>
    <w:p w:rsidR="00A84CD9" w:rsidP="001B4DF3" w:rsidRDefault="00A84CD9" w14:paraId="4278518F" w14:textId="77777777"/>
    <w:p w:rsidRPr="00A84CD9" w:rsidR="00961241" w:rsidP="001B4DF3" w:rsidRDefault="00961241" w14:paraId="56B6CC7A" w14:textId="5F4A5A55">
      <w:r w:rsidRPr="00A84CD9">
        <w:t>Antwoord</w:t>
      </w:r>
    </w:p>
    <w:p w:rsidRPr="00A84CD9" w:rsidR="00455315" w:rsidP="001B4DF3" w:rsidRDefault="00455315" w14:paraId="64651E7E" w14:textId="77777777">
      <w:r w:rsidRPr="00A84CD9">
        <w:t xml:space="preserve">De bijdrage van groen gas aan de Nederlandse klimaatdoelen in de Klimaat- en Energieverkenning wordt afgemeten aan de invoeding van groen gas in Nederland. De verkoop van Nederlandse garanties van oorsprong aan marktpartijen in andere landen heeft hier geen invloed op. </w:t>
      </w:r>
    </w:p>
    <w:p w:rsidR="00A84CD9" w:rsidP="001B4DF3" w:rsidRDefault="00A84CD9" w14:paraId="2C85463E" w14:textId="77777777"/>
    <w:p w:rsidRPr="00A84CD9" w:rsidR="00455315" w:rsidP="001B4DF3" w:rsidRDefault="00455315" w14:paraId="164FA2F7" w14:textId="4DCC9F13">
      <w:r w:rsidRPr="00A84CD9">
        <w:t>Wel hebben garanties van oorsprong een belangrijke rol in het voldoen aan de ETS1</w:t>
      </w:r>
      <w:r w:rsidR="002E26F7">
        <w:t>-</w:t>
      </w:r>
      <w:r w:rsidRPr="00A84CD9">
        <w:t xml:space="preserve"> en </w:t>
      </w:r>
      <w:r w:rsidR="002E26F7">
        <w:t>ETS</w:t>
      </w:r>
      <w:r w:rsidRPr="00A84CD9">
        <w:t>2-verplichtingen. Voor verplichte partijen onder deze instrumenten kunnen garanties van oorsprong voor hernieuwbaar gas worden ingezet als bewijs dat een deel van het gebruikte gas duurzaam is en hiervoor geen ETS-rechten ingeleverd hoeven te worden. Ook de bijmengverplichting groen gas werkt met garanties van oorsprong als bewijs van duurzame gaslevering.</w:t>
      </w:r>
    </w:p>
    <w:p w:rsidR="00A84CD9" w:rsidP="001B4DF3" w:rsidRDefault="00A84CD9" w14:paraId="5E19DDE6" w14:textId="77777777"/>
    <w:p w:rsidR="00A84CD9" w:rsidP="001B4DF3" w:rsidRDefault="00455315" w14:paraId="349E12EB" w14:textId="6E73C876">
      <w:r w:rsidRPr="00A84CD9">
        <w:t xml:space="preserve">Het reserveren van Nederlands groen gas voor Nederlandse partijen onder ETS1, ETS2 of de bijmengverplichting is helaas niet mogelijk binnen de Europese interne (gas)markt. Het kabinet verwacht ook dat op de lange termijn bovengenoemde verplichtingen het meest efficiënt kunnen worden ingevuld </w:t>
      </w:r>
      <w:r w:rsidR="000A275D">
        <w:t xml:space="preserve">binnen </w:t>
      </w:r>
      <w:r w:rsidRPr="00A84CD9">
        <w:t>een Europese groen</w:t>
      </w:r>
      <w:r w:rsidR="000A275D">
        <w:t>-</w:t>
      </w:r>
      <w:r w:rsidRPr="00A84CD9">
        <w:t>gasmarkt, waarmee eventueel ingrijpen ook niet wenselijk is.</w:t>
      </w:r>
    </w:p>
    <w:p w:rsidR="00A84CD9" w:rsidP="001B4DF3" w:rsidRDefault="00A84CD9" w14:paraId="45A66158" w14:textId="77777777"/>
    <w:p w:rsidRPr="00A84CD9" w:rsidR="00961241" w:rsidP="001B4DF3" w:rsidRDefault="00961241" w14:paraId="1DF2B5D6" w14:textId="7F5A48C3">
      <w:r w:rsidRPr="00A84CD9">
        <w:t>8:</w:t>
      </w:r>
    </w:p>
    <w:p w:rsidRPr="00A84CD9" w:rsidR="00961241" w:rsidP="001B4DF3" w:rsidRDefault="00961241" w14:paraId="1D9E0562" w14:textId="2797637F">
      <w:r w:rsidRPr="00A84CD9">
        <w:t>Kunt u deze vragen één voor één beantwoorden?</w:t>
      </w:r>
    </w:p>
    <w:p w:rsidR="00A84CD9" w:rsidP="001B4DF3" w:rsidRDefault="00A84CD9" w14:paraId="1F3184D2" w14:textId="77777777"/>
    <w:p w:rsidRPr="00A84CD9" w:rsidR="00961241" w:rsidP="001B4DF3" w:rsidRDefault="00961241" w14:paraId="561FEE5A" w14:textId="225F276A">
      <w:r w:rsidRPr="00A84CD9">
        <w:t>Antwoord</w:t>
      </w:r>
    </w:p>
    <w:p w:rsidR="000652D4" w:rsidP="001B4DF3" w:rsidRDefault="00961241" w14:paraId="661130AE" w14:textId="41B43847">
      <w:r w:rsidRPr="00A84CD9">
        <w:t>Ja.</w:t>
      </w:r>
      <w:bookmarkEnd w:id="0"/>
    </w:p>
    <w:sectPr w:rsidR="000652D4"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710E0" w14:textId="77777777" w:rsidR="002C1E04" w:rsidRDefault="002C1E04">
      <w:r>
        <w:separator/>
      </w:r>
    </w:p>
    <w:p w14:paraId="587F3BD0" w14:textId="77777777" w:rsidR="002C1E04" w:rsidRDefault="002C1E04"/>
  </w:endnote>
  <w:endnote w:type="continuationSeparator" w:id="0">
    <w:p w14:paraId="73ADF52E" w14:textId="77777777" w:rsidR="002C1E04" w:rsidRDefault="002C1E04">
      <w:r>
        <w:continuationSeparator/>
      </w:r>
    </w:p>
    <w:p w14:paraId="73A3DD4B" w14:textId="77777777" w:rsidR="002C1E04" w:rsidRDefault="002C1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51BFF" w14:textId="77777777" w:rsidR="00C80A64" w:rsidRDefault="00C80A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2CF6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A622A" w14:paraId="69C8B1B7" w14:textId="77777777" w:rsidTr="00CA6A25">
      <w:trPr>
        <w:trHeight w:hRule="exact" w:val="240"/>
      </w:trPr>
      <w:tc>
        <w:tcPr>
          <w:tcW w:w="7601" w:type="dxa"/>
          <w:shd w:val="clear" w:color="auto" w:fill="auto"/>
        </w:tcPr>
        <w:p w14:paraId="4FDB2D6F" w14:textId="77777777" w:rsidR="00527BD4" w:rsidRDefault="00527BD4" w:rsidP="003F1F6B">
          <w:pPr>
            <w:pStyle w:val="Huisstijl-Rubricering"/>
          </w:pPr>
        </w:p>
      </w:tc>
      <w:tc>
        <w:tcPr>
          <w:tcW w:w="2156" w:type="dxa"/>
        </w:tcPr>
        <w:p w14:paraId="266AC9B3" w14:textId="7E475167" w:rsidR="00527BD4" w:rsidRPr="00645414" w:rsidRDefault="001B4DF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E21586">
              <w:t>4</w:t>
            </w:r>
          </w:fldSimple>
        </w:p>
      </w:tc>
    </w:tr>
  </w:tbl>
  <w:p w14:paraId="5356A394"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A622A" w14:paraId="7A109FB0" w14:textId="77777777" w:rsidTr="00CA6A25">
      <w:trPr>
        <w:trHeight w:hRule="exact" w:val="240"/>
      </w:trPr>
      <w:tc>
        <w:tcPr>
          <w:tcW w:w="7601" w:type="dxa"/>
          <w:shd w:val="clear" w:color="auto" w:fill="auto"/>
        </w:tcPr>
        <w:p w14:paraId="2D76AEF5" w14:textId="77777777" w:rsidR="00527BD4" w:rsidRDefault="00527BD4" w:rsidP="008C356D">
          <w:pPr>
            <w:pStyle w:val="Huisstijl-Rubricering"/>
          </w:pPr>
        </w:p>
      </w:tc>
      <w:tc>
        <w:tcPr>
          <w:tcW w:w="2170" w:type="dxa"/>
        </w:tcPr>
        <w:p w14:paraId="3D22C5F2" w14:textId="6E6B0C91" w:rsidR="00527BD4" w:rsidRPr="00ED539E" w:rsidRDefault="001B4DF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2C1E04">
              <w:t>1</w:t>
            </w:r>
          </w:fldSimple>
        </w:p>
      </w:tc>
    </w:tr>
  </w:tbl>
  <w:p w14:paraId="6ACB2DC7" w14:textId="77777777" w:rsidR="00527BD4" w:rsidRPr="00BC3B53" w:rsidRDefault="00527BD4" w:rsidP="008C356D">
    <w:pPr>
      <w:pStyle w:val="Voettekst"/>
      <w:spacing w:line="240" w:lineRule="auto"/>
      <w:rPr>
        <w:sz w:val="2"/>
        <w:szCs w:val="2"/>
      </w:rPr>
    </w:pPr>
  </w:p>
  <w:p w14:paraId="0FA81B7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9716A" w14:textId="77777777" w:rsidR="002C1E04" w:rsidRDefault="002C1E04">
      <w:r>
        <w:separator/>
      </w:r>
    </w:p>
    <w:p w14:paraId="5F10A754" w14:textId="77777777" w:rsidR="002C1E04" w:rsidRDefault="002C1E04"/>
  </w:footnote>
  <w:footnote w:type="continuationSeparator" w:id="0">
    <w:p w14:paraId="44308E64" w14:textId="77777777" w:rsidR="002C1E04" w:rsidRDefault="002C1E04">
      <w:r>
        <w:continuationSeparator/>
      </w:r>
    </w:p>
    <w:p w14:paraId="15D37649" w14:textId="77777777" w:rsidR="002C1E04" w:rsidRDefault="002C1E04"/>
  </w:footnote>
  <w:footnote w:id="1">
    <w:p w14:paraId="39FEF5A8" w14:textId="4230412E" w:rsidR="00653F3A" w:rsidRDefault="00653F3A">
      <w:pPr>
        <w:pStyle w:val="Voetnoottekst"/>
      </w:pPr>
      <w:r>
        <w:rPr>
          <w:rStyle w:val="Voetnootmarkering"/>
        </w:rPr>
        <w:footnoteRef/>
      </w:r>
      <w:r>
        <w:t xml:space="preserve"> Kamerstukken 2024/23</w:t>
      </w:r>
      <w:r w:rsidR="001B4DF3">
        <w:t>,</w:t>
      </w:r>
      <w:r>
        <w:t xml:space="preserve"> nr. </w:t>
      </w:r>
      <w:r w:rsidRPr="00961241">
        <w:t>2024Z20785</w:t>
      </w:r>
    </w:p>
  </w:footnote>
  <w:footnote w:id="2">
    <w:p w14:paraId="00795B09" w14:textId="12C74904" w:rsidR="00222689" w:rsidRDefault="00222689">
      <w:pPr>
        <w:pStyle w:val="Voetnoottekst"/>
      </w:pPr>
      <w:r>
        <w:rPr>
          <w:rStyle w:val="Voetnootmarkering"/>
        </w:rPr>
        <w:footnoteRef/>
      </w:r>
      <w:r>
        <w:t xml:space="preserve"> </w:t>
      </w:r>
      <w:r w:rsidRPr="00222689">
        <w:t>Kamerstukken 20</w:t>
      </w:r>
      <w:r>
        <w:t xml:space="preserve">23/24, </w:t>
      </w:r>
      <w:r w:rsidRPr="00A84CD9">
        <w:t>32813</w:t>
      </w:r>
      <w:r w:rsidR="001B4DF3">
        <w:t>,</w:t>
      </w:r>
      <w:r>
        <w:t xml:space="preserve"> nr.</w:t>
      </w:r>
      <w:r w:rsidRPr="00A84CD9">
        <w:t>1392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458D4" w14:textId="77777777" w:rsidR="00C80A64" w:rsidRDefault="00C80A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A622A" w14:paraId="6594C535" w14:textId="77777777" w:rsidTr="00A50CF6">
      <w:tc>
        <w:tcPr>
          <w:tcW w:w="2156" w:type="dxa"/>
          <w:shd w:val="clear" w:color="auto" w:fill="auto"/>
        </w:tcPr>
        <w:p w14:paraId="5CD1541D" w14:textId="77777777" w:rsidR="00527BD4" w:rsidRPr="005819CE" w:rsidRDefault="001B4DF3" w:rsidP="00A50CF6">
          <w:pPr>
            <w:pStyle w:val="Huisstijl-Adres"/>
            <w:rPr>
              <w:b/>
            </w:rPr>
          </w:pPr>
          <w:r>
            <w:rPr>
              <w:b/>
            </w:rPr>
            <w:t>Directoraat-generaal Klimaat en Energie</w:t>
          </w:r>
          <w:r w:rsidRPr="005819CE">
            <w:rPr>
              <w:b/>
            </w:rPr>
            <w:br/>
          </w:r>
          <w:r>
            <w:t>Directie Energiemarkt</w:t>
          </w:r>
        </w:p>
      </w:tc>
    </w:tr>
    <w:tr w:rsidR="00DA622A" w14:paraId="1E52849A" w14:textId="77777777" w:rsidTr="00A50CF6">
      <w:trPr>
        <w:trHeight w:hRule="exact" w:val="200"/>
      </w:trPr>
      <w:tc>
        <w:tcPr>
          <w:tcW w:w="2156" w:type="dxa"/>
          <w:shd w:val="clear" w:color="auto" w:fill="auto"/>
        </w:tcPr>
        <w:p w14:paraId="175E78F1" w14:textId="77777777" w:rsidR="00527BD4" w:rsidRPr="005819CE" w:rsidRDefault="00527BD4" w:rsidP="00A50CF6"/>
      </w:tc>
    </w:tr>
    <w:tr w:rsidR="00DA622A" w14:paraId="5D737634" w14:textId="77777777" w:rsidTr="00502512">
      <w:trPr>
        <w:trHeight w:hRule="exact" w:val="774"/>
      </w:trPr>
      <w:tc>
        <w:tcPr>
          <w:tcW w:w="2156" w:type="dxa"/>
          <w:shd w:val="clear" w:color="auto" w:fill="auto"/>
        </w:tcPr>
        <w:p w14:paraId="5EB5D39F" w14:textId="77777777" w:rsidR="00527BD4" w:rsidRDefault="001B4DF3" w:rsidP="003A5290">
          <w:pPr>
            <w:pStyle w:val="Huisstijl-Kopje"/>
          </w:pPr>
          <w:r>
            <w:t>Ons kenmerk</w:t>
          </w:r>
        </w:p>
        <w:p w14:paraId="00846623" w14:textId="7B25E9C6" w:rsidR="00502512" w:rsidRPr="00502512" w:rsidRDefault="001B4DF3" w:rsidP="003A5290">
          <w:pPr>
            <w:pStyle w:val="Huisstijl-Kopje"/>
            <w:rPr>
              <w:b w:val="0"/>
            </w:rPr>
          </w:pPr>
          <w:r>
            <w:rPr>
              <w:b w:val="0"/>
            </w:rPr>
            <w:t>DGKE-DE</w:t>
          </w:r>
          <w:r w:rsidRPr="00502512">
            <w:rPr>
              <w:b w:val="0"/>
            </w:rPr>
            <w:t xml:space="preserve"> / </w:t>
          </w:r>
          <w:sdt>
            <w:sdtPr>
              <w:rPr>
                <w:b w:val="0"/>
              </w:rPr>
              <w:alias w:val="documentId"/>
              <w:id w:val="762191242"/>
              <w:placeholder>
                <w:docPart w:val="DefaultPlaceholder_-1854013440"/>
              </w:placeholder>
            </w:sdtPr>
            <w:sdtEndPr/>
            <w:sdtContent>
              <w:r w:rsidRPr="001B4DF3">
                <w:rPr>
                  <w:b w:val="0"/>
                </w:rPr>
                <w:t>96094071</w:t>
              </w:r>
            </w:sdtContent>
          </w:sdt>
        </w:p>
        <w:p w14:paraId="724F0B5A" w14:textId="77777777" w:rsidR="00527BD4" w:rsidRPr="005819CE" w:rsidRDefault="00527BD4" w:rsidP="00361A56">
          <w:pPr>
            <w:pStyle w:val="Huisstijl-Kopje"/>
          </w:pPr>
        </w:p>
      </w:tc>
    </w:tr>
  </w:tbl>
  <w:p w14:paraId="318A8DAC" w14:textId="77777777" w:rsidR="00527BD4" w:rsidRDefault="00527BD4" w:rsidP="008C356D">
    <w:pPr>
      <w:pStyle w:val="Koptekst"/>
      <w:rPr>
        <w:rFonts w:cs="Verdana-Bold"/>
        <w:b/>
        <w:bCs/>
        <w:smallCaps/>
        <w:szCs w:val="18"/>
      </w:rPr>
    </w:pPr>
  </w:p>
  <w:p w14:paraId="2B69BEBA" w14:textId="77777777" w:rsidR="00527BD4" w:rsidRDefault="00527BD4" w:rsidP="008C356D"/>
  <w:p w14:paraId="12C6A4BD" w14:textId="77777777" w:rsidR="00527BD4" w:rsidRPr="00740712" w:rsidRDefault="00527BD4" w:rsidP="008C356D"/>
  <w:p w14:paraId="69AA9EDB" w14:textId="77777777" w:rsidR="00527BD4" w:rsidRPr="00217880" w:rsidRDefault="00527BD4" w:rsidP="008C356D">
    <w:pPr>
      <w:spacing w:line="0" w:lineRule="atLeast"/>
      <w:rPr>
        <w:sz w:val="2"/>
        <w:szCs w:val="2"/>
      </w:rPr>
    </w:pPr>
  </w:p>
  <w:p w14:paraId="519D1A3D" w14:textId="77777777" w:rsidR="00527BD4" w:rsidRDefault="00527BD4" w:rsidP="004F44C2">
    <w:pPr>
      <w:pStyle w:val="Koptekst"/>
      <w:rPr>
        <w:rFonts w:cs="Verdana-Bold"/>
        <w:b/>
        <w:bCs/>
        <w:smallCaps/>
        <w:szCs w:val="18"/>
      </w:rPr>
    </w:pPr>
  </w:p>
  <w:p w14:paraId="13047878" w14:textId="77777777" w:rsidR="00527BD4" w:rsidRDefault="00527BD4" w:rsidP="004F44C2"/>
  <w:p w14:paraId="2D8E530F" w14:textId="77777777" w:rsidR="00527BD4" w:rsidRPr="00740712" w:rsidRDefault="00527BD4" w:rsidP="004F44C2"/>
  <w:p w14:paraId="48153A85"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A622A" w14:paraId="6B1D469D" w14:textId="77777777" w:rsidTr="00751A6A">
      <w:trPr>
        <w:trHeight w:val="2636"/>
      </w:trPr>
      <w:tc>
        <w:tcPr>
          <w:tcW w:w="737" w:type="dxa"/>
          <w:shd w:val="clear" w:color="auto" w:fill="auto"/>
        </w:tcPr>
        <w:p w14:paraId="2D6F848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A3C2834" w14:textId="77777777" w:rsidR="00527BD4" w:rsidRDefault="001B4DF3"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0099AB95" wp14:editId="2258319F">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60DF21B7" w14:textId="77777777" w:rsidR="00F4553F" w:rsidRDefault="00F4553F" w:rsidP="00651CEE">
          <w:pPr>
            <w:framePr w:w="6340" w:h="2750" w:hRule="exact" w:hSpace="180" w:wrap="around" w:vAnchor="page" w:hAnchor="text" w:x="3873" w:y="-140"/>
            <w:spacing w:line="240" w:lineRule="auto"/>
          </w:pPr>
        </w:p>
      </w:tc>
    </w:tr>
  </w:tbl>
  <w:p w14:paraId="5D2AECC5" w14:textId="77777777" w:rsidR="00527BD4" w:rsidRDefault="00527BD4" w:rsidP="00D0609E">
    <w:pPr>
      <w:framePr w:w="6340" w:h="2750" w:hRule="exact" w:hSpace="180" w:wrap="around" w:vAnchor="page" w:hAnchor="text" w:x="3873" w:y="-140"/>
    </w:pPr>
  </w:p>
  <w:p w14:paraId="52CA259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A622A" w14:paraId="7357890F" w14:textId="77777777" w:rsidTr="00A50CF6">
      <w:tc>
        <w:tcPr>
          <w:tcW w:w="2160" w:type="dxa"/>
          <w:shd w:val="clear" w:color="auto" w:fill="auto"/>
        </w:tcPr>
        <w:p w14:paraId="301124DE" w14:textId="77777777" w:rsidR="00527BD4" w:rsidRPr="005819CE" w:rsidRDefault="001B4DF3" w:rsidP="00A50CF6">
          <w:pPr>
            <w:pStyle w:val="Huisstijl-Adres"/>
            <w:rPr>
              <w:b/>
            </w:rPr>
          </w:pPr>
          <w:r>
            <w:rPr>
              <w:b/>
            </w:rPr>
            <w:t>Directoraat-generaal Klimaat en Energie</w:t>
          </w:r>
          <w:r w:rsidRPr="005819CE">
            <w:rPr>
              <w:b/>
            </w:rPr>
            <w:br/>
          </w:r>
          <w:r>
            <w:t>Directie Energiemarkt</w:t>
          </w:r>
        </w:p>
        <w:p w14:paraId="1CC01AAA" w14:textId="77777777" w:rsidR="00527BD4" w:rsidRPr="00BE5ED9" w:rsidRDefault="001B4DF3" w:rsidP="00A50CF6">
          <w:pPr>
            <w:pStyle w:val="Huisstijl-Adres"/>
          </w:pPr>
          <w:r>
            <w:rPr>
              <w:b/>
            </w:rPr>
            <w:t>Bezoekadres</w:t>
          </w:r>
          <w:r>
            <w:rPr>
              <w:b/>
            </w:rPr>
            <w:br/>
          </w:r>
          <w:r>
            <w:t>Bezuidenhoutseweg 73</w:t>
          </w:r>
          <w:r w:rsidRPr="005819CE">
            <w:br/>
          </w:r>
          <w:r>
            <w:t>2594 AC Den Haag</w:t>
          </w:r>
        </w:p>
        <w:p w14:paraId="10CBA036" w14:textId="77777777" w:rsidR="00EF495B" w:rsidRDefault="001B4DF3" w:rsidP="0098788A">
          <w:pPr>
            <w:pStyle w:val="Huisstijl-Adres"/>
          </w:pPr>
          <w:r>
            <w:rPr>
              <w:b/>
            </w:rPr>
            <w:t>Postadres</w:t>
          </w:r>
          <w:r>
            <w:rPr>
              <w:b/>
            </w:rPr>
            <w:br/>
          </w:r>
          <w:r>
            <w:t>Postbus 20401</w:t>
          </w:r>
          <w:r w:rsidRPr="005819CE">
            <w:br/>
            <w:t>2500 E</w:t>
          </w:r>
          <w:r>
            <w:t>K</w:t>
          </w:r>
          <w:r w:rsidRPr="005819CE">
            <w:t xml:space="preserve"> Den Haag</w:t>
          </w:r>
        </w:p>
        <w:p w14:paraId="6ECDF0C9" w14:textId="77777777" w:rsidR="00EF495B" w:rsidRPr="005B3814" w:rsidRDefault="001B4DF3" w:rsidP="0098788A">
          <w:pPr>
            <w:pStyle w:val="Huisstijl-Adres"/>
          </w:pPr>
          <w:r>
            <w:rPr>
              <w:b/>
            </w:rPr>
            <w:t>Overheidsidentificatienr</w:t>
          </w:r>
          <w:r>
            <w:rPr>
              <w:b/>
            </w:rPr>
            <w:br/>
          </w:r>
          <w:r w:rsidR="00F323ED" w:rsidRPr="00F323ED">
            <w:t>00000001003214369000</w:t>
          </w:r>
        </w:p>
        <w:p w14:paraId="6D9B3F8F" w14:textId="77777777" w:rsidR="00EF495B" w:rsidRPr="0079551B" w:rsidRDefault="001B4DF3"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3F53224C" w14:textId="4B9A7984" w:rsidR="00527BD4" w:rsidRPr="005819CE" w:rsidRDefault="00527BD4" w:rsidP="00A50CF6">
          <w:pPr>
            <w:pStyle w:val="Huisstijl-Adres"/>
          </w:pPr>
        </w:p>
      </w:tc>
    </w:tr>
    <w:tr w:rsidR="00DA622A" w14:paraId="1967F250" w14:textId="77777777" w:rsidTr="00A50CF6">
      <w:trPr>
        <w:trHeight w:hRule="exact" w:val="200"/>
      </w:trPr>
      <w:tc>
        <w:tcPr>
          <w:tcW w:w="2160" w:type="dxa"/>
          <w:shd w:val="clear" w:color="auto" w:fill="auto"/>
        </w:tcPr>
        <w:p w14:paraId="00320149" w14:textId="77777777" w:rsidR="00527BD4" w:rsidRPr="005819CE" w:rsidRDefault="00527BD4" w:rsidP="00A50CF6"/>
      </w:tc>
    </w:tr>
    <w:tr w:rsidR="00DA622A" w14:paraId="2287618D" w14:textId="77777777" w:rsidTr="00A50CF6">
      <w:tc>
        <w:tcPr>
          <w:tcW w:w="2160" w:type="dxa"/>
          <w:shd w:val="clear" w:color="auto" w:fill="auto"/>
        </w:tcPr>
        <w:p w14:paraId="43C7A1A8" w14:textId="77777777" w:rsidR="000C0163" w:rsidRPr="005819CE" w:rsidRDefault="001B4DF3" w:rsidP="000C0163">
          <w:pPr>
            <w:pStyle w:val="Huisstijl-Kopje"/>
          </w:pPr>
          <w:r>
            <w:t>Ons kenmerk</w:t>
          </w:r>
          <w:r w:rsidRPr="005819CE">
            <w:t xml:space="preserve"> </w:t>
          </w:r>
        </w:p>
        <w:p w14:paraId="5C9193E3" w14:textId="77777777" w:rsidR="000C0163" w:rsidRPr="005819CE" w:rsidRDefault="001B4DF3" w:rsidP="000C0163">
          <w:pPr>
            <w:pStyle w:val="Huisstijl-Gegeven"/>
          </w:pPr>
          <w:r>
            <w:t>DGKE-DE</w:t>
          </w:r>
          <w:r w:rsidR="00926AE2">
            <w:t xml:space="preserve"> /</w:t>
          </w:r>
          <w:r w:rsidR="00EB4E8D">
            <w:t xml:space="preserve"> </w:t>
          </w:r>
          <w:r>
            <w:t>96094071</w:t>
          </w:r>
        </w:p>
        <w:p w14:paraId="57E3400F" w14:textId="77777777" w:rsidR="00527BD4" w:rsidRPr="005819CE" w:rsidRDefault="001B4DF3" w:rsidP="00A50CF6">
          <w:pPr>
            <w:pStyle w:val="Huisstijl-Kopje"/>
          </w:pPr>
          <w:r>
            <w:t>Uw kenmerk</w:t>
          </w:r>
        </w:p>
        <w:p w14:paraId="441D5C10" w14:textId="77777777" w:rsidR="00527BD4" w:rsidRPr="005819CE" w:rsidRDefault="001B4DF3" w:rsidP="00A50CF6">
          <w:pPr>
            <w:pStyle w:val="Huisstijl-Gegeven"/>
          </w:pPr>
          <w:r>
            <w:t>2024Z20785</w:t>
          </w:r>
        </w:p>
        <w:p w14:paraId="7C2E97ED" w14:textId="77777777" w:rsidR="00527BD4" w:rsidRPr="005819CE" w:rsidRDefault="00527BD4" w:rsidP="00A50CF6">
          <w:pPr>
            <w:pStyle w:val="Huisstijl-Gegeven"/>
          </w:pPr>
        </w:p>
      </w:tc>
    </w:tr>
  </w:tbl>
  <w:p w14:paraId="3EB61AD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A622A" w14:paraId="3EF51014" w14:textId="77777777" w:rsidTr="007610AA">
      <w:trPr>
        <w:trHeight w:val="400"/>
      </w:trPr>
      <w:tc>
        <w:tcPr>
          <w:tcW w:w="7520" w:type="dxa"/>
          <w:gridSpan w:val="2"/>
          <w:shd w:val="clear" w:color="auto" w:fill="auto"/>
        </w:tcPr>
        <w:p w14:paraId="6B3081EB" w14:textId="77777777" w:rsidR="00527BD4" w:rsidRPr="00BC3B53" w:rsidRDefault="001B4DF3" w:rsidP="00A50CF6">
          <w:pPr>
            <w:pStyle w:val="Huisstijl-Retouradres"/>
          </w:pPr>
          <w:r>
            <w:t>&gt; Retouradres Postbus 20401 2500 EK Den Haag</w:t>
          </w:r>
        </w:p>
      </w:tc>
    </w:tr>
    <w:tr w:rsidR="00DA622A" w14:paraId="14A149BA" w14:textId="77777777" w:rsidTr="007610AA">
      <w:tc>
        <w:tcPr>
          <w:tcW w:w="7520" w:type="dxa"/>
          <w:gridSpan w:val="2"/>
          <w:shd w:val="clear" w:color="auto" w:fill="auto"/>
        </w:tcPr>
        <w:p w14:paraId="5A76A4E8" w14:textId="77777777" w:rsidR="00527BD4" w:rsidRPr="00983E8F" w:rsidRDefault="00527BD4" w:rsidP="00A50CF6">
          <w:pPr>
            <w:pStyle w:val="Huisstijl-Rubricering"/>
          </w:pPr>
        </w:p>
      </w:tc>
    </w:tr>
    <w:tr w:rsidR="00DA622A" w14:paraId="5D4C7362" w14:textId="77777777" w:rsidTr="007610AA">
      <w:trPr>
        <w:trHeight w:hRule="exact" w:val="2440"/>
      </w:trPr>
      <w:tc>
        <w:tcPr>
          <w:tcW w:w="7520" w:type="dxa"/>
          <w:gridSpan w:val="2"/>
          <w:shd w:val="clear" w:color="auto" w:fill="auto"/>
        </w:tcPr>
        <w:p w14:paraId="0A961833" w14:textId="77777777" w:rsidR="00527BD4" w:rsidRDefault="001B4DF3" w:rsidP="00A50CF6">
          <w:pPr>
            <w:pStyle w:val="Huisstijl-NAW"/>
          </w:pPr>
          <w:r>
            <w:t xml:space="preserve">De Voorzitter van de Tweede Kamer </w:t>
          </w:r>
        </w:p>
        <w:p w14:paraId="3B2B15C6" w14:textId="77777777" w:rsidR="00D87195" w:rsidRDefault="001B4DF3" w:rsidP="00D87195">
          <w:pPr>
            <w:pStyle w:val="Huisstijl-NAW"/>
          </w:pPr>
          <w:r>
            <w:t>der Staten-Generaal</w:t>
          </w:r>
        </w:p>
        <w:p w14:paraId="7EEF1E13" w14:textId="77777777" w:rsidR="00EA0F13" w:rsidRDefault="001B4DF3" w:rsidP="00EA0F13">
          <w:pPr>
            <w:rPr>
              <w:szCs w:val="18"/>
            </w:rPr>
          </w:pPr>
          <w:r>
            <w:rPr>
              <w:szCs w:val="18"/>
            </w:rPr>
            <w:t>Prinses Irenestraat 6</w:t>
          </w:r>
        </w:p>
        <w:p w14:paraId="3661B43E" w14:textId="77777777" w:rsidR="00985E56" w:rsidRDefault="001B4DF3" w:rsidP="00EA0F13">
          <w:r>
            <w:rPr>
              <w:szCs w:val="18"/>
            </w:rPr>
            <w:t>2595 BD  DEN HAAG</w:t>
          </w:r>
        </w:p>
      </w:tc>
    </w:tr>
    <w:tr w:rsidR="00DA622A" w14:paraId="08F77583" w14:textId="77777777" w:rsidTr="007610AA">
      <w:trPr>
        <w:trHeight w:hRule="exact" w:val="400"/>
      </w:trPr>
      <w:tc>
        <w:tcPr>
          <w:tcW w:w="7520" w:type="dxa"/>
          <w:gridSpan w:val="2"/>
          <w:shd w:val="clear" w:color="auto" w:fill="auto"/>
        </w:tcPr>
        <w:p w14:paraId="58F34DA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A622A" w14:paraId="0DB7514D" w14:textId="77777777" w:rsidTr="007610AA">
      <w:trPr>
        <w:trHeight w:val="240"/>
      </w:trPr>
      <w:tc>
        <w:tcPr>
          <w:tcW w:w="900" w:type="dxa"/>
          <w:shd w:val="clear" w:color="auto" w:fill="auto"/>
        </w:tcPr>
        <w:p w14:paraId="1863D4A5" w14:textId="77777777" w:rsidR="00527BD4" w:rsidRPr="007709EF" w:rsidRDefault="001B4DF3" w:rsidP="00A50CF6">
          <w:pPr>
            <w:rPr>
              <w:szCs w:val="18"/>
            </w:rPr>
          </w:pPr>
          <w:r>
            <w:rPr>
              <w:szCs w:val="18"/>
            </w:rPr>
            <w:t>Datum</w:t>
          </w:r>
        </w:p>
      </w:tc>
      <w:tc>
        <w:tcPr>
          <w:tcW w:w="6620" w:type="dxa"/>
          <w:shd w:val="clear" w:color="auto" w:fill="auto"/>
        </w:tcPr>
        <w:p w14:paraId="48E17E4E" w14:textId="5D3D4ABA" w:rsidR="00527BD4" w:rsidRPr="007709EF" w:rsidRDefault="00C80A64" w:rsidP="00A50CF6">
          <w:r>
            <w:t>20 december 2024</w:t>
          </w:r>
        </w:p>
      </w:tc>
    </w:tr>
    <w:tr w:rsidR="00DA622A" w14:paraId="33F4A786" w14:textId="77777777" w:rsidTr="007610AA">
      <w:trPr>
        <w:trHeight w:val="240"/>
      </w:trPr>
      <w:tc>
        <w:tcPr>
          <w:tcW w:w="900" w:type="dxa"/>
          <w:shd w:val="clear" w:color="auto" w:fill="auto"/>
        </w:tcPr>
        <w:p w14:paraId="4CB6BE14" w14:textId="77777777" w:rsidR="00527BD4" w:rsidRPr="007709EF" w:rsidRDefault="001B4DF3" w:rsidP="00A50CF6">
          <w:pPr>
            <w:rPr>
              <w:szCs w:val="18"/>
            </w:rPr>
          </w:pPr>
          <w:r>
            <w:rPr>
              <w:szCs w:val="18"/>
            </w:rPr>
            <w:t>Betreft</w:t>
          </w:r>
        </w:p>
      </w:tc>
      <w:tc>
        <w:tcPr>
          <w:tcW w:w="6620" w:type="dxa"/>
          <w:shd w:val="clear" w:color="auto" w:fill="auto"/>
        </w:tcPr>
        <w:p w14:paraId="19A6ED92" w14:textId="3D485594" w:rsidR="00527BD4" w:rsidRPr="007709EF" w:rsidRDefault="00A63831" w:rsidP="00A50CF6">
          <w:r>
            <w:t>Beantwoording Kamervragen</w:t>
          </w:r>
          <w:r w:rsidR="001B4DF3">
            <w:t xml:space="preserve"> over de opschaling van groen gas</w:t>
          </w:r>
        </w:p>
      </w:tc>
    </w:tr>
  </w:tbl>
  <w:p w14:paraId="4BCB7CF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DBCE6AE">
      <w:start w:val="1"/>
      <w:numFmt w:val="bullet"/>
      <w:pStyle w:val="Lijstopsomteken"/>
      <w:lvlText w:val="•"/>
      <w:lvlJc w:val="left"/>
      <w:pPr>
        <w:tabs>
          <w:tab w:val="num" w:pos="227"/>
        </w:tabs>
        <w:ind w:left="227" w:hanging="227"/>
      </w:pPr>
      <w:rPr>
        <w:rFonts w:ascii="Verdana" w:hAnsi="Verdana" w:hint="default"/>
        <w:sz w:val="18"/>
        <w:szCs w:val="18"/>
      </w:rPr>
    </w:lvl>
    <w:lvl w:ilvl="1" w:tplc="2C481040" w:tentative="1">
      <w:start w:val="1"/>
      <w:numFmt w:val="bullet"/>
      <w:lvlText w:val="o"/>
      <w:lvlJc w:val="left"/>
      <w:pPr>
        <w:tabs>
          <w:tab w:val="num" w:pos="1440"/>
        </w:tabs>
        <w:ind w:left="1440" w:hanging="360"/>
      </w:pPr>
      <w:rPr>
        <w:rFonts w:ascii="Courier New" w:hAnsi="Courier New" w:cs="Courier New" w:hint="default"/>
      </w:rPr>
    </w:lvl>
    <w:lvl w:ilvl="2" w:tplc="A60497FA" w:tentative="1">
      <w:start w:val="1"/>
      <w:numFmt w:val="bullet"/>
      <w:lvlText w:val=""/>
      <w:lvlJc w:val="left"/>
      <w:pPr>
        <w:tabs>
          <w:tab w:val="num" w:pos="2160"/>
        </w:tabs>
        <w:ind w:left="2160" w:hanging="360"/>
      </w:pPr>
      <w:rPr>
        <w:rFonts w:ascii="Wingdings" w:hAnsi="Wingdings" w:hint="default"/>
      </w:rPr>
    </w:lvl>
    <w:lvl w:ilvl="3" w:tplc="EFDECE76" w:tentative="1">
      <w:start w:val="1"/>
      <w:numFmt w:val="bullet"/>
      <w:lvlText w:val=""/>
      <w:lvlJc w:val="left"/>
      <w:pPr>
        <w:tabs>
          <w:tab w:val="num" w:pos="2880"/>
        </w:tabs>
        <w:ind w:left="2880" w:hanging="360"/>
      </w:pPr>
      <w:rPr>
        <w:rFonts w:ascii="Symbol" w:hAnsi="Symbol" w:hint="default"/>
      </w:rPr>
    </w:lvl>
    <w:lvl w:ilvl="4" w:tplc="3F48FF2A" w:tentative="1">
      <w:start w:val="1"/>
      <w:numFmt w:val="bullet"/>
      <w:lvlText w:val="o"/>
      <w:lvlJc w:val="left"/>
      <w:pPr>
        <w:tabs>
          <w:tab w:val="num" w:pos="3600"/>
        </w:tabs>
        <w:ind w:left="3600" w:hanging="360"/>
      </w:pPr>
      <w:rPr>
        <w:rFonts w:ascii="Courier New" w:hAnsi="Courier New" w:cs="Courier New" w:hint="default"/>
      </w:rPr>
    </w:lvl>
    <w:lvl w:ilvl="5" w:tplc="999A463C" w:tentative="1">
      <w:start w:val="1"/>
      <w:numFmt w:val="bullet"/>
      <w:lvlText w:val=""/>
      <w:lvlJc w:val="left"/>
      <w:pPr>
        <w:tabs>
          <w:tab w:val="num" w:pos="4320"/>
        </w:tabs>
        <w:ind w:left="4320" w:hanging="360"/>
      </w:pPr>
      <w:rPr>
        <w:rFonts w:ascii="Wingdings" w:hAnsi="Wingdings" w:hint="default"/>
      </w:rPr>
    </w:lvl>
    <w:lvl w:ilvl="6" w:tplc="F0EC1B36" w:tentative="1">
      <w:start w:val="1"/>
      <w:numFmt w:val="bullet"/>
      <w:lvlText w:val=""/>
      <w:lvlJc w:val="left"/>
      <w:pPr>
        <w:tabs>
          <w:tab w:val="num" w:pos="5040"/>
        </w:tabs>
        <w:ind w:left="5040" w:hanging="360"/>
      </w:pPr>
      <w:rPr>
        <w:rFonts w:ascii="Symbol" w:hAnsi="Symbol" w:hint="default"/>
      </w:rPr>
    </w:lvl>
    <w:lvl w:ilvl="7" w:tplc="6F8A94B4" w:tentative="1">
      <w:start w:val="1"/>
      <w:numFmt w:val="bullet"/>
      <w:lvlText w:val="o"/>
      <w:lvlJc w:val="left"/>
      <w:pPr>
        <w:tabs>
          <w:tab w:val="num" w:pos="5760"/>
        </w:tabs>
        <w:ind w:left="5760" w:hanging="360"/>
      </w:pPr>
      <w:rPr>
        <w:rFonts w:ascii="Courier New" w:hAnsi="Courier New" w:cs="Courier New" w:hint="default"/>
      </w:rPr>
    </w:lvl>
    <w:lvl w:ilvl="8" w:tplc="2BCA4D6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2D6302A">
      <w:start w:val="1"/>
      <w:numFmt w:val="bullet"/>
      <w:pStyle w:val="Lijstopsomteken2"/>
      <w:lvlText w:val="–"/>
      <w:lvlJc w:val="left"/>
      <w:pPr>
        <w:tabs>
          <w:tab w:val="num" w:pos="227"/>
        </w:tabs>
        <w:ind w:left="227" w:firstLine="0"/>
      </w:pPr>
      <w:rPr>
        <w:rFonts w:ascii="Verdana" w:hAnsi="Verdana" w:hint="default"/>
      </w:rPr>
    </w:lvl>
    <w:lvl w:ilvl="1" w:tplc="40D69E7A" w:tentative="1">
      <w:start w:val="1"/>
      <w:numFmt w:val="bullet"/>
      <w:lvlText w:val="o"/>
      <w:lvlJc w:val="left"/>
      <w:pPr>
        <w:tabs>
          <w:tab w:val="num" w:pos="1440"/>
        </w:tabs>
        <w:ind w:left="1440" w:hanging="360"/>
      </w:pPr>
      <w:rPr>
        <w:rFonts w:ascii="Courier New" w:hAnsi="Courier New" w:cs="Courier New" w:hint="default"/>
      </w:rPr>
    </w:lvl>
    <w:lvl w:ilvl="2" w:tplc="51FEFB72" w:tentative="1">
      <w:start w:val="1"/>
      <w:numFmt w:val="bullet"/>
      <w:lvlText w:val=""/>
      <w:lvlJc w:val="left"/>
      <w:pPr>
        <w:tabs>
          <w:tab w:val="num" w:pos="2160"/>
        </w:tabs>
        <w:ind w:left="2160" w:hanging="360"/>
      </w:pPr>
      <w:rPr>
        <w:rFonts w:ascii="Wingdings" w:hAnsi="Wingdings" w:hint="default"/>
      </w:rPr>
    </w:lvl>
    <w:lvl w:ilvl="3" w:tplc="F00EEB80" w:tentative="1">
      <w:start w:val="1"/>
      <w:numFmt w:val="bullet"/>
      <w:lvlText w:val=""/>
      <w:lvlJc w:val="left"/>
      <w:pPr>
        <w:tabs>
          <w:tab w:val="num" w:pos="2880"/>
        </w:tabs>
        <w:ind w:left="2880" w:hanging="360"/>
      </w:pPr>
      <w:rPr>
        <w:rFonts w:ascii="Symbol" w:hAnsi="Symbol" w:hint="default"/>
      </w:rPr>
    </w:lvl>
    <w:lvl w:ilvl="4" w:tplc="0C9E5454" w:tentative="1">
      <w:start w:val="1"/>
      <w:numFmt w:val="bullet"/>
      <w:lvlText w:val="o"/>
      <w:lvlJc w:val="left"/>
      <w:pPr>
        <w:tabs>
          <w:tab w:val="num" w:pos="3600"/>
        </w:tabs>
        <w:ind w:left="3600" w:hanging="360"/>
      </w:pPr>
      <w:rPr>
        <w:rFonts w:ascii="Courier New" w:hAnsi="Courier New" w:cs="Courier New" w:hint="default"/>
      </w:rPr>
    </w:lvl>
    <w:lvl w:ilvl="5" w:tplc="9CBE9FEC" w:tentative="1">
      <w:start w:val="1"/>
      <w:numFmt w:val="bullet"/>
      <w:lvlText w:val=""/>
      <w:lvlJc w:val="left"/>
      <w:pPr>
        <w:tabs>
          <w:tab w:val="num" w:pos="4320"/>
        </w:tabs>
        <w:ind w:left="4320" w:hanging="360"/>
      </w:pPr>
      <w:rPr>
        <w:rFonts w:ascii="Wingdings" w:hAnsi="Wingdings" w:hint="default"/>
      </w:rPr>
    </w:lvl>
    <w:lvl w:ilvl="6" w:tplc="AA980198" w:tentative="1">
      <w:start w:val="1"/>
      <w:numFmt w:val="bullet"/>
      <w:lvlText w:val=""/>
      <w:lvlJc w:val="left"/>
      <w:pPr>
        <w:tabs>
          <w:tab w:val="num" w:pos="5040"/>
        </w:tabs>
        <w:ind w:left="5040" w:hanging="360"/>
      </w:pPr>
      <w:rPr>
        <w:rFonts w:ascii="Symbol" w:hAnsi="Symbol" w:hint="default"/>
      </w:rPr>
    </w:lvl>
    <w:lvl w:ilvl="7" w:tplc="8870B036" w:tentative="1">
      <w:start w:val="1"/>
      <w:numFmt w:val="bullet"/>
      <w:lvlText w:val="o"/>
      <w:lvlJc w:val="left"/>
      <w:pPr>
        <w:tabs>
          <w:tab w:val="num" w:pos="5760"/>
        </w:tabs>
        <w:ind w:left="5760" w:hanging="360"/>
      </w:pPr>
      <w:rPr>
        <w:rFonts w:ascii="Courier New" w:hAnsi="Courier New" w:cs="Courier New" w:hint="default"/>
      </w:rPr>
    </w:lvl>
    <w:lvl w:ilvl="8" w:tplc="8D2E8AB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62158531">
    <w:abstractNumId w:val="10"/>
  </w:num>
  <w:num w:numId="2" w16cid:durableId="1225990969">
    <w:abstractNumId w:val="7"/>
  </w:num>
  <w:num w:numId="3" w16cid:durableId="945769170">
    <w:abstractNumId w:val="6"/>
  </w:num>
  <w:num w:numId="4" w16cid:durableId="821770744">
    <w:abstractNumId w:val="5"/>
  </w:num>
  <w:num w:numId="5" w16cid:durableId="819612944">
    <w:abstractNumId w:val="4"/>
  </w:num>
  <w:num w:numId="6" w16cid:durableId="1329093319">
    <w:abstractNumId w:val="8"/>
  </w:num>
  <w:num w:numId="7" w16cid:durableId="1972443631">
    <w:abstractNumId w:val="3"/>
  </w:num>
  <w:num w:numId="8" w16cid:durableId="1122697522">
    <w:abstractNumId w:val="2"/>
  </w:num>
  <w:num w:numId="9" w16cid:durableId="468136592">
    <w:abstractNumId w:val="1"/>
  </w:num>
  <w:num w:numId="10" w16cid:durableId="585379556">
    <w:abstractNumId w:val="0"/>
  </w:num>
  <w:num w:numId="11" w16cid:durableId="1425566263">
    <w:abstractNumId w:val="9"/>
  </w:num>
  <w:num w:numId="12" w16cid:durableId="871769036">
    <w:abstractNumId w:val="11"/>
  </w:num>
  <w:num w:numId="13" w16cid:durableId="1283613229">
    <w:abstractNumId w:val="13"/>
  </w:num>
  <w:num w:numId="14" w16cid:durableId="183710734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652D4"/>
    <w:rsid w:val="00071F28"/>
    <w:rsid w:val="00074079"/>
    <w:rsid w:val="00092799"/>
    <w:rsid w:val="00092C5F"/>
    <w:rsid w:val="00096680"/>
    <w:rsid w:val="000A0F36"/>
    <w:rsid w:val="000A174A"/>
    <w:rsid w:val="000A275D"/>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B4DF3"/>
    <w:rsid w:val="001C32EC"/>
    <w:rsid w:val="001C38BD"/>
    <w:rsid w:val="001C4D5A"/>
    <w:rsid w:val="001E34C6"/>
    <w:rsid w:val="001E5581"/>
    <w:rsid w:val="001F3C70"/>
    <w:rsid w:val="00200D88"/>
    <w:rsid w:val="00201F68"/>
    <w:rsid w:val="00212F2A"/>
    <w:rsid w:val="00214F2B"/>
    <w:rsid w:val="00217880"/>
    <w:rsid w:val="00222689"/>
    <w:rsid w:val="00222D66"/>
    <w:rsid w:val="00224A8A"/>
    <w:rsid w:val="00225675"/>
    <w:rsid w:val="002309A8"/>
    <w:rsid w:val="00236CFE"/>
    <w:rsid w:val="002428E3"/>
    <w:rsid w:val="00243031"/>
    <w:rsid w:val="0025042A"/>
    <w:rsid w:val="00260BAF"/>
    <w:rsid w:val="002650F7"/>
    <w:rsid w:val="00273F3B"/>
    <w:rsid w:val="00274DB7"/>
    <w:rsid w:val="002752FA"/>
    <w:rsid w:val="00275984"/>
    <w:rsid w:val="00280F74"/>
    <w:rsid w:val="002822CA"/>
    <w:rsid w:val="00285FFD"/>
    <w:rsid w:val="00286998"/>
    <w:rsid w:val="0029019C"/>
    <w:rsid w:val="00291AB7"/>
    <w:rsid w:val="00292EB2"/>
    <w:rsid w:val="0029422B"/>
    <w:rsid w:val="002A0938"/>
    <w:rsid w:val="002B153C"/>
    <w:rsid w:val="002B52FC"/>
    <w:rsid w:val="002C1E04"/>
    <w:rsid w:val="002C2830"/>
    <w:rsid w:val="002D001A"/>
    <w:rsid w:val="002D28E2"/>
    <w:rsid w:val="002D317B"/>
    <w:rsid w:val="002D3587"/>
    <w:rsid w:val="002D502D"/>
    <w:rsid w:val="002E0F69"/>
    <w:rsid w:val="002E26F7"/>
    <w:rsid w:val="002F5147"/>
    <w:rsid w:val="002F7ABD"/>
    <w:rsid w:val="00312597"/>
    <w:rsid w:val="00312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178F"/>
    <w:rsid w:val="003B3E22"/>
    <w:rsid w:val="003B7EE7"/>
    <w:rsid w:val="003C2CCB"/>
    <w:rsid w:val="003D1726"/>
    <w:rsid w:val="003D39EC"/>
    <w:rsid w:val="003D5DED"/>
    <w:rsid w:val="003E21D7"/>
    <w:rsid w:val="003E3DD5"/>
    <w:rsid w:val="003E4902"/>
    <w:rsid w:val="003F07C6"/>
    <w:rsid w:val="003F1F6B"/>
    <w:rsid w:val="003F3757"/>
    <w:rsid w:val="003F38BD"/>
    <w:rsid w:val="003F44B7"/>
    <w:rsid w:val="003F7685"/>
    <w:rsid w:val="004008E9"/>
    <w:rsid w:val="00413D48"/>
    <w:rsid w:val="00423A19"/>
    <w:rsid w:val="00441AC2"/>
    <w:rsid w:val="0044249B"/>
    <w:rsid w:val="0045023C"/>
    <w:rsid w:val="00451A5B"/>
    <w:rsid w:val="00452BCD"/>
    <w:rsid w:val="00452CEA"/>
    <w:rsid w:val="00455315"/>
    <w:rsid w:val="00463DA5"/>
    <w:rsid w:val="00465B52"/>
    <w:rsid w:val="0046708E"/>
    <w:rsid w:val="00472A65"/>
    <w:rsid w:val="00474463"/>
    <w:rsid w:val="00474B75"/>
    <w:rsid w:val="00483F0B"/>
    <w:rsid w:val="00496319"/>
    <w:rsid w:val="00497279"/>
    <w:rsid w:val="004A163B"/>
    <w:rsid w:val="004A670A"/>
    <w:rsid w:val="004B5465"/>
    <w:rsid w:val="004B70F0"/>
    <w:rsid w:val="004C21A8"/>
    <w:rsid w:val="004C4F26"/>
    <w:rsid w:val="004D0B98"/>
    <w:rsid w:val="004D505E"/>
    <w:rsid w:val="004D72CA"/>
    <w:rsid w:val="004E2242"/>
    <w:rsid w:val="004E505E"/>
    <w:rsid w:val="004F42FF"/>
    <w:rsid w:val="004F44C2"/>
    <w:rsid w:val="00502512"/>
    <w:rsid w:val="00503FD2"/>
    <w:rsid w:val="00505262"/>
    <w:rsid w:val="00513680"/>
    <w:rsid w:val="00516022"/>
    <w:rsid w:val="00521CEE"/>
    <w:rsid w:val="00524FB4"/>
    <w:rsid w:val="00527BD4"/>
    <w:rsid w:val="00537095"/>
    <w:rsid w:val="00537CF2"/>
    <w:rsid w:val="005403C8"/>
    <w:rsid w:val="0054182C"/>
    <w:rsid w:val="005429DC"/>
    <w:rsid w:val="005461DA"/>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53F3A"/>
    <w:rsid w:val="006610E9"/>
    <w:rsid w:val="00661591"/>
    <w:rsid w:val="00664678"/>
    <w:rsid w:val="0066632F"/>
    <w:rsid w:val="00674A89"/>
    <w:rsid w:val="00674F3D"/>
    <w:rsid w:val="00685545"/>
    <w:rsid w:val="006864B3"/>
    <w:rsid w:val="00692D64"/>
    <w:rsid w:val="006A10F8"/>
    <w:rsid w:val="006A2100"/>
    <w:rsid w:val="006A4603"/>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3DA0"/>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A4352"/>
    <w:rsid w:val="007A63F6"/>
    <w:rsid w:val="007B4503"/>
    <w:rsid w:val="007C406E"/>
    <w:rsid w:val="007C5183"/>
    <w:rsid w:val="007C53DC"/>
    <w:rsid w:val="007C7573"/>
    <w:rsid w:val="007D7B38"/>
    <w:rsid w:val="007E2B20"/>
    <w:rsid w:val="007F3645"/>
    <w:rsid w:val="007F439C"/>
    <w:rsid w:val="007F5331"/>
    <w:rsid w:val="00800CCA"/>
    <w:rsid w:val="00806120"/>
    <w:rsid w:val="00806F63"/>
    <w:rsid w:val="00810C93"/>
    <w:rsid w:val="00812028"/>
    <w:rsid w:val="00812DD8"/>
    <w:rsid w:val="00813082"/>
    <w:rsid w:val="00814D03"/>
    <w:rsid w:val="008150AC"/>
    <w:rsid w:val="00820371"/>
    <w:rsid w:val="00821FC1"/>
    <w:rsid w:val="00823AE2"/>
    <w:rsid w:val="0083178B"/>
    <w:rsid w:val="00831EE4"/>
    <w:rsid w:val="00833695"/>
    <w:rsid w:val="008336B7"/>
    <w:rsid w:val="00833A8E"/>
    <w:rsid w:val="00836ACA"/>
    <w:rsid w:val="00842CD8"/>
    <w:rsid w:val="008431FA"/>
    <w:rsid w:val="00847444"/>
    <w:rsid w:val="008517C6"/>
    <w:rsid w:val="00853D14"/>
    <w:rsid w:val="008547BA"/>
    <w:rsid w:val="008553C7"/>
    <w:rsid w:val="00857FEB"/>
    <w:rsid w:val="008601AF"/>
    <w:rsid w:val="008627B6"/>
    <w:rsid w:val="008712B6"/>
    <w:rsid w:val="00872271"/>
    <w:rsid w:val="00876818"/>
    <w:rsid w:val="00881B32"/>
    <w:rsid w:val="00883137"/>
    <w:rsid w:val="008927BD"/>
    <w:rsid w:val="00894A3B"/>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11AA7"/>
    <w:rsid w:val="00923CBD"/>
    <w:rsid w:val="00926AE2"/>
    <w:rsid w:val="00930B13"/>
    <w:rsid w:val="009311C8"/>
    <w:rsid w:val="00933376"/>
    <w:rsid w:val="00933A2F"/>
    <w:rsid w:val="00961241"/>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444D"/>
    <w:rsid w:val="00A056DE"/>
    <w:rsid w:val="00A1247D"/>
    <w:rsid w:val="00A128AD"/>
    <w:rsid w:val="00A16128"/>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831"/>
    <w:rsid w:val="00A63B8C"/>
    <w:rsid w:val="00A715F8"/>
    <w:rsid w:val="00A77F6F"/>
    <w:rsid w:val="00A831FD"/>
    <w:rsid w:val="00A83352"/>
    <w:rsid w:val="00A84CD9"/>
    <w:rsid w:val="00A850A2"/>
    <w:rsid w:val="00A91FA3"/>
    <w:rsid w:val="00A927D3"/>
    <w:rsid w:val="00AA0C1B"/>
    <w:rsid w:val="00AA7FC9"/>
    <w:rsid w:val="00AB237D"/>
    <w:rsid w:val="00AB3271"/>
    <w:rsid w:val="00AB5933"/>
    <w:rsid w:val="00AE013D"/>
    <w:rsid w:val="00AE11B7"/>
    <w:rsid w:val="00AE7F68"/>
    <w:rsid w:val="00AF2321"/>
    <w:rsid w:val="00AF52F6"/>
    <w:rsid w:val="00AF52FD"/>
    <w:rsid w:val="00AF54A8"/>
    <w:rsid w:val="00AF6F0B"/>
    <w:rsid w:val="00AF7237"/>
    <w:rsid w:val="00B0043A"/>
    <w:rsid w:val="00B00D75"/>
    <w:rsid w:val="00B070CB"/>
    <w:rsid w:val="00B12456"/>
    <w:rsid w:val="00B145F0"/>
    <w:rsid w:val="00B23C77"/>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26332"/>
    <w:rsid w:val="00C4015B"/>
    <w:rsid w:val="00C40C60"/>
    <w:rsid w:val="00C435ED"/>
    <w:rsid w:val="00C5258E"/>
    <w:rsid w:val="00C530C9"/>
    <w:rsid w:val="00C619A7"/>
    <w:rsid w:val="00C62A71"/>
    <w:rsid w:val="00C7073F"/>
    <w:rsid w:val="00C73D5F"/>
    <w:rsid w:val="00C80A64"/>
    <w:rsid w:val="00C82AFE"/>
    <w:rsid w:val="00C83DBC"/>
    <w:rsid w:val="00C97C80"/>
    <w:rsid w:val="00CA47D3"/>
    <w:rsid w:val="00CA6533"/>
    <w:rsid w:val="00CA6A25"/>
    <w:rsid w:val="00CA6A3F"/>
    <w:rsid w:val="00CA7C99"/>
    <w:rsid w:val="00CC2982"/>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0D26"/>
    <w:rsid w:val="00D77870"/>
    <w:rsid w:val="00D80977"/>
    <w:rsid w:val="00D80CCE"/>
    <w:rsid w:val="00D86EEA"/>
    <w:rsid w:val="00D87195"/>
    <w:rsid w:val="00D87D03"/>
    <w:rsid w:val="00D9360B"/>
    <w:rsid w:val="00D95C88"/>
    <w:rsid w:val="00D97B2E"/>
    <w:rsid w:val="00DA241E"/>
    <w:rsid w:val="00DA622A"/>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10DC6"/>
    <w:rsid w:val="00E11F8E"/>
    <w:rsid w:val="00E15881"/>
    <w:rsid w:val="00E16A8F"/>
    <w:rsid w:val="00E21586"/>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91679"/>
    <w:rsid w:val="00EA0F13"/>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3963"/>
    <w:rsid w:val="00F07DC4"/>
    <w:rsid w:val="00F11068"/>
    <w:rsid w:val="00F11E7C"/>
    <w:rsid w:val="00F1256D"/>
    <w:rsid w:val="00F13A4E"/>
    <w:rsid w:val="00F172BB"/>
    <w:rsid w:val="00F17B10"/>
    <w:rsid w:val="00F21BEF"/>
    <w:rsid w:val="00F2315B"/>
    <w:rsid w:val="00F304A3"/>
    <w:rsid w:val="00F323ED"/>
    <w:rsid w:val="00F41A6F"/>
    <w:rsid w:val="00F4334B"/>
    <w:rsid w:val="00F4553F"/>
    <w:rsid w:val="00F45A25"/>
    <w:rsid w:val="00F50F86"/>
    <w:rsid w:val="00F53F91"/>
    <w:rsid w:val="00F61569"/>
    <w:rsid w:val="00F61A72"/>
    <w:rsid w:val="00F62B67"/>
    <w:rsid w:val="00F66F13"/>
    <w:rsid w:val="00F74073"/>
    <w:rsid w:val="00F75603"/>
    <w:rsid w:val="00F845B4"/>
    <w:rsid w:val="00F8639C"/>
    <w:rsid w:val="00F8713B"/>
    <w:rsid w:val="00F93F9E"/>
    <w:rsid w:val="00FA2CD7"/>
    <w:rsid w:val="00FB06ED"/>
    <w:rsid w:val="00FB2952"/>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F2501"/>
  <w15:docId w15:val="{3CA0FD87-EFB3-4C6D-A29B-55DFCB61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Revisie">
    <w:name w:val="Revision"/>
    <w:hidden/>
    <w:uiPriority w:val="99"/>
    <w:semiHidden/>
    <w:rsid w:val="00F304A3"/>
    <w:rPr>
      <w:rFonts w:ascii="Verdana" w:hAnsi="Verdana"/>
      <w:sz w:val="18"/>
      <w:szCs w:val="24"/>
      <w:lang w:val="nl-NL" w:eastAsia="nl-NL"/>
    </w:rPr>
  </w:style>
  <w:style w:type="character" w:styleId="Verwijzingopmerking">
    <w:name w:val="annotation reference"/>
    <w:basedOn w:val="Standaardalinea-lettertype"/>
    <w:semiHidden/>
    <w:unhideWhenUsed/>
    <w:rsid w:val="00F304A3"/>
    <w:rPr>
      <w:sz w:val="16"/>
      <w:szCs w:val="16"/>
    </w:rPr>
  </w:style>
  <w:style w:type="paragraph" w:styleId="Tekstopmerking">
    <w:name w:val="annotation text"/>
    <w:basedOn w:val="Standaard"/>
    <w:link w:val="TekstopmerkingChar"/>
    <w:unhideWhenUsed/>
    <w:rsid w:val="00F304A3"/>
    <w:pPr>
      <w:spacing w:line="240" w:lineRule="auto"/>
    </w:pPr>
    <w:rPr>
      <w:sz w:val="20"/>
      <w:szCs w:val="20"/>
    </w:rPr>
  </w:style>
  <w:style w:type="character" w:customStyle="1" w:styleId="TekstopmerkingChar">
    <w:name w:val="Tekst opmerking Char"/>
    <w:basedOn w:val="Standaardalinea-lettertype"/>
    <w:link w:val="Tekstopmerking"/>
    <w:rsid w:val="00F304A3"/>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F304A3"/>
    <w:rPr>
      <w:b/>
      <w:bCs/>
    </w:rPr>
  </w:style>
  <w:style w:type="character" w:customStyle="1" w:styleId="OnderwerpvanopmerkingChar">
    <w:name w:val="Onderwerp van opmerking Char"/>
    <w:basedOn w:val="TekstopmerkingChar"/>
    <w:link w:val="Onderwerpvanopmerking"/>
    <w:semiHidden/>
    <w:rsid w:val="00F304A3"/>
    <w:rPr>
      <w:rFonts w:ascii="Verdana" w:hAnsi="Verdana"/>
      <w:b/>
      <w:bCs/>
      <w:lang w:val="nl-NL" w:eastAsia="nl-NL"/>
    </w:rPr>
  </w:style>
  <w:style w:type="character" w:styleId="Voetnootmarkering">
    <w:name w:val="footnote reference"/>
    <w:basedOn w:val="Standaardalinea-lettertype"/>
    <w:semiHidden/>
    <w:unhideWhenUsed/>
    <w:rsid w:val="002226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5916C6">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A4EF1"/>
    <w:rsid w:val="002752FA"/>
    <w:rsid w:val="003B2694"/>
    <w:rsid w:val="003B3E22"/>
    <w:rsid w:val="003E21D7"/>
    <w:rsid w:val="003F7685"/>
    <w:rsid w:val="004C4F26"/>
    <w:rsid w:val="00513680"/>
    <w:rsid w:val="00537CF2"/>
    <w:rsid w:val="005916C6"/>
    <w:rsid w:val="007A63F6"/>
    <w:rsid w:val="00862D50"/>
    <w:rsid w:val="0088493A"/>
    <w:rsid w:val="008B38B4"/>
    <w:rsid w:val="009810EC"/>
    <w:rsid w:val="00A22FC5"/>
    <w:rsid w:val="00A631DC"/>
    <w:rsid w:val="00B23C77"/>
    <w:rsid w:val="00C62A71"/>
    <w:rsid w:val="00CC2982"/>
    <w:rsid w:val="00D70D26"/>
    <w:rsid w:val="00DC66E7"/>
    <w:rsid w:val="00F4334B"/>
    <w:rsid w:val="00F62289"/>
    <w:rsid w:val="00F925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1150</ap:Words>
  <ap:Characters>6330</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7466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2024-12-20T16:21:00.0000000Z</dcterms:created>
  <dcterms:modified xsi:type="dcterms:W3CDTF">2024-12-20T16:24:00.0000000Z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BrasserK</vt:lpwstr>
  </property>
  <property fmtid="{D5CDD505-2E9C-101B-9397-08002B2CF9AE}" pid="3" name="AUTHOR_ID">
    <vt:lpwstr>BrasserK</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2024Z20785</vt:lpwstr>
  </property>
  <property fmtid="{D5CDD505-2E9C-101B-9397-08002B2CF9AE}" pid="7" name="DOCNAME">
    <vt:lpwstr>Antwoorden op vragen van het lid Erkens (VVD) aan de minister van Klimaat en Groene Groei over de opschaling van groen gas</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BrasserK</vt:lpwstr>
  </property>
</Properties>
</file>