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2025Z00080</w:t>
        <w:br/>
      </w:r>
      <w:proofErr w:type="spellEnd"/>
    </w:p>
    <w:p>
      <w:pPr>
        <w:pStyle w:val="Normal"/>
        <w:rPr>
          <w:b w:val="1"/>
          <w:bCs w:val="1"/>
        </w:rPr>
      </w:pPr>
      <w:r w:rsidR="250AE766">
        <w:rPr>
          <w:b w:val="0"/>
          <w:bCs w:val="0"/>
        </w:rPr>
        <w:t>(ingezonden 8 januari 2025)</w:t>
        <w:br/>
      </w:r>
    </w:p>
    <w:p>
      <w:r>
        <w:t xml:space="preserve">Vragen van de leden Kisteman en Van Eijk (beiden VVD) aan de minister van Economische Zaken en de staatssecretaris van Financiën over de Bijzonder Beheer Barometer van PwC</w:t>
      </w:r>
      <w:r>
        <w:br/>
      </w:r>
    </w:p>
    <w:p>
      <w:pPr>
        <w:pStyle w:val="ListParagraph"/>
        <w:numPr>
          <w:ilvl w:val="0"/>
          <w:numId w:val="100464560"/>
        </w:numPr>
        <w:ind w:left="360"/>
      </w:pPr>
      <w:r>
        <w:t>Bent u bekend met de Bijzonder Beheer Barometer van PwC? 1)</w:t>
      </w:r>
      <w:r>
        <w:br/>
      </w:r>
    </w:p>
    <w:p>
      <w:pPr>
        <w:pStyle w:val="ListParagraph"/>
        <w:numPr>
          <w:ilvl w:val="0"/>
          <w:numId w:val="100464560"/>
        </w:numPr>
        <w:ind w:left="360"/>
      </w:pPr>
      <w:r>
        <w:t>Hoe gaat u ervoor zorgen dat winkelstraten levendig blijven, terwijl er een gezonde prikkel behouden blijft voor bedrijven om in te spelen op veranderingen?</w:t>
      </w:r>
      <w:r>
        <w:br/>
      </w:r>
    </w:p>
    <w:p>
      <w:pPr>
        <w:pStyle w:val="ListParagraph"/>
        <w:numPr>
          <w:ilvl w:val="0"/>
          <w:numId w:val="100464560"/>
        </w:numPr>
        <w:ind w:left="360"/>
      </w:pPr>
      <w:r>
        <w:t>Deelt u de mening dat in dit kader een voortzetting van de Impulsaanpak Winkelgebieden zou helpen? Zo ja, hoe gaat u er dan voor zorgen dat deze regeling behouden blijft?</w:t>
      </w:r>
      <w:r>
        <w:br/>
      </w:r>
    </w:p>
    <w:p>
      <w:pPr>
        <w:pStyle w:val="ListParagraph"/>
        <w:numPr>
          <w:ilvl w:val="0"/>
          <w:numId w:val="100464560"/>
        </w:numPr>
        <w:ind w:left="360"/>
      </w:pPr>
      <w:r>
        <w:t>Deelt u de constatering in de PwC barometer dat deze laatste eis voor grote bedrijven vaak niet uitvoerbaar is, omdat grote bedrijven dan vaak tot overeenstemming moeten komen met soms wel honderden schuldeisers?</w:t>
      </w:r>
      <w:r>
        <w:br/>
      </w:r>
    </w:p>
    <w:p>
      <w:pPr>
        <w:pStyle w:val="ListParagraph"/>
        <w:numPr>
          <w:ilvl w:val="0"/>
          <w:numId w:val="100464560"/>
        </w:numPr>
        <w:ind w:left="360"/>
      </w:pPr>
      <w:r>
        <w:t>Deelt u de mening dat deze eis van de Belastingdienst temeer onuitvoerbaar is voor bedrijven omdat het informeren van vele schuldeisers de onrust onder schuldeisers kan aanwakkeren en daarom de financiële situatie van het anders levensvatbare bedrijf verder kan doen laten verslechteren?</w:t>
      </w:r>
      <w:r>
        <w:br/>
      </w:r>
    </w:p>
    <w:p>
      <w:pPr>
        <w:pStyle w:val="ListParagraph"/>
        <w:numPr>
          <w:ilvl w:val="0"/>
          <w:numId w:val="100464560"/>
        </w:numPr>
        <w:ind w:left="360"/>
      </w:pPr>
      <w:r>
        <w:t>Indien bevestigend beantwoord bij vraag 3 en 4, ziet u reden tot aanpassing van de Wet Homologatie Onderhands Akkoord (WHOA), waarin deze eis van de Belastingdienst wordt geregeld?</w:t>
      </w:r>
      <w:r>
        <w:br/>
      </w:r>
    </w:p>
    <w:p>
      <w:pPr>
        <w:pStyle w:val="ListParagraph"/>
        <w:numPr>
          <w:ilvl w:val="0"/>
          <w:numId w:val="100464560"/>
        </w:numPr>
        <w:ind w:left="360"/>
      </w:pPr>
      <w:r>
        <w:t>Deelt u de constatering uit de PwC barometer dat deze eis al snel resulteert in een hogere betalingsverplichting over die twaalf maanden dan zonder sanering, waardoor deze eis van de Belastingdienst eveneens onuitvoerbaar is voor veel bedrijven? Zo ja, ziet u reden tot aanpassing van deze voorwaarde van de Belastingdienst?</w:t>
      </w:r>
      <w:r>
        <w:br/>
      </w:r>
    </w:p>
    <w:p>
      <w:pPr>
        <w:pStyle w:val="ListParagraph"/>
        <w:numPr>
          <w:ilvl w:val="0"/>
          <w:numId w:val="100464560"/>
        </w:numPr>
        <w:ind w:left="360"/>
      </w:pPr>
      <w:r>
        <w:t>Kunt u deze vragen beantwoorden vóór 20 februari 2025, zodat de beantwoording kan worden betrokken bij het commissiedebat Belastingdienst?  </w:t>
      </w:r>
      <w:r>
        <w:br/>
      </w:r>
    </w:p>
    <w:p>
      <w:r>
        <w:t xml:space="preserve"> </w:t>
      </w:r>
      <w:r>
        <w:br/>
      </w:r>
    </w:p>
    <w:p>
      <w:r>
        <w:t xml:space="preserve">1) PwC, 23 december 2024 (https://www.pwc.nl/nl/actueel-en-publicaties/diensten-en-sectoren/deals/faillissementen-nemen-nog-steeds-toe-door-coronaschulden.html)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