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53979" w:rsidP="00753979" w:rsidRDefault="00753979" w14:paraId="64B6B829" w14:textId="66D51B97">
      <w:pPr>
        <w:spacing w:after="0"/>
        <w:rPr>
          <w:b/>
          <w:color w:val="000000" w:themeColor="text1"/>
          <w:lang w:val="en-US"/>
        </w:rPr>
      </w:pPr>
      <w:r>
        <w:rPr>
          <w:b/>
          <w:color w:val="000000" w:themeColor="text1"/>
          <w:lang w:val="en-US"/>
        </w:rPr>
        <w:t>AH 982</w:t>
      </w:r>
    </w:p>
    <w:p w:rsidR="00753979" w:rsidP="00753979" w:rsidRDefault="00753979" w14:paraId="4DFB186B" w14:textId="77777777">
      <w:pPr>
        <w:spacing w:after="0"/>
        <w:rPr>
          <w:b/>
          <w:color w:val="000000" w:themeColor="text1"/>
          <w:lang w:val="en-US"/>
        </w:rPr>
      </w:pPr>
    </w:p>
    <w:p w:rsidR="00753979" w:rsidP="00753979" w:rsidRDefault="00753979" w14:paraId="06E2A0C6" w14:textId="77777777">
      <w:pPr>
        <w:spacing w:after="0"/>
        <w:rPr>
          <w:b/>
          <w:color w:val="000000" w:themeColor="text1"/>
        </w:rPr>
      </w:pPr>
      <w:r w:rsidRPr="00753979">
        <w:rPr>
          <w:b/>
          <w:color w:val="000000" w:themeColor="text1"/>
        </w:rPr>
        <w:t>2024Z15625</w:t>
      </w:r>
    </w:p>
    <w:p w:rsidRPr="00753979" w:rsidR="00753979" w:rsidP="00753979" w:rsidRDefault="00753979" w14:paraId="42467BD2" w14:textId="77777777">
      <w:pPr>
        <w:spacing w:after="0"/>
        <w:rPr>
          <w:b/>
          <w:color w:val="000000" w:themeColor="text1"/>
        </w:rPr>
      </w:pPr>
    </w:p>
    <w:p w:rsidR="00753979" w:rsidP="00753979" w:rsidRDefault="00753979" w14:paraId="46FC3A2E" w14:textId="534FD64A">
      <w:pPr>
        <w:rPr>
          <w:b/>
          <w:color w:val="000000" w:themeColor="text1"/>
          <w:sz w:val="24"/>
          <w:szCs w:val="24"/>
        </w:rPr>
      </w:pPr>
      <w:r w:rsidRPr="00753979">
        <w:rPr>
          <w:b/>
          <w:color w:val="000000" w:themeColor="text1"/>
          <w:sz w:val="24"/>
          <w:szCs w:val="24"/>
        </w:rPr>
        <w:t>Antwoord van minister Brekelmans (Defensie)</w:t>
      </w:r>
      <w:r>
        <w:rPr>
          <w:b/>
          <w:color w:val="000000" w:themeColor="text1"/>
          <w:sz w:val="24"/>
          <w:szCs w:val="24"/>
        </w:rPr>
        <w:t xml:space="preserve">, mede namens de </w:t>
      </w:r>
      <w:r w:rsidRPr="007D78AD">
        <w:rPr>
          <w:rFonts w:ascii="Times New Roman" w:hAnsi="Times New Roman"/>
          <w:sz w:val="24"/>
        </w:rPr>
        <w:t>staatssecretaris van Defensie</w:t>
      </w:r>
      <w:r w:rsidRPr="00753979">
        <w:rPr>
          <w:b/>
          <w:color w:val="000000" w:themeColor="text1"/>
          <w:sz w:val="24"/>
          <w:szCs w:val="24"/>
        </w:rPr>
        <w:t xml:space="preserve"> (ontvangen </w:t>
      </w:r>
      <w:r>
        <w:rPr>
          <w:b/>
          <w:color w:val="000000" w:themeColor="text1"/>
          <w:sz w:val="24"/>
          <w:szCs w:val="24"/>
        </w:rPr>
        <w:t>8 januari 2025)</w:t>
      </w:r>
    </w:p>
    <w:p w:rsidRPr="00753979" w:rsidR="00753979" w:rsidP="00753979" w:rsidRDefault="00753979" w14:paraId="03F9EE76" w14:textId="77EF4145">
      <w:pPr>
        <w:rPr>
          <w:rFonts w:ascii="Arial" w:hAnsi="Arial" w:cs="Arial"/>
          <w:color w:val="000000"/>
          <w:sz w:val="24"/>
          <w:szCs w:val="24"/>
        </w:rPr>
      </w:pPr>
      <w:r w:rsidRPr="00753979">
        <w:rPr>
          <w:b/>
          <w:color w:val="000000" w:themeColor="text1"/>
          <w:sz w:val="24"/>
          <w:szCs w:val="24"/>
        </w:rPr>
        <w:t>Zie ook Aanhangsel Handelingen, vergaderjaar 2024-2025, nr.</w:t>
      </w:r>
      <w:r>
        <w:rPr>
          <w:b/>
          <w:color w:val="000000" w:themeColor="text1"/>
          <w:sz w:val="24"/>
          <w:szCs w:val="24"/>
        </w:rPr>
        <w:t xml:space="preserve"> 237</w:t>
      </w:r>
    </w:p>
    <w:p w:rsidR="00753979" w:rsidP="00753979" w:rsidRDefault="00753979" w14:paraId="1A406D2C" w14:textId="77777777">
      <w:pPr>
        <w:spacing w:after="0"/>
        <w:rPr>
          <w:b/>
          <w:color w:val="000000" w:themeColor="text1"/>
          <w:sz w:val="24"/>
          <w:szCs w:val="24"/>
        </w:rPr>
      </w:pPr>
    </w:p>
    <w:p w:rsidRPr="00753979" w:rsidR="00753979" w:rsidP="00753979" w:rsidRDefault="00753979" w14:paraId="10A3AD02" w14:textId="5550DD23">
      <w:pPr>
        <w:spacing w:after="0"/>
        <w:rPr>
          <w:b/>
          <w:color w:val="000000" w:themeColor="text1"/>
        </w:rPr>
      </w:pPr>
      <w:r w:rsidRPr="00753979">
        <w:rPr>
          <w:b/>
          <w:color w:val="000000" w:themeColor="text1"/>
        </w:rPr>
        <w:t>Vraag 1</w:t>
      </w:r>
    </w:p>
    <w:p w:rsidR="00753979" w:rsidP="00753979" w:rsidRDefault="00753979" w14:paraId="7230F107" w14:textId="77777777">
      <w:pPr>
        <w:spacing w:after="0"/>
        <w:rPr>
          <w:b/>
          <w:color w:val="000000" w:themeColor="text1"/>
        </w:rPr>
      </w:pPr>
      <w:r>
        <w:rPr>
          <w:b/>
          <w:color w:val="000000" w:themeColor="text1"/>
          <w:lang w:val="en-US"/>
        </w:rPr>
        <w:t xml:space="preserve">Bent u </w:t>
      </w:r>
      <w:proofErr w:type="spellStart"/>
      <w:r>
        <w:rPr>
          <w:b/>
          <w:color w:val="000000" w:themeColor="text1"/>
          <w:lang w:val="en-US"/>
        </w:rPr>
        <w:t>bekend</w:t>
      </w:r>
      <w:proofErr w:type="spellEnd"/>
      <w:r>
        <w:rPr>
          <w:b/>
          <w:color w:val="000000" w:themeColor="text1"/>
          <w:lang w:val="en-US"/>
        </w:rPr>
        <w:t xml:space="preserve"> met het </w:t>
      </w:r>
      <w:proofErr w:type="spellStart"/>
      <w:r>
        <w:rPr>
          <w:b/>
          <w:color w:val="000000" w:themeColor="text1"/>
          <w:lang w:val="en-US"/>
        </w:rPr>
        <w:t>bericht</w:t>
      </w:r>
      <w:proofErr w:type="spellEnd"/>
      <w:r>
        <w:rPr>
          <w:b/>
          <w:color w:val="000000" w:themeColor="text1"/>
          <w:lang w:val="en-US"/>
        </w:rPr>
        <w:t xml:space="preserve"> 'Former Armed Forces personnel training foreign militaries could be prosecuted under National Security Act'?</w:t>
      </w:r>
      <w:r>
        <w:rPr>
          <w:rStyle w:val="Voetnootmarkering"/>
          <w:b/>
          <w:color w:val="000000" w:themeColor="text1"/>
        </w:rPr>
        <w:footnoteReference w:id="1"/>
      </w:r>
      <w:r>
        <w:rPr>
          <w:color w:val="000000" w:themeColor="text1"/>
          <w:lang w:val="en-US"/>
        </w:rPr>
        <w:br/>
      </w:r>
      <w:r>
        <w:rPr>
          <w:color w:val="000000" w:themeColor="text1"/>
          <w:lang w:val="en-US"/>
        </w:rPr>
        <w:br/>
      </w:r>
      <w:r>
        <w:rPr>
          <w:color w:val="000000" w:themeColor="text1"/>
        </w:rPr>
        <w:t>Antwoord vraag 1</w:t>
      </w:r>
    </w:p>
    <w:p w:rsidR="00753979" w:rsidP="00753979" w:rsidRDefault="00753979" w14:paraId="5A9B886F" w14:textId="77777777">
      <w:pPr>
        <w:spacing w:after="0"/>
        <w:rPr>
          <w:color w:val="000000" w:themeColor="text1"/>
        </w:rPr>
      </w:pPr>
      <w:r>
        <w:rPr>
          <w:color w:val="000000" w:themeColor="text1"/>
        </w:rPr>
        <w:t xml:space="preserve">Ja. Zeker omdat de beschreven veiligheidsrisico’s ook voor Nederland </w:t>
      </w:r>
      <w:r w:rsidRPr="00BC3EF1">
        <w:rPr>
          <w:color w:val="000000" w:themeColor="text1"/>
        </w:rPr>
        <w:t xml:space="preserve">zouden kunnen </w:t>
      </w:r>
      <w:r>
        <w:rPr>
          <w:color w:val="000000" w:themeColor="text1"/>
        </w:rPr>
        <w:t>gelden. Het mitigeren van deze risico’s vinden wij van groot belang. In antwoord op onderstaande vragen, lichten wij toe hoe dat gebeurt, zowel met behulp van eigen regelgeving en werkwijzen als via het strafrecht bij vermoedelijke overtredingen.</w:t>
      </w:r>
    </w:p>
    <w:p w:rsidR="00753979" w:rsidP="00753979" w:rsidRDefault="00753979" w14:paraId="1BCE03EF" w14:textId="77777777">
      <w:pPr>
        <w:spacing w:after="0"/>
        <w:rPr>
          <w:color w:val="000000" w:themeColor="text1"/>
        </w:rPr>
      </w:pPr>
    </w:p>
    <w:p w:rsidR="00753979" w:rsidP="00753979" w:rsidRDefault="00753979" w14:paraId="4979BA18" w14:textId="77777777">
      <w:pPr>
        <w:spacing w:after="0"/>
        <w:rPr>
          <w:color w:val="000000" w:themeColor="text1"/>
        </w:rPr>
      </w:pPr>
    </w:p>
    <w:p w:rsidR="00753979" w:rsidP="00753979" w:rsidRDefault="00753979" w14:paraId="5DE5157D" w14:textId="77777777">
      <w:pPr>
        <w:spacing w:after="0"/>
        <w:rPr>
          <w:b/>
          <w:color w:val="000000" w:themeColor="text1"/>
        </w:rPr>
      </w:pPr>
      <w:r>
        <w:rPr>
          <w:b/>
          <w:color w:val="000000" w:themeColor="text1"/>
        </w:rPr>
        <w:t>Vraag 2</w:t>
      </w:r>
    </w:p>
    <w:p w:rsidR="00753979" w:rsidP="00753979" w:rsidRDefault="00753979" w14:paraId="38765665" w14:textId="3913019E">
      <w:pPr>
        <w:spacing w:after="0"/>
        <w:rPr>
          <w:b/>
          <w:color w:val="000000" w:themeColor="text1"/>
        </w:rPr>
      </w:pPr>
      <w:r>
        <w:rPr>
          <w:b/>
          <w:color w:val="000000" w:themeColor="text1"/>
        </w:rPr>
        <w:t xml:space="preserve">Bent u bereid met het Britse ministerie van Defensie in contact te treden om te informeren welke vormen van training geven precies strafbaar zijn gesteld onder de nieuwe </w:t>
      </w:r>
      <w:r>
        <w:rPr>
          <w:b/>
          <w:i/>
          <w:color w:val="000000" w:themeColor="text1"/>
        </w:rPr>
        <w:t>National Security Act</w:t>
      </w:r>
      <w:r>
        <w:rPr>
          <w:b/>
          <w:color w:val="000000" w:themeColor="text1"/>
        </w:rPr>
        <w:t>?</w:t>
      </w:r>
    </w:p>
    <w:p w:rsidR="00753979" w:rsidP="00753979" w:rsidRDefault="00753979" w14:paraId="2EDD2F71" w14:textId="77777777">
      <w:pPr>
        <w:spacing w:after="0"/>
        <w:rPr>
          <w:color w:val="000000" w:themeColor="text1"/>
        </w:rPr>
      </w:pPr>
    </w:p>
    <w:p w:rsidR="00753979" w:rsidP="00753979" w:rsidRDefault="00753979" w14:paraId="7671D837" w14:textId="77777777">
      <w:pPr>
        <w:spacing w:after="0"/>
        <w:rPr>
          <w:b/>
          <w:color w:val="000000" w:themeColor="text1"/>
        </w:rPr>
      </w:pPr>
      <w:r>
        <w:rPr>
          <w:b/>
          <w:color w:val="000000" w:themeColor="text1"/>
        </w:rPr>
        <w:t>Vraag 3</w:t>
      </w:r>
    </w:p>
    <w:p w:rsidR="00753979" w:rsidP="00753979" w:rsidRDefault="00753979" w14:paraId="0880B1D7" w14:textId="77777777">
      <w:pPr>
        <w:spacing w:after="0"/>
        <w:rPr>
          <w:b/>
          <w:color w:val="000000" w:themeColor="text1"/>
        </w:rPr>
      </w:pPr>
      <w:r>
        <w:rPr>
          <w:b/>
          <w:color w:val="000000" w:themeColor="text1"/>
        </w:rPr>
        <w:t>Kunt u deze bevindingen met de Kamer delen?</w:t>
      </w:r>
    </w:p>
    <w:p w:rsidR="00753979" w:rsidP="00753979" w:rsidRDefault="00753979" w14:paraId="4C334252" w14:textId="77777777">
      <w:pPr>
        <w:spacing w:after="0"/>
        <w:rPr>
          <w:color w:val="000000" w:themeColor="text1"/>
        </w:rPr>
      </w:pPr>
    </w:p>
    <w:p w:rsidR="00753979" w:rsidP="00753979" w:rsidRDefault="00753979" w14:paraId="65842CFD" w14:textId="77777777">
      <w:pPr>
        <w:spacing w:after="0"/>
        <w:rPr>
          <w:color w:val="000000" w:themeColor="text1"/>
        </w:rPr>
      </w:pPr>
      <w:r>
        <w:rPr>
          <w:color w:val="000000" w:themeColor="text1"/>
        </w:rPr>
        <w:t>Antwoord vraag 2 en 3</w:t>
      </w:r>
    </w:p>
    <w:p w:rsidR="00753979" w:rsidP="00753979" w:rsidRDefault="00753979" w14:paraId="1ABEC0A7" w14:textId="77777777">
      <w:pPr>
        <w:spacing w:after="0"/>
        <w:rPr>
          <w:color w:val="000000" w:themeColor="text1"/>
        </w:rPr>
      </w:pPr>
      <w:r>
        <w:rPr>
          <w:color w:val="000000" w:themeColor="text1"/>
        </w:rPr>
        <w:t xml:space="preserve">Ja, er is contact geweest met het Britse ministerie van Defensie en de uitkomsten daarvan zijn meegenomen in de eigen onderzoeken naar mogelijk aanvullende maatregelen (zie hiervoor het antwoord op vraag 10 en 11). De National Security Act heeft de bepalingen van de Official </w:t>
      </w:r>
      <w:proofErr w:type="spellStart"/>
      <w:r>
        <w:rPr>
          <w:color w:val="000000" w:themeColor="text1"/>
        </w:rPr>
        <w:t>Secrets</w:t>
      </w:r>
      <w:proofErr w:type="spellEnd"/>
      <w:r>
        <w:rPr>
          <w:color w:val="000000" w:themeColor="text1"/>
        </w:rPr>
        <w:t xml:space="preserve"> Act gemoderniseerd. Daarbij zijn tevens een aantal specifieke strafbare feiten geïntroduceerd die zien op handelingen ten gunste, ten behoeve of in opdracht van een buitenlandse mogendheid. Die feiten bestaan bijvoorbeeld uit het voor, namens of in het belang van een vreemde mogendheid verschaffen van beschermde informatie of commercieel vertrouwelijke informatie. Tevens is het faciliteren of assisteren van een buitenlandse inlichtingendienst strafbaar gesteld als dat handelen ten nadele is van de Britse nationale veiligheid.</w:t>
      </w:r>
    </w:p>
    <w:p w:rsidR="00753979" w:rsidP="00753979" w:rsidRDefault="00753979" w14:paraId="22F178DF" w14:textId="77777777">
      <w:pPr>
        <w:spacing w:after="0"/>
        <w:rPr>
          <w:color w:val="000000" w:themeColor="text1"/>
        </w:rPr>
      </w:pPr>
    </w:p>
    <w:p w:rsidR="00753979" w:rsidP="00753979" w:rsidRDefault="00753979" w14:paraId="24B6D150" w14:textId="77777777">
      <w:pPr>
        <w:spacing w:after="0"/>
        <w:rPr>
          <w:b/>
          <w:color w:val="000000" w:themeColor="text1"/>
        </w:rPr>
      </w:pPr>
      <w:r>
        <w:rPr>
          <w:b/>
          <w:color w:val="000000" w:themeColor="text1"/>
        </w:rPr>
        <w:t>Vraag 4</w:t>
      </w:r>
    </w:p>
    <w:p w:rsidR="00753979" w:rsidP="00753979" w:rsidRDefault="00753979" w14:paraId="1488BCC9" w14:textId="77777777">
      <w:pPr>
        <w:spacing w:after="0"/>
        <w:rPr>
          <w:b/>
          <w:color w:val="000000" w:themeColor="text1"/>
        </w:rPr>
      </w:pPr>
      <w:r>
        <w:rPr>
          <w:b/>
          <w:color w:val="000000" w:themeColor="text1"/>
        </w:rPr>
        <w:lastRenderedPageBreak/>
        <w:t>In hoeverre verschilt de reikwijdte van de aangescherpte Britse strafbaarstelling van wat in Nederland strafbaar is als het delen van gerubriceerde informatie zoals beschreven in Kamerstuk 36200 X, nr. 88?</w:t>
      </w:r>
    </w:p>
    <w:p w:rsidR="00753979" w:rsidP="00753979" w:rsidRDefault="00753979" w14:paraId="5CBF32E0" w14:textId="77777777">
      <w:pPr>
        <w:spacing w:after="0"/>
        <w:rPr>
          <w:color w:val="000000" w:themeColor="text1"/>
        </w:rPr>
      </w:pPr>
    </w:p>
    <w:p w:rsidR="00753979" w:rsidP="00753979" w:rsidRDefault="00753979" w14:paraId="2E0F9CA2" w14:textId="77777777">
      <w:pPr>
        <w:spacing w:after="0"/>
        <w:rPr>
          <w:color w:val="000000" w:themeColor="text1"/>
        </w:rPr>
      </w:pPr>
      <w:r>
        <w:rPr>
          <w:color w:val="000000" w:themeColor="text1"/>
        </w:rPr>
        <w:t>Antwoord vraag 4</w:t>
      </w:r>
    </w:p>
    <w:p w:rsidR="00753979" w:rsidP="00753979" w:rsidRDefault="00753979" w14:paraId="27F8C3DA" w14:textId="77777777">
      <w:pPr>
        <w:spacing w:after="0"/>
        <w:rPr>
          <w:color w:val="000000" w:themeColor="text1"/>
        </w:rPr>
      </w:pPr>
      <w:r>
        <w:rPr>
          <w:color w:val="000000" w:themeColor="text1"/>
        </w:rPr>
        <w:t>Het zo veel als mogelijk beperken van de genoemde risico’s heeft in beide landen hetzelfde grote belang. Het is echter lastig om buitenlandse en Nederlandse wetgeving te vergelijken. Zo verschilt het Britse strafrecht van het Nederlandse en zijn ook de algemene beginselen van beide rechtsstelsels verschillend. Met inachtneming daarvan is de aangescherpte Britse strafbaarstelling in de praktijk vergelijkbaar met de huidige Nederlandse strafbaarstelling. De reikwijdte van de Britse en Nederlandse strafbaarstelling zijn niet aantoonbaar verschillend in materi</w:t>
      </w:r>
      <w:r w:rsidRPr="00BC3EF1">
        <w:rPr>
          <w:color w:val="000000" w:themeColor="text1"/>
        </w:rPr>
        <w:t>ë</w:t>
      </w:r>
      <w:r>
        <w:rPr>
          <w:color w:val="000000" w:themeColor="text1"/>
        </w:rPr>
        <w:t>le zin. De ongewenste activiteiten zijn in beide landen in vergelijkbare mate strafbaar binnen de specifieke context van de beide rechtsstelsels.</w:t>
      </w:r>
      <w:r>
        <w:t xml:space="preserve"> </w:t>
      </w:r>
      <w:r>
        <w:rPr>
          <w:color w:val="000000" w:themeColor="text1"/>
        </w:rPr>
        <w:t>De nadruk ligt daarbij in Nederland op de inhoud van de informatie en niet op de vorm, zoals bijvoorbeeld een training. In het Nederlandse strafrecht valt overigens niet alleen gerubriceerde informatie onder de geheimhoudingsplicht, maar nadrukkelijk ook informatie waarvan in redelijkheid vermoed kan worden dat het vertrouwelijk is.</w:t>
      </w:r>
    </w:p>
    <w:p w:rsidR="00753979" w:rsidP="00753979" w:rsidRDefault="00753979" w14:paraId="0D7E433D" w14:textId="77777777">
      <w:pPr>
        <w:spacing w:after="0"/>
        <w:rPr>
          <w:color w:val="000000" w:themeColor="text1"/>
        </w:rPr>
      </w:pPr>
    </w:p>
    <w:p w:rsidR="00753979" w:rsidP="00753979" w:rsidRDefault="00753979" w14:paraId="3FE621C0" w14:textId="77777777">
      <w:pPr>
        <w:spacing w:after="0"/>
        <w:rPr>
          <w:color w:val="000000" w:themeColor="text1"/>
        </w:rPr>
      </w:pPr>
      <w:r>
        <w:rPr>
          <w:color w:val="000000" w:themeColor="text1"/>
        </w:rPr>
        <w:t>Het vorige kabinet heeft wel met een aanvulling op het Wetboek van Strafrecht de strafbaarheid van spionageactiviteiten uitgebreid. Uw Kamer stemde daarmee in op 14 mei jl. en deze ligt momenteel voor in de Eerste Kamer. Deze wetsaanpassing biedt echter geen direct aanknopingspunt voor de door u genoemde zeer ernstige incidenten die grote risico’s voor de staatsveiligheid met zich meebrengen.</w:t>
      </w:r>
    </w:p>
    <w:p w:rsidR="00753979" w:rsidP="00753979" w:rsidRDefault="00753979" w14:paraId="7AA98B21" w14:textId="77777777">
      <w:pPr>
        <w:spacing w:after="0"/>
        <w:rPr>
          <w:b/>
          <w:color w:val="000000" w:themeColor="text1"/>
        </w:rPr>
      </w:pPr>
    </w:p>
    <w:p w:rsidR="00753979" w:rsidP="00753979" w:rsidRDefault="00753979" w14:paraId="554B5CA9" w14:textId="77777777">
      <w:pPr>
        <w:spacing w:after="0"/>
        <w:rPr>
          <w:b/>
          <w:color w:val="000000" w:themeColor="text1"/>
        </w:rPr>
      </w:pPr>
      <w:r>
        <w:rPr>
          <w:b/>
          <w:color w:val="000000" w:themeColor="text1"/>
        </w:rPr>
        <w:t xml:space="preserve">Vraag 5 </w:t>
      </w:r>
    </w:p>
    <w:p w:rsidR="00753979" w:rsidP="00753979" w:rsidRDefault="00753979" w14:paraId="472E99FC" w14:textId="77777777">
      <w:pPr>
        <w:spacing w:after="0"/>
        <w:rPr>
          <w:b/>
          <w:color w:val="000000" w:themeColor="text1"/>
        </w:rPr>
      </w:pPr>
      <w:r>
        <w:rPr>
          <w:b/>
          <w:color w:val="000000" w:themeColor="text1"/>
        </w:rPr>
        <w:t>Bent u het met de stelling eens dat het voor de bewijsvoering eenvoudiger zou zijn als het simpelweg verboden wordt militaire training aan krijgsmachten van landen op een lijst van statelijke dreigingen te verstrekken, dan dat er bewezen moet worden dat er gerubriceerde informatie is gedeeld tijdens een trainingsactiviteit in een derde land waar Nederland mogelijk niet of maar beperkte justiti</w:t>
      </w:r>
      <w:r>
        <w:rPr>
          <w:rFonts w:hint="eastAsia"/>
          <w:b/>
          <w:color w:val="000000" w:themeColor="text1"/>
        </w:rPr>
        <w:t>ë</w:t>
      </w:r>
      <w:r>
        <w:rPr>
          <w:b/>
          <w:color w:val="000000" w:themeColor="text1"/>
        </w:rPr>
        <w:t>le samenwerking mee heeft?</w:t>
      </w:r>
    </w:p>
    <w:p w:rsidR="00753979" w:rsidP="00753979" w:rsidRDefault="00753979" w14:paraId="61D6232C" w14:textId="77777777">
      <w:pPr>
        <w:spacing w:after="0"/>
        <w:rPr>
          <w:color w:val="000000" w:themeColor="text1"/>
        </w:rPr>
      </w:pPr>
    </w:p>
    <w:p w:rsidR="00753979" w:rsidP="00753979" w:rsidRDefault="00753979" w14:paraId="6F104BE3" w14:textId="77777777">
      <w:pPr>
        <w:spacing w:after="0"/>
        <w:rPr>
          <w:color w:val="000000" w:themeColor="text1"/>
        </w:rPr>
      </w:pPr>
      <w:r>
        <w:rPr>
          <w:color w:val="000000" w:themeColor="text1"/>
        </w:rPr>
        <w:t>Antwoord vraag 5</w:t>
      </w:r>
    </w:p>
    <w:p w:rsidR="00753979" w:rsidP="00753979" w:rsidRDefault="00753979" w14:paraId="5F3C3BCC" w14:textId="77777777">
      <w:pPr>
        <w:spacing w:after="0"/>
        <w:rPr>
          <w:color w:val="000000" w:themeColor="text1"/>
        </w:rPr>
      </w:pPr>
      <w:r>
        <w:rPr>
          <w:color w:val="000000" w:themeColor="text1"/>
        </w:rPr>
        <w:t xml:space="preserve">Het is niet op voorhand te zeggen dat het strafbaar stellen van alle militaire training ongeacht inhoud de bewijsvoering eenvoudiger maakt. De huidige artikelen in het strafrecht bieden voldoende handvatten om in de praktijk bij trainingen aan vijandelijke krijgsmachten aangifte te doen. Strafrechtelijke handhaving volgt uit het Wetboek van Strafrecht en het Wetboek van Strafvordering en de nadruk ligt daarbij in Nederland, zoals gezegd, op de inhoud van de informatie. Kortom, bij de verdenking van een dergelijke training, oftewel verdenking van de overdracht van vertrouwelijke informatie, kan aangifte worden gedaan. </w:t>
      </w:r>
    </w:p>
    <w:p w:rsidR="00753979" w:rsidP="00753979" w:rsidRDefault="00753979" w14:paraId="24CEF686" w14:textId="77777777">
      <w:pPr>
        <w:spacing w:after="0"/>
        <w:rPr>
          <w:color w:val="000000" w:themeColor="text1"/>
        </w:rPr>
      </w:pPr>
    </w:p>
    <w:p w:rsidR="00753979" w:rsidP="00753979" w:rsidRDefault="00753979" w14:paraId="32D43E5C" w14:textId="77777777">
      <w:pPr>
        <w:spacing w:after="0"/>
        <w:rPr>
          <w:color w:val="000000" w:themeColor="text1"/>
        </w:rPr>
      </w:pPr>
      <w:r>
        <w:rPr>
          <w:color w:val="000000" w:themeColor="text1"/>
        </w:rPr>
        <w:t>Om medewerkers (militair en burger) die Defensie verlaten nadrukkelijker te informeren over hun geheimhoudingsplicht na hun diensttijd en zo de bestaande wetgeving kracht bij te zetten</w:t>
      </w:r>
      <w:r w:rsidRPr="00BC3EF1">
        <w:rPr>
          <w:color w:val="000000" w:themeColor="text1"/>
        </w:rPr>
        <w:t>,</w:t>
      </w:r>
      <w:r>
        <w:rPr>
          <w:color w:val="000000" w:themeColor="text1"/>
        </w:rPr>
        <w:t xml:space="preserve"> zullen </w:t>
      </w:r>
      <w:r w:rsidRPr="00BC3EF1">
        <w:rPr>
          <w:color w:val="000000" w:themeColor="text1"/>
        </w:rPr>
        <w:t xml:space="preserve">wij </w:t>
      </w:r>
      <w:r>
        <w:rPr>
          <w:color w:val="000000" w:themeColor="text1"/>
        </w:rPr>
        <w:t>aanscherpingen van regelgeving door</w:t>
      </w:r>
      <w:r w:rsidRPr="00BC3EF1">
        <w:rPr>
          <w:color w:val="000000" w:themeColor="text1"/>
        </w:rPr>
        <w:t>voeren</w:t>
      </w:r>
      <w:r>
        <w:rPr>
          <w:color w:val="000000" w:themeColor="text1"/>
        </w:rPr>
        <w:t xml:space="preserve"> en hierbij tevens inzetten op gerichte beveiligingsbewustwordingscampagnes. We zullen ook ten aanzien van niet</w:t>
      </w:r>
      <w:r w:rsidRPr="00BC3EF1">
        <w:rPr>
          <w:color w:val="000000" w:themeColor="text1"/>
        </w:rPr>
        <w:t>-</w:t>
      </w:r>
      <w:r>
        <w:rPr>
          <w:color w:val="000000" w:themeColor="text1"/>
        </w:rPr>
        <w:t>vertrouwelijke informatie in o.a. de Gedragsregels Defensie normerend vaststellen dat (oud</w:t>
      </w:r>
      <w:r w:rsidRPr="00BC3EF1">
        <w:rPr>
          <w:color w:val="000000" w:themeColor="text1"/>
        </w:rPr>
        <w:t>-</w:t>
      </w:r>
      <w:r>
        <w:rPr>
          <w:color w:val="000000" w:themeColor="text1"/>
        </w:rPr>
        <w:t xml:space="preserve">)medewerkers van </w:t>
      </w:r>
      <w:r>
        <w:rPr>
          <w:color w:val="000000" w:themeColor="text1"/>
        </w:rPr>
        <w:lastRenderedPageBreak/>
        <w:t>Defensie, naast de al geldende geheimhoudingsplicht, geen kennis en ervaring die is opgedaan in dienst van het Nederlandse Ministerie van Defensie delen met landen en bedrijven met een offensief cyberprogramma tegen Nederland en de risicolanden zoals genoemd in het Besluit aanwijzing risicolanden defensiepersoneel</w:t>
      </w:r>
      <w:r>
        <w:rPr>
          <w:rStyle w:val="Voetnootmarkering"/>
          <w:color w:val="000000" w:themeColor="text1"/>
        </w:rPr>
        <w:footnoteReference w:id="2"/>
      </w:r>
      <w:r>
        <w:rPr>
          <w:color w:val="000000" w:themeColor="text1"/>
        </w:rPr>
        <w:t>. Voor vastgestelde doelgroepen</w:t>
      </w:r>
      <w:r>
        <w:rPr>
          <w:rStyle w:val="Voetnootmarkering"/>
          <w:color w:val="000000" w:themeColor="text1"/>
        </w:rPr>
        <w:footnoteReference w:id="3"/>
      </w:r>
      <w:r>
        <w:rPr>
          <w:color w:val="000000" w:themeColor="text1"/>
        </w:rPr>
        <w:t xml:space="preserve"> zal gaan gelden dat zij bij het verlaten van de dienst een specifieke zogenaamde out-brief</w:t>
      </w:r>
      <w:r w:rsidRPr="00BC3EF1">
        <w:rPr>
          <w:color w:val="000000" w:themeColor="text1"/>
        </w:rPr>
        <w:t>ing</w:t>
      </w:r>
      <w:r>
        <w:rPr>
          <w:color w:val="000000" w:themeColor="text1"/>
        </w:rPr>
        <w:t xml:space="preserve"> krijgen</w:t>
      </w:r>
      <w:r w:rsidRPr="00BC3EF1">
        <w:rPr>
          <w:color w:val="000000" w:themeColor="text1"/>
        </w:rPr>
        <w:t>,</w:t>
      </w:r>
      <w:r>
        <w:rPr>
          <w:color w:val="000000" w:themeColor="text1"/>
        </w:rPr>
        <w:t xml:space="preserve"> waarin zij expliciet op de geheimhouding zullen worden gewezen. </w:t>
      </w:r>
    </w:p>
    <w:p w:rsidR="00753979" w:rsidP="00753979" w:rsidRDefault="00753979" w14:paraId="1369146F" w14:textId="77777777">
      <w:pPr>
        <w:spacing w:after="0"/>
        <w:rPr>
          <w:color w:val="000000" w:themeColor="text1"/>
        </w:rPr>
      </w:pPr>
    </w:p>
    <w:p w:rsidR="00753979" w:rsidP="00753979" w:rsidRDefault="00753979" w14:paraId="4141A4F7" w14:textId="77777777">
      <w:pPr>
        <w:spacing w:after="0"/>
        <w:rPr>
          <w:color w:val="000000" w:themeColor="text1"/>
        </w:rPr>
      </w:pPr>
      <w:r>
        <w:rPr>
          <w:color w:val="000000" w:themeColor="text1"/>
        </w:rPr>
        <w:t xml:space="preserve">Wij zijn altijd bereid tot het uitbreiden van wetgeving, mits dit in de praktijk een gewenst voordeel heeft. In dit geval is daar, mede vanwege de bestaande wet- en regelgeving, op dit moment </w:t>
      </w:r>
      <w:r w:rsidRPr="00BC3EF1">
        <w:rPr>
          <w:color w:val="000000" w:themeColor="text1"/>
        </w:rPr>
        <w:t>onvoldoende</w:t>
      </w:r>
      <w:r>
        <w:rPr>
          <w:color w:val="000000" w:themeColor="text1"/>
        </w:rPr>
        <w:t xml:space="preserve"> rede</w:t>
      </w:r>
      <w:r w:rsidRPr="00BC3EF1">
        <w:rPr>
          <w:color w:val="000000" w:themeColor="text1"/>
        </w:rPr>
        <w:t>n</w:t>
      </w:r>
      <w:r>
        <w:rPr>
          <w:color w:val="000000" w:themeColor="text1"/>
        </w:rPr>
        <w:t xml:space="preserve"> toe. Ten opzichte van de huidige wet- en regelgeving en bovenstaande adviezen is bovendien moeilijk te bepalen of een wettelijk instrument het risico verder verkleint. Als een oud-Defensiemedewerker </w:t>
      </w:r>
      <w:r w:rsidRPr="00BC3EF1">
        <w:rPr>
          <w:color w:val="000000" w:themeColor="text1"/>
        </w:rPr>
        <w:t>‘</w:t>
      </w:r>
      <w:r>
        <w:rPr>
          <w:color w:val="000000" w:themeColor="text1"/>
        </w:rPr>
        <w:t>kwaad</w:t>
      </w:r>
      <w:r w:rsidRPr="00BC3EF1">
        <w:rPr>
          <w:color w:val="000000" w:themeColor="text1"/>
        </w:rPr>
        <w:t>‘</w:t>
      </w:r>
      <w:r>
        <w:rPr>
          <w:color w:val="000000" w:themeColor="text1"/>
        </w:rPr>
        <w:t xml:space="preserve"> in de zin heeft, gelden immers reeds de strafmaatregelen. In de uitwerking van de motie</w:t>
      </w:r>
      <w:r w:rsidRPr="00BC3EF1">
        <w:rPr>
          <w:color w:val="000000" w:themeColor="text1"/>
        </w:rPr>
        <w:t>-</w:t>
      </w:r>
      <w:r>
        <w:rPr>
          <w:color w:val="000000" w:themeColor="text1"/>
        </w:rPr>
        <w:t xml:space="preserve">Valstar (kenmerk 36 200 X, nr. 25) is vanuit het Nederlands rechtssysteem gebleken dat er voldoende wettelijke middelen beschikbaar zijn voor eventuele strafvervolging indien vertrouwelijke informatie, ook na de actieve diensttijd, wordt gedeeld met onbevoegden. Ook het in die brief gemelde aanvullende onderzoek naar juridische mogelijkheden heeft dit bevestigd (zie het antwoord op vraag 10 en 11). Daarnaast is ook het aantal casus in Nederland, anders dan bijvoorbeeld in Frankrijk, geen aanleiding om tot uitbreiding van de wet over te gaan. Mocht in de toekomst blijken dat de </w:t>
      </w:r>
      <w:r w:rsidRPr="00BC3EF1">
        <w:rPr>
          <w:color w:val="000000" w:themeColor="text1"/>
        </w:rPr>
        <w:t xml:space="preserve">huidige </w:t>
      </w:r>
      <w:r>
        <w:rPr>
          <w:color w:val="000000" w:themeColor="text1"/>
        </w:rPr>
        <w:t>wetgeving alsnog tekortschiet en/of er een sterke toename is van de in het artikel geschetste casuïstiek</w:t>
      </w:r>
      <w:r w:rsidRPr="00BC3EF1">
        <w:rPr>
          <w:color w:val="000000" w:themeColor="text1"/>
        </w:rPr>
        <w:t>, dan</w:t>
      </w:r>
      <w:r>
        <w:rPr>
          <w:color w:val="000000" w:themeColor="text1"/>
        </w:rPr>
        <w:t xml:space="preserve"> zijn we zoals hierboven aangegeven bereid </w:t>
      </w:r>
      <w:r w:rsidRPr="00BC3EF1">
        <w:rPr>
          <w:color w:val="000000" w:themeColor="text1"/>
        </w:rPr>
        <w:t xml:space="preserve">een uitbreiding van </w:t>
      </w:r>
      <w:r>
        <w:rPr>
          <w:color w:val="000000" w:themeColor="text1"/>
        </w:rPr>
        <w:t xml:space="preserve">de wetgeving te </w:t>
      </w:r>
      <w:r w:rsidRPr="00BC3EF1">
        <w:rPr>
          <w:color w:val="000000" w:themeColor="text1"/>
        </w:rPr>
        <w:t>heroverwegen.</w:t>
      </w:r>
      <w:r>
        <w:rPr>
          <w:color w:val="000000" w:themeColor="text1"/>
        </w:rPr>
        <w:t xml:space="preserve"> </w:t>
      </w:r>
    </w:p>
    <w:p w:rsidR="00753979" w:rsidP="00753979" w:rsidRDefault="00753979" w14:paraId="0E626BE1" w14:textId="77777777">
      <w:pPr>
        <w:spacing w:after="0"/>
        <w:rPr>
          <w:color w:val="000000" w:themeColor="text1"/>
        </w:rPr>
      </w:pPr>
    </w:p>
    <w:p w:rsidR="00753979" w:rsidP="00753979" w:rsidRDefault="00753979" w14:paraId="70D14989" w14:textId="77777777">
      <w:pPr>
        <w:spacing w:after="0"/>
        <w:rPr>
          <w:color w:val="000000" w:themeColor="text1"/>
        </w:rPr>
      </w:pPr>
      <w:r>
        <w:rPr>
          <w:color w:val="000000" w:themeColor="text1"/>
        </w:rPr>
        <w:t xml:space="preserve"> Training geven aan een vijandelijke krijgsmacht door ex-militairen kan en mag niet gebeuren</w:t>
      </w:r>
      <w:r w:rsidRPr="00BC3EF1">
        <w:rPr>
          <w:color w:val="000000" w:themeColor="text1"/>
        </w:rPr>
        <w:t>.</w:t>
      </w:r>
      <w:r>
        <w:rPr>
          <w:color w:val="000000" w:themeColor="text1"/>
        </w:rPr>
        <w:t xml:space="preserve"> </w:t>
      </w:r>
      <w:r w:rsidRPr="00BC3EF1">
        <w:rPr>
          <w:color w:val="000000" w:themeColor="text1"/>
        </w:rPr>
        <w:t>E</w:t>
      </w:r>
      <w:r>
        <w:rPr>
          <w:color w:val="000000" w:themeColor="text1"/>
        </w:rPr>
        <w:t>r kan strafrechtelijk worden opgetreden</w:t>
      </w:r>
      <w:r>
        <w:t xml:space="preserve"> </w:t>
      </w:r>
      <w:r>
        <w:rPr>
          <w:color w:val="000000" w:themeColor="text1"/>
        </w:rPr>
        <w:t>als daarbij sprake is van overdracht van gerubriceerde of vertrouwelijke kennis of informatie. Dat heeft ook een afschrikwekkende werking. Waar mogelijk zoeken wij de samenwerking met bondgenoten om hierin gezamenlijk op te treden</w:t>
      </w:r>
      <w:r w:rsidRPr="00BC3EF1">
        <w:rPr>
          <w:color w:val="000000" w:themeColor="text1"/>
        </w:rPr>
        <w:t>,</w:t>
      </w:r>
      <w:r>
        <w:rPr>
          <w:color w:val="000000" w:themeColor="text1"/>
        </w:rPr>
        <w:t xml:space="preserve"> en kennis en ervaringen met elkaar te delen.</w:t>
      </w:r>
    </w:p>
    <w:p w:rsidR="00753979" w:rsidP="00753979" w:rsidRDefault="00753979" w14:paraId="27FF12D1" w14:textId="77777777">
      <w:pPr>
        <w:spacing w:after="0"/>
        <w:rPr>
          <w:color w:val="000000" w:themeColor="text1"/>
        </w:rPr>
      </w:pPr>
    </w:p>
    <w:p w:rsidR="00753979" w:rsidP="00753979" w:rsidRDefault="00753979" w14:paraId="7F81B41D" w14:textId="77777777">
      <w:pPr>
        <w:spacing w:after="0"/>
        <w:rPr>
          <w:b/>
          <w:color w:val="000000" w:themeColor="text1"/>
        </w:rPr>
      </w:pPr>
      <w:r>
        <w:rPr>
          <w:b/>
          <w:color w:val="000000" w:themeColor="text1"/>
        </w:rPr>
        <w:t>Vraag 6</w:t>
      </w:r>
    </w:p>
    <w:p w:rsidR="00753979" w:rsidP="00753979" w:rsidRDefault="00753979" w14:paraId="2DE7B4B9" w14:textId="77777777">
      <w:pPr>
        <w:spacing w:after="0"/>
        <w:rPr>
          <w:b/>
          <w:color w:val="000000" w:themeColor="text1"/>
        </w:rPr>
      </w:pPr>
      <w:r>
        <w:rPr>
          <w:b/>
          <w:color w:val="000000" w:themeColor="text1"/>
        </w:rPr>
        <w:t>Hoe gaat het Verenigd Koninkrijk om met het probleem zoals beschreven in vraag vijf?</w:t>
      </w:r>
    </w:p>
    <w:p w:rsidR="00753979" w:rsidP="00753979" w:rsidRDefault="00753979" w14:paraId="2D0CDE2C" w14:textId="77777777">
      <w:pPr>
        <w:spacing w:after="0"/>
        <w:rPr>
          <w:color w:val="000000" w:themeColor="text1"/>
        </w:rPr>
      </w:pPr>
    </w:p>
    <w:p w:rsidR="00753979" w:rsidP="00753979" w:rsidRDefault="00753979" w14:paraId="61B403F7" w14:textId="77777777">
      <w:pPr>
        <w:spacing w:after="0"/>
        <w:rPr>
          <w:color w:val="000000" w:themeColor="text1"/>
        </w:rPr>
      </w:pPr>
      <w:r>
        <w:rPr>
          <w:color w:val="000000" w:themeColor="text1"/>
        </w:rPr>
        <w:t>Antwoord vraag 6</w:t>
      </w:r>
    </w:p>
    <w:p w:rsidR="00753979" w:rsidP="00753979" w:rsidRDefault="00753979" w14:paraId="52090D98" w14:textId="77777777">
      <w:pPr>
        <w:spacing w:after="0"/>
        <w:rPr>
          <w:color w:val="000000" w:themeColor="text1"/>
        </w:rPr>
      </w:pPr>
      <w:r>
        <w:rPr>
          <w:color w:val="000000" w:themeColor="text1"/>
        </w:rPr>
        <w:t>Het Verenigd Koninkrijk acht het misdrijf zoals omschreven in vraag vijf bewezen als kan worden aangetoond dat betrokkene het feit heeft gepleegd en daarbij wist of had kunnen weten dat het handelen een gevaar voor de nationale veiligheid of nationale belangen van het Verenigd Koninkrijk zou opleveren. Zie het antwoord op vraag 2 en 3 voor de wettelijke basis daarvan. Zoals in antwoord op vraag 4 gemeld is de aangescherpte Britse strafbaarstelling in de praktijk vergelijkbaar met de huidige Nederlandse strafbaarstelling.</w:t>
      </w:r>
    </w:p>
    <w:p w:rsidR="00753979" w:rsidP="00753979" w:rsidRDefault="00753979" w14:paraId="405B6B84" w14:textId="77777777">
      <w:pPr>
        <w:spacing w:after="0"/>
        <w:rPr>
          <w:color w:val="000000" w:themeColor="text1"/>
        </w:rPr>
      </w:pPr>
    </w:p>
    <w:p w:rsidR="00753979" w:rsidP="00753979" w:rsidRDefault="00753979" w14:paraId="0E3884FE" w14:textId="77777777">
      <w:pPr>
        <w:spacing w:after="0"/>
        <w:rPr>
          <w:b/>
          <w:color w:val="000000" w:themeColor="text1"/>
        </w:rPr>
      </w:pPr>
      <w:r>
        <w:rPr>
          <w:b/>
          <w:color w:val="000000" w:themeColor="text1"/>
        </w:rPr>
        <w:t>Vraag 7</w:t>
      </w:r>
    </w:p>
    <w:p w:rsidR="00753979" w:rsidP="00753979" w:rsidRDefault="00753979" w14:paraId="2952B62D" w14:textId="77777777">
      <w:pPr>
        <w:spacing w:after="0"/>
        <w:rPr>
          <w:b/>
          <w:color w:val="000000" w:themeColor="text1"/>
        </w:rPr>
      </w:pPr>
      <w:r>
        <w:rPr>
          <w:b/>
          <w:color w:val="000000" w:themeColor="text1"/>
        </w:rPr>
        <w:t xml:space="preserve">Bent u het met de stelling eens dat, ook indien een voormalig militair niet actief gerubriceerde tactieken en technieken deelt met een derde land, er toch sprake kan zijn van </w:t>
      </w:r>
      <w:r>
        <w:rPr>
          <w:b/>
          <w:color w:val="000000" w:themeColor="text1"/>
        </w:rPr>
        <w:lastRenderedPageBreak/>
        <w:t>ongewenste kennisoverdracht tijdens deelname aan trainingen van militairen uit dat land? Erkent u dat dit bijvoorbeeld al kan gebeuren doordat Chinese piloten kunnen oefenen tegen tegenstanders die in bepaalde situaties reageren zoals piloten uit een NAVO-lidstaat getraind zijn dat te doen, in plaats van op de manier waarop Chinese piloten zelf zijn opgeleid?</w:t>
      </w:r>
    </w:p>
    <w:p w:rsidR="00753979" w:rsidP="00753979" w:rsidRDefault="00753979" w14:paraId="6523B523" w14:textId="77777777">
      <w:pPr>
        <w:spacing w:after="0"/>
        <w:rPr>
          <w:color w:val="000000" w:themeColor="text1"/>
        </w:rPr>
      </w:pPr>
    </w:p>
    <w:p w:rsidR="00753979" w:rsidP="00753979" w:rsidRDefault="00753979" w14:paraId="25E8E2EC" w14:textId="77777777">
      <w:pPr>
        <w:spacing w:after="0"/>
        <w:rPr>
          <w:color w:val="000000" w:themeColor="text1"/>
        </w:rPr>
      </w:pPr>
      <w:r>
        <w:rPr>
          <w:color w:val="000000" w:themeColor="text1"/>
        </w:rPr>
        <w:t>Antwoord vraag 7</w:t>
      </w:r>
    </w:p>
    <w:p w:rsidR="00753979" w:rsidP="00753979" w:rsidRDefault="00753979" w14:paraId="72563E17" w14:textId="77777777">
      <w:pPr>
        <w:spacing w:after="0"/>
        <w:rPr>
          <w:color w:val="000000" w:themeColor="text1"/>
        </w:rPr>
      </w:pPr>
      <w:r>
        <w:rPr>
          <w:color w:val="000000" w:themeColor="text1"/>
        </w:rPr>
        <w:t>Defensie is zich er zeer wel van bewust dat er sprake kan zijn van ongewenste kennisoverdracht bij het geven van trainingen door oud-militairen. Het beperken van deze risico’s is van groot belang. Het is dus essentieel dat kwetsbare informatie op het juiste niveau gerubriceerd wordt</w:t>
      </w:r>
      <w:r w:rsidRPr="00BC3EF1">
        <w:rPr>
          <w:color w:val="000000" w:themeColor="text1"/>
        </w:rPr>
        <w:t>.</w:t>
      </w:r>
      <w:r>
        <w:rPr>
          <w:color w:val="000000" w:themeColor="text1"/>
        </w:rPr>
        <w:t xml:space="preserve"> </w:t>
      </w:r>
      <w:r w:rsidRPr="00BC3EF1">
        <w:rPr>
          <w:color w:val="000000" w:themeColor="text1"/>
        </w:rPr>
        <w:t>O</w:t>
      </w:r>
      <w:r>
        <w:rPr>
          <w:color w:val="000000" w:themeColor="text1"/>
        </w:rPr>
        <w:t>ok informatie waarvan in redelijkheid vermoed kan worden dat het vertrouwelijk is, valt nadrukkelijk onder de geheimhoudingsplicht. Dus ook bij het delen van niet-gerubriceerde, maar wel vertrouwelijke informatie of kennis kan aangifte worden gedaan.</w:t>
      </w:r>
    </w:p>
    <w:p w:rsidR="00753979" w:rsidP="00753979" w:rsidRDefault="00753979" w14:paraId="7198E7B2" w14:textId="77777777">
      <w:pPr>
        <w:spacing w:after="0"/>
        <w:rPr>
          <w:color w:val="000000" w:themeColor="text1"/>
        </w:rPr>
      </w:pPr>
    </w:p>
    <w:p w:rsidR="00753979" w:rsidP="00753979" w:rsidRDefault="00753979" w14:paraId="11FD94DF" w14:textId="77777777">
      <w:pPr>
        <w:spacing w:after="0"/>
        <w:rPr>
          <w:color w:val="000000" w:themeColor="text1"/>
        </w:rPr>
      </w:pPr>
      <w:r>
        <w:rPr>
          <w:color w:val="000000" w:themeColor="text1"/>
        </w:rPr>
        <w:t xml:space="preserve">Naast de strafbaarstelling zet Defensie bijvoorbeeld nu ook al in op de bewustwording tijdens </w:t>
      </w:r>
      <w:proofErr w:type="spellStart"/>
      <w:r>
        <w:rPr>
          <w:color w:val="000000" w:themeColor="text1"/>
        </w:rPr>
        <w:t>exit</w:t>
      </w:r>
      <w:r w:rsidRPr="00BC3EF1">
        <w:rPr>
          <w:color w:val="000000" w:themeColor="text1"/>
        </w:rPr>
        <w:t>-</w:t>
      </w:r>
      <w:r>
        <w:rPr>
          <w:color w:val="000000" w:themeColor="text1"/>
        </w:rPr>
        <w:t>gesprekken</w:t>
      </w:r>
      <w:proofErr w:type="spellEnd"/>
      <w:r>
        <w:rPr>
          <w:color w:val="000000" w:themeColor="text1"/>
        </w:rPr>
        <w:t xml:space="preserve"> rondom het overdragen van gevoelige informatie</w:t>
      </w:r>
      <w:r w:rsidRPr="00BC3EF1">
        <w:rPr>
          <w:color w:val="000000" w:themeColor="text1"/>
        </w:rPr>
        <w:t>.</w:t>
      </w:r>
      <w:r>
        <w:rPr>
          <w:color w:val="000000" w:themeColor="text1"/>
        </w:rPr>
        <w:t xml:space="preserve"> </w:t>
      </w:r>
      <w:r w:rsidRPr="00BC3EF1">
        <w:rPr>
          <w:color w:val="000000" w:themeColor="text1"/>
        </w:rPr>
        <w:t>B</w:t>
      </w:r>
      <w:r>
        <w:rPr>
          <w:color w:val="000000" w:themeColor="text1"/>
        </w:rPr>
        <w:t>ij einde dienstverband dient men een verklaring omtrent verdere geheimhouding te ondertekenen</w:t>
      </w:r>
      <w:r w:rsidRPr="00BC3EF1">
        <w:rPr>
          <w:color w:val="000000" w:themeColor="text1"/>
        </w:rPr>
        <w:t>,</w:t>
      </w:r>
      <w:r>
        <w:rPr>
          <w:color w:val="000000" w:themeColor="text1"/>
        </w:rPr>
        <w:t xml:space="preserve"> waarin wordt aangegeven dat de geheimhouding ook na uitdiensttreding van kracht blijft. Hierbij komt nu als aanvulling de out-brief voor doelgroepen die specifieke taken uitvoeren binnen Defensie met een bijzonder hoog risicoprofiel</w:t>
      </w:r>
      <w:r w:rsidRPr="00BC3EF1">
        <w:rPr>
          <w:color w:val="000000" w:themeColor="text1"/>
        </w:rPr>
        <w:t>.</w:t>
      </w:r>
      <w:r>
        <w:rPr>
          <w:color w:val="000000" w:themeColor="text1"/>
        </w:rPr>
        <w:t xml:space="preserve"> </w:t>
      </w:r>
      <w:r w:rsidRPr="00BC3EF1">
        <w:rPr>
          <w:color w:val="000000" w:themeColor="text1"/>
        </w:rPr>
        <w:t>Ook</w:t>
      </w:r>
      <w:r>
        <w:rPr>
          <w:color w:val="000000" w:themeColor="text1"/>
        </w:rPr>
        <w:t xml:space="preserve"> worden de gedragsregels aangepast en ingezet op specifieke bewustwording hierover. Dit betekent dat het delen van informatie die onder de geheimhoudingsplicht valt strafbaar blijft. Door de uit dienst tredende medewerker hier nadrukkelijk op te wijzen beperkt Defensie het risico op onbewust vertrouwelijke informatie delen. Dat geldt eveneens voor situaties </w:t>
      </w:r>
      <w:r w:rsidRPr="00BC3EF1">
        <w:rPr>
          <w:color w:val="000000" w:themeColor="text1"/>
        </w:rPr>
        <w:t>waarbij</w:t>
      </w:r>
      <w:r>
        <w:rPr>
          <w:color w:val="000000" w:themeColor="text1"/>
        </w:rPr>
        <w:t xml:space="preserve"> dit via derde landen gebeurt, zoals in het betreffende artikel waarnaar deze vragen refereren</w:t>
      </w:r>
      <w:r w:rsidRPr="00BC3EF1">
        <w:rPr>
          <w:color w:val="000000" w:themeColor="text1"/>
        </w:rPr>
        <w:t>.</w:t>
      </w:r>
      <w:r>
        <w:rPr>
          <w:color w:val="000000" w:themeColor="text1"/>
        </w:rPr>
        <w:t>. Indien blijkt dat (ex</w:t>
      </w:r>
      <w:r w:rsidRPr="00BC3EF1">
        <w:rPr>
          <w:color w:val="000000" w:themeColor="text1"/>
        </w:rPr>
        <w:t>-</w:t>
      </w:r>
      <w:r>
        <w:rPr>
          <w:color w:val="000000" w:themeColor="text1"/>
        </w:rPr>
        <w:t>)medewerkers van Defensie zich schuldig maken aan ongewenste kennisoverdracht, kan aangifte worden gedaan om dergelijke ongewenste kennisoverdracht te bestrijden.</w:t>
      </w:r>
    </w:p>
    <w:p w:rsidR="00753979" w:rsidP="00753979" w:rsidRDefault="00753979" w14:paraId="4844F691" w14:textId="77777777">
      <w:pPr>
        <w:spacing w:after="0"/>
        <w:rPr>
          <w:b/>
          <w:color w:val="000000" w:themeColor="text1"/>
        </w:rPr>
      </w:pPr>
    </w:p>
    <w:p w:rsidR="00753979" w:rsidP="00753979" w:rsidRDefault="00753979" w14:paraId="18B4046D" w14:textId="77777777">
      <w:pPr>
        <w:spacing w:after="0"/>
        <w:rPr>
          <w:b/>
          <w:color w:val="000000" w:themeColor="text1"/>
        </w:rPr>
      </w:pPr>
      <w:r>
        <w:rPr>
          <w:b/>
          <w:color w:val="000000" w:themeColor="text1"/>
        </w:rPr>
        <w:t>Vraag 8</w:t>
      </w:r>
    </w:p>
    <w:p w:rsidR="00753979" w:rsidP="00753979" w:rsidRDefault="00753979" w14:paraId="4D1A84B7" w14:textId="77777777">
      <w:pPr>
        <w:spacing w:after="0"/>
        <w:rPr>
          <w:b/>
          <w:color w:val="000000" w:themeColor="text1"/>
        </w:rPr>
      </w:pPr>
      <w:r>
        <w:rPr>
          <w:b/>
          <w:color w:val="000000" w:themeColor="text1"/>
        </w:rPr>
        <w:t>Hoe gaat het Verenigd Koninkrijk om met het probleem zoals beschreven in vraag zeven?</w:t>
      </w:r>
    </w:p>
    <w:p w:rsidR="00753979" w:rsidP="00753979" w:rsidRDefault="00753979" w14:paraId="0D624663" w14:textId="77777777">
      <w:pPr>
        <w:spacing w:after="0"/>
        <w:rPr>
          <w:color w:val="000000" w:themeColor="text1"/>
        </w:rPr>
      </w:pPr>
    </w:p>
    <w:p w:rsidR="00753979" w:rsidP="00753979" w:rsidRDefault="00753979" w14:paraId="0E32F8A5" w14:textId="77777777">
      <w:pPr>
        <w:spacing w:after="0"/>
        <w:rPr>
          <w:color w:val="000000" w:themeColor="text1"/>
        </w:rPr>
      </w:pPr>
      <w:r>
        <w:rPr>
          <w:color w:val="000000" w:themeColor="text1"/>
        </w:rPr>
        <w:t>Antwoord vraag 8</w:t>
      </w:r>
    </w:p>
    <w:p w:rsidR="00753979" w:rsidP="00753979" w:rsidRDefault="00753979" w14:paraId="547979A7" w14:textId="77777777">
      <w:pPr>
        <w:spacing w:after="0"/>
        <w:rPr>
          <w:color w:val="000000" w:themeColor="text1"/>
        </w:rPr>
      </w:pPr>
      <w:r>
        <w:rPr>
          <w:color w:val="000000" w:themeColor="text1"/>
        </w:rPr>
        <w:t>Zie het antwoord op vraag 6.</w:t>
      </w:r>
    </w:p>
    <w:p w:rsidR="00753979" w:rsidP="00753979" w:rsidRDefault="00753979" w14:paraId="533CDFD9" w14:textId="77777777">
      <w:pPr>
        <w:spacing w:after="0"/>
        <w:rPr>
          <w:color w:val="000000" w:themeColor="text1"/>
        </w:rPr>
      </w:pPr>
    </w:p>
    <w:p w:rsidR="00753979" w:rsidP="00753979" w:rsidRDefault="00753979" w14:paraId="61645C0D" w14:textId="77777777">
      <w:pPr>
        <w:spacing w:after="0"/>
        <w:rPr>
          <w:b/>
          <w:color w:val="000000" w:themeColor="text1"/>
        </w:rPr>
      </w:pPr>
      <w:r>
        <w:rPr>
          <w:b/>
          <w:color w:val="000000" w:themeColor="text1"/>
        </w:rPr>
        <w:t>Vraag 9</w:t>
      </w:r>
    </w:p>
    <w:p w:rsidR="00753979" w:rsidP="00753979" w:rsidRDefault="00753979" w14:paraId="622C3EDB" w14:textId="77777777">
      <w:pPr>
        <w:spacing w:after="0"/>
        <w:rPr>
          <w:b/>
          <w:color w:val="000000" w:themeColor="text1"/>
        </w:rPr>
      </w:pPr>
      <w:r>
        <w:rPr>
          <w:b/>
          <w:color w:val="000000" w:themeColor="text1"/>
        </w:rPr>
        <w:t>Waarom voert u zoals aangekondigd in Kamerstuk 36 200 X, nr. 88 een onderzoek uit naar aanvullende mogelijkheden om het verzorgen van training door (oud-)defensiemedewerkers die bepaalde functies hebben vervuld te voorkomen, als de Nederlandse wet volgens uw analyse in datzelfde Kamerstuk al voldoende mogelijkheden biedt om te voorkomen dat vertrouwelijke informatie wordt gedeeld met onbevoegden?</w:t>
      </w:r>
    </w:p>
    <w:p w:rsidR="00753979" w:rsidP="00753979" w:rsidRDefault="00753979" w14:paraId="5674331F" w14:textId="77777777">
      <w:pPr>
        <w:spacing w:after="0"/>
        <w:rPr>
          <w:b/>
          <w:color w:val="000000" w:themeColor="text1"/>
        </w:rPr>
      </w:pPr>
    </w:p>
    <w:p w:rsidR="00753979" w:rsidP="00753979" w:rsidRDefault="00753979" w14:paraId="42DA04C1" w14:textId="77777777">
      <w:pPr>
        <w:spacing w:after="0"/>
        <w:rPr>
          <w:color w:val="000000" w:themeColor="text1"/>
        </w:rPr>
      </w:pPr>
      <w:r>
        <w:rPr>
          <w:color w:val="000000" w:themeColor="text1"/>
        </w:rPr>
        <w:t>Antwoord vraag 9</w:t>
      </w:r>
    </w:p>
    <w:p w:rsidR="00753979" w:rsidP="00753979" w:rsidRDefault="00753979" w14:paraId="40F52772" w14:textId="77777777">
      <w:pPr>
        <w:spacing w:after="0"/>
        <w:rPr>
          <w:color w:val="000000" w:themeColor="text1"/>
        </w:rPr>
      </w:pPr>
      <w:r>
        <w:rPr>
          <w:color w:val="000000" w:themeColor="text1"/>
        </w:rPr>
        <w:t xml:space="preserve">Aanvullend onderzoek is uitgevoerd vanwege de ernst en het belang van onze nationale veiligheid in combinatie met de internationale ontwikkelingen op wetgevingsgebied. Als wetgeving voldoende mogelijkheden biedt om actief op te treden als vertrouwelijke informatie wordt </w:t>
      </w:r>
      <w:r>
        <w:rPr>
          <w:color w:val="000000" w:themeColor="text1"/>
        </w:rPr>
        <w:lastRenderedPageBreak/>
        <w:t>gedeeld met onbevoegden, wil dat niet zeggen dat er geen verbeteringen mogelijk zijn. Het is van groot belang dat mensen beseffen dat vertrouwelijke informatie lekken onacceptabel is. Zo nodig wordt daar op gehandhaafd. Zie ook het antwoord op vraag 10 en 11.</w:t>
      </w:r>
    </w:p>
    <w:p w:rsidR="00753979" w:rsidP="00753979" w:rsidRDefault="00753979" w14:paraId="17F71742" w14:textId="77777777">
      <w:pPr>
        <w:spacing w:after="0"/>
        <w:rPr>
          <w:color w:val="000000" w:themeColor="text1"/>
        </w:rPr>
      </w:pPr>
    </w:p>
    <w:p w:rsidR="00753979" w:rsidP="00753979" w:rsidRDefault="00753979" w14:paraId="7D440674" w14:textId="77777777">
      <w:pPr>
        <w:spacing w:after="0"/>
        <w:rPr>
          <w:b/>
          <w:color w:val="000000" w:themeColor="text1"/>
        </w:rPr>
      </w:pPr>
      <w:r>
        <w:rPr>
          <w:b/>
          <w:color w:val="000000" w:themeColor="text1"/>
        </w:rPr>
        <w:t>Vraag 10</w:t>
      </w:r>
    </w:p>
    <w:p w:rsidR="00753979" w:rsidP="00753979" w:rsidRDefault="00753979" w14:paraId="35B89B49" w14:textId="77777777">
      <w:pPr>
        <w:spacing w:after="0"/>
        <w:rPr>
          <w:b/>
          <w:color w:val="000000" w:themeColor="text1"/>
        </w:rPr>
      </w:pPr>
      <w:r>
        <w:rPr>
          <w:b/>
          <w:color w:val="000000" w:themeColor="text1"/>
        </w:rPr>
        <w:t>Kunt u beschrijven wat het onderzoek behelst en welke hiaten u in de huidige praktijk en wet- en regelgeving ziet die aanvullend onderzoek vragen om trainingen te voorkomen?</w:t>
      </w:r>
    </w:p>
    <w:p w:rsidR="00753979" w:rsidP="00753979" w:rsidRDefault="00753979" w14:paraId="0629FED6" w14:textId="77777777">
      <w:pPr>
        <w:spacing w:after="0"/>
        <w:rPr>
          <w:b/>
          <w:color w:val="000000" w:themeColor="text1"/>
        </w:rPr>
      </w:pPr>
    </w:p>
    <w:p w:rsidR="00753979" w:rsidP="00753979" w:rsidRDefault="00753979" w14:paraId="14221DE1" w14:textId="77777777">
      <w:pPr>
        <w:spacing w:after="0"/>
        <w:rPr>
          <w:b/>
          <w:color w:val="000000" w:themeColor="text1"/>
        </w:rPr>
      </w:pPr>
      <w:r>
        <w:rPr>
          <w:b/>
          <w:color w:val="000000" w:themeColor="text1"/>
        </w:rPr>
        <w:t>Vraag 11</w:t>
      </w:r>
    </w:p>
    <w:p w:rsidR="00753979" w:rsidP="00753979" w:rsidRDefault="00753979" w14:paraId="7BE0F4CF" w14:textId="77777777">
      <w:pPr>
        <w:spacing w:after="0"/>
        <w:rPr>
          <w:b/>
          <w:color w:val="000000" w:themeColor="text1"/>
        </w:rPr>
      </w:pPr>
      <w:r>
        <w:rPr>
          <w:b/>
          <w:color w:val="000000" w:themeColor="text1"/>
        </w:rPr>
        <w:t>Wanneer kunt u de Kamer informeren over de voortgang van dit onderzoek, of op zijn minst over de opzet van het onderzoek?</w:t>
      </w:r>
    </w:p>
    <w:p w:rsidR="00753979" w:rsidP="00753979" w:rsidRDefault="00753979" w14:paraId="001CB29F" w14:textId="77777777">
      <w:pPr>
        <w:spacing w:after="0"/>
        <w:rPr>
          <w:color w:val="000000" w:themeColor="text1"/>
        </w:rPr>
      </w:pPr>
    </w:p>
    <w:p w:rsidR="00753979" w:rsidP="00753979" w:rsidRDefault="00753979" w14:paraId="67FD3655" w14:textId="77777777">
      <w:pPr>
        <w:spacing w:after="0"/>
        <w:rPr>
          <w:color w:val="000000" w:themeColor="text1"/>
        </w:rPr>
      </w:pPr>
      <w:r>
        <w:rPr>
          <w:color w:val="000000" w:themeColor="text1"/>
        </w:rPr>
        <w:t>Antwoord vraag 10 en 11</w:t>
      </w:r>
    </w:p>
    <w:p w:rsidR="00753979" w:rsidP="00753979" w:rsidRDefault="00753979" w14:paraId="781A3A09" w14:textId="77777777">
      <w:pPr>
        <w:spacing w:after="0"/>
        <w:rPr>
          <w:color w:val="000000" w:themeColor="text1"/>
        </w:rPr>
      </w:pPr>
      <w:r>
        <w:rPr>
          <w:color w:val="000000" w:themeColor="text1"/>
        </w:rPr>
        <w:t>Laat het duidelijk zijn dat het delen van vertrouwelijke informatie met vijandelijke krijgsmachten onder geen beding geaccepteerd of getolereerd zal worden. In de brief van 6 juli 2023 (36 200X nr. 88) heeft het kabinet aangegeven dat er nu twee soorten maatregelen zijn om het risico tegen te gaan dat (voormalig) Defensiepersoneel</w:t>
      </w:r>
      <w:r w:rsidRPr="00BC3EF1">
        <w:rPr>
          <w:color w:val="000000" w:themeColor="text1"/>
        </w:rPr>
        <w:t xml:space="preserve"> trainingen verschaft aan</w:t>
      </w:r>
      <w:r>
        <w:rPr>
          <w:color w:val="000000" w:themeColor="text1"/>
        </w:rPr>
        <w:t xml:space="preserve"> personeel van andere strijdkrachten die een dreiging voor Nederland vormen</w:t>
      </w:r>
      <w:r w:rsidRPr="00BC3EF1">
        <w:rPr>
          <w:color w:val="000000" w:themeColor="text1"/>
        </w:rPr>
        <w:t>.</w:t>
      </w:r>
      <w:r>
        <w:rPr>
          <w:color w:val="000000" w:themeColor="text1"/>
        </w:rPr>
        <w:t xml:space="preserve"> Ten eerste zijn er preventieve maatregelen die ingezet kunnen worden voor vergroten van het beveiligingsbewustzijn bij </w:t>
      </w:r>
      <w:r w:rsidRPr="00BC3EF1">
        <w:rPr>
          <w:color w:val="000000" w:themeColor="text1"/>
        </w:rPr>
        <w:t>Defensiemedewerkers</w:t>
      </w:r>
      <w:r>
        <w:rPr>
          <w:color w:val="000000" w:themeColor="text1"/>
        </w:rPr>
        <w:t xml:space="preserve"> en ten tweede zijn er juridische maatregelen. De MIVD doet verder actief onderzoek naar dergelijke activiteiten om de dreiging tegen te gaan. </w:t>
      </w:r>
    </w:p>
    <w:p w:rsidR="00753979" w:rsidP="00753979" w:rsidRDefault="00753979" w14:paraId="21316DB9" w14:textId="77777777">
      <w:pPr>
        <w:spacing w:after="0"/>
        <w:rPr>
          <w:color w:val="000000" w:themeColor="text1"/>
        </w:rPr>
      </w:pPr>
    </w:p>
    <w:p w:rsidR="00753979" w:rsidP="00753979" w:rsidRDefault="00753979" w14:paraId="004B0ED4" w14:textId="77777777">
      <w:pPr>
        <w:spacing w:after="0"/>
        <w:rPr>
          <w:color w:val="000000" w:themeColor="text1"/>
        </w:rPr>
      </w:pPr>
      <w:r>
        <w:rPr>
          <w:color w:val="000000" w:themeColor="text1"/>
        </w:rPr>
        <w:t>Zoals gemeld is onderzoek gedaan naar nadere mogelijkheden. Dat onderzoek bestond uit twee delen. De kern van het eerste onderzoek is om te specificeren welke (functie-)groepen werken met dusdanig risicovolle informatie en/of specifieke militaire kennis dat zij voor een aanvullende out-briefing bij het beëindigen van het dienstverband in aanmerking komen. Hoewel deze analyse nog loopt, kunnen wij aangeven dat er specifieke functies zijn te identificeren die voor een aanvullende out-briefing in aanmerking kunnen komen. Denk hierbij aan de doelgroepen zoals eerder genoemd. , die specifieke taken uitvoeren binnen Defensie met een bijzonder hoog risicoprofiel. Naar verwachting zal het onderzoek en de verwerking daarvan in het beleid in eerste kwartaal van 2025 worden afgerond, om dit vervolgens in het Defensie Beveiligingsbeleid (DBB) en uitvoeringsbepalingen op te nemen. Dit kan zonder wetgevingstraject. Een belangrijke categorie medewerkers, de zogenaamde bijzondere functionarissen, is reeds geïdentificeerd en voor hen is ondertussen ook al ingeregeld dat zij bij het verlaten van de organisatie, naast het tekenen van de verplichte verklaring omtrent verdere geheimhouding, ook een out-briefing krijgen.</w:t>
      </w:r>
    </w:p>
    <w:p w:rsidR="00753979" w:rsidP="00753979" w:rsidRDefault="00753979" w14:paraId="5A848C78" w14:textId="77777777">
      <w:pPr>
        <w:spacing w:after="0"/>
        <w:rPr>
          <w:color w:val="000000" w:themeColor="text1"/>
        </w:rPr>
      </w:pPr>
    </w:p>
    <w:p w:rsidR="00753979" w:rsidP="00753979" w:rsidRDefault="00753979" w14:paraId="2A0DACF1" w14:textId="77777777">
      <w:pPr>
        <w:spacing w:after="0"/>
        <w:rPr>
          <w:color w:val="000000" w:themeColor="text1"/>
        </w:rPr>
      </w:pPr>
      <w:r>
        <w:rPr>
          <w:color w:val="000000" w:themeColor="text1"/>
        </w:rPr>
        <w:t xml:space="preserve">Het tweede onderzoek richtte zich op extra juridische mogelijkheden, specifiek op toetsing vooraf over vervolgwerkzaamheden van (oud-)defensiemedewerkers (militair en burger). Onderzocht is of aanvullende wetgeving van toegevoegde waarde is om het in dienst treden bij nader te bepalen vreemde mogendheden, door nog te bepalen categorieën oud-medewerkers van Defensie te verbieden en strafbaar te stellen, al dan niet onder toepassing van een mechanisme van toestemmingsverlening. Er is </w:t>
      </w:r>
      <w:r w:rsidRPr="00BC3EF1">
        <w:rPr>
          <w:color w:val="000000" w:themeColor="text1"/>
        </w:rPr>
        <w:t>onvoldoende</w:t>
      </w:r>
      <w:r>
        <w:rPr>
          <w:color w:val="000000" w:themeColor="text1"/>
        </w:rPr>
        <w:t xml:space="preserve"> toegevoegde waarde daarvoor gebleken (zie antwoord vraag 5). Ook zou dit een omvangrijk, meerjarig wetgevingstraject vergen en zorgen voor extra uitvoeringslast, terwijl momenteel voor een oud-Defensiemedewerker die ‘kwaad’ wil, reeds de </w:t>
      </w:r>
      <w:r>
        <w:rPr>
          <w:color w:val="000000" w:themeColor="text1"/>
        </w:rPr>
        <w:lastRenderedPageBreak/>
        <w:t>bestaande strafmaatregelen toepasbaar zijn. Vooraf een vergunning verplicht stellen (zoals de VS hanteert) geeft inzicht maar kent ook uitvoeringsuitdagingen, bijvoorbeeld bij opvolgende wisselingen van de werkomgeving van de (ex-)Defensiemedewerker (militair of burger) en dus ook extra administratieve werklast. Wij zien geen hiaten in de huidige wetgeving.</w:t>
      </w:r>
    </w:p>
    <w:p w:rsidR="00753979" w:rsidP="00753979" w:rsidRDefault="00753979" w14:paraId="69B05724" w14:textId="77777777">
      <w:pPr>
        <w:spacing w:after="0"/>
        <w:rPr>
          <w:color w:val="000000" w:themeColor="text1"/>
        </w:rPr>
      </w:pPr>
    </w:p>
    <w:p w:rsidR="00753979" w:rsidP="00753979" w:rsidRDefault="00753979" w14:paraId="2D0BE5C2" w14:textId="77777777">
      <w:pPr>
        <w:spacing w:after="0"/>
        <w:rPr>
          <w:color w:val="000000" w:themeColor="text1"/>
        </w:rPr>
      </w:pPr>
      <w:r>
        <w:rPr>
          <w:color w:val="000000" w:themeColor="text1"/>
        </w:rPr>
        <w:t xml:space="preserve">Er worden maatregelen genomen om de beschreven risico’s te mitigeren en het bewustzijn te vergroten. Hiervoor </w:t>
      </w:r>
      <w:r w:rsidRPr="00BC3EF1">
        <w:rPr>
          <w:color w:val="000000" w:themeColor="text1"/>
        </w:rPr>
        <w:t>is</w:t>
      </w:r>
      <w:r>
        <w:rPr>
          <w:color w:val="000000" w:themeColor="text1"/>
        </w:rPr>
        <w:t xml:space="preserve"> op dit moment geen aanvullend wetgevingstraject</w:t>
      </w:r>
      <w:r w:rsidRPr="00BC3EF1">
        <w:rPr>
          <w:color w:val="000000" w:themeColor="text1"/>
        </w:rPr>
        <w:t xml:space="preserve"> benodigd</w:t>
      </w:r>
      <w:r>
        <w:rPr>
          <w:color w:val="000000" w:themeColor="text1"/>
        </w:rPr>
        <w:t xml:space="preserve">.  Mocht in de toekomst blijken dat extra aanvullende wetgeving toch bijdraagt aan het aantoonbaar verder kunnen mitigeren van het geschetste probleem dan zullen wij alsnog een traject </w:t>
      </w:r>
      <w:r w:rsidRPr="00BC3EF1">
        <w:rPr>
          <w:color w:val="000000" w:themeColor="text1"/>
        </w:rPr>
        <w:t>heroverwegen</w:t>
      </w:r>
      <w:r>
        <w:rPr>
          <w:color w:val="000000" w:themeColor="text1"/>
        </w:rPr>
        <w:t>.</w:t>
      </w:r>
    </w:p>
    <w:p w:rsidR="00AF08B4" w:rsidRDefault="00AF08B4" w14:paraId="3C7A099C" w14:textId="77777777"/>
    <w:sectPr w:rsidR="00AF08B4" w:rsidSect="00753979">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7D6C0" w14:textId="77777777" w:rsidR="00753979" w:rsidRDefault="00753979" w:rsidP="00753979">
      <w:pPr>
        <w:spacing w:after="0" w:line="240" w:lineRule="auto"/>
      </w:pPr>
      <w:r>
        <w:separator/>
      </w:r>
    </w:p>
  </w:endnote>
  <w:endnote w:type="continuationSeparator" w:id="0">
    <w:p w14:paraId="146E7CC4" w14:textId="77777777" w:rsidR="00753979" w:rsidRDefault="00753979" w:rsidP="00753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72AC2" w14:textId="77777777" w:rsidR="00753979" w:rsidRPr="00753979" w:rsidRDefault="00753979" w:rsidP="007539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6AC22" w14:textId="77777777" w:rsidR="00753979" w:rsidRPr="00753979" w:rsidRDefault="00753979" w:rsidP="007539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63ABD" w14:textId="77777777" w:rsidR="00753979" w:rsidRPr="00753979" w:rsidRDefault="00753979" w:rsidP="007539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BB013" w14:textId="77777777" w:rsidR="00753979" w:rsidRDefault="00753979" w:rsidP="00753979">
      <w:pPr>
        <w:spacing w:after="0" w:line="240" w:lineRule="auto"/>
      </w:pPr>
      <w:r>
        <w:separator/>
      </w:r>
    </w:p>
  </w:footnote>
  <w:footnote w:type="continuationSeparator" w:id="0">
    <w:p w14:paraId="49BE0DC4" w14:textId="77777777" w:rsidR="00753979" w:rsidRDefault="00753979" w:rsidP="00753979">
      <w:pPr>
        <w:spacing w:after="0" w:line="240" w:lineRule="auto"/>
      </w:pPr>
      <w:r>
        <w:continuationSeparator/>
      </w:r>
    </w:p>
  </w:footnote>
  <w:footnote w:id="1">
    <w:p w14:paraId="67B0EEDA" w14:textId="77777777" w:rsidR="00753979" w:rsidRDefault="00753979" w:rsidP="00753979">
      <w:pPr>
        <w:pStyle w:val="Voetnoottekst"/>
        <w:rPr>
          <w:sz w:val="18"/>
          <w:szCs w:val="18"/>
          <w:lang w:val="en-US"/>
        </w:rPr>
      </w:pPr>
      <w:r>
        <w:rPr>
          <w:rStyle w:val="Voetnootmarkering"/>
          <w:sz w:val="18"/>
          <w:szCs w:val="18"/>
        </w:rPr>
        <w:footnoteRef/>
      </w:r>
      <w:r>
        <w:rPr>
          <w:sz w:val="18"/>
          <w:szCs w:val="18"/>
          <w:lang w:val="en-US"/>
        </w:rPr>
        <w:t xml:space="preserve"> Ministry of </w:t>
      </w:r>
      <w:proofErr w:type="spellStart"/>
      <w:r>
        <w:rPr>
          <w:sz w:val="18"/>
          <w:szCs w:val="18"/>
          <w:lang w:val="en-US"/>
        </w:rPr>
        <w:t>Defence</w:t>
      </w:r>
      <w:proofErr w:type="spellEnd"/>
      <w:r>
        <w:rPr>
          <w:sz w:val="18"/>
          <w:szCs w:val="18"/>
          <w:lang w:val="en-US"/>
        </w:rPr>
        <w:t xml:space="preserve">, 17 </w:t>
      </w:r>
      <w:proofErr w:type="spellStart"/>
      <w:r>
        <w:rPr>
          <w:sz w:val="18"/>
          <w:szCs w:val="18"/>
          <w:lang w:val="en-US"/>
        </w:rPr>
        <w:t>september</w:t>
      </w:r>
      <w:proofErr w:type="spellEnd"/>
      <w:r>
        <w:rPr>
          <w:sz w:val="18"/>
          <w:szCs w:val="18"/>
          <w:lang w:val="en-US"/>
        </w:rPr>
        <w:t xml:space="preserve"> 2023 (https://www.gov.uk/government/news/former-armed-forcespersonnel-training-foreign-militaries-could-be-prosecuted-under-national-security-act)</w:t>
      </w:r>
    </w:p>
  </w:footnote>
  <w:footnote w:id="2">
    <w:p w14:paraId="09C81051" w14:textId="77777777" w:rsidR="00753979" w:rsidRDefault="00753979" w:rsidP="00753979">
      <w:pPr>
        <w:pStyle w:val="Voetnoottekst"/>
        <w:rPr>
          <w:sz w:val="18"/>
          <w:szCs w:val="18"/>
          <w:lang w:val="en-US"/>
        </w:rPr>
      </w:pPr>
      <w:r>
        <w:rPr>
          <w:rStyle w:val="Voetnootmarkering"/>
          <w:sz w:val="18"/>
          <w:szCs w:val="18"/>
        </w:rPr>
        <w:footnoteRef/>
      </w:r>
      <w:r>
        <w:rPr>
          <w:sz w:val="18"/>
          <w:szCs w:val="18"/>
          <w:lang w:val="en-US"/>
        </w:rPr>
        <w:t xml:space="preserve">   https://wetten.overheid.nl/BWBR0008924/2018-05-01</w:t>
      </w:r>
    </w:p>
  </w:footnote>
  <w:footnote w:id="3">
    <w:p w14:paraId="5B26B536" w14:textId="77777777" w:rsidR="00753979" w:rsidRDefault="00753979" w:rsidP="00753979">
      <w:pPr>
        <w:pStyle w:val="Voetnoottekst"/>
        <w:rPr>
          <w:sz w:val="18"/>
          <w:szCs w:val="18"/>
        </w:rPr>
      </w:pPr>
      <w:r>
        <w:rPr>
          <w:rStyle w:val="Voetnootmarkering"/>
          <w:sz w:val="18"/>
          <w:szCs w:val="18"/>
        </w:rPr>
        <w:footnoteRef/>
      </w:r>
      <w:r>
        <w:rPr>
          <w:sz w:val="18"/>
          <w:szCs w:val="18"/>
        </w:rPr>
        <w:t xml:space="preserve"> Bijvoorbeeld vertrouwensfunctionarissen met een veiligheidsmachtigingsniveau A en reservisten.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38370" w14:textId="77777777" w:rsidR="00753979" w:rsidRPr="00753979" w:rsidRDefault="00753979" w:rsidP="007539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732B6" w14:textId="77777777" w:rsidR="00753979" w:rsidRPr="00753979" w:rsidRDefault="00753979" w:rsidP="007539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DE98F" w14:textId="77777777" w:rsidR="00753979" w:rsidRPr="00753979" w:rsidRDefault="00753979" w:rsidP="007539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79"/>
    <w:rsid w:val="004E7AB8"/>
    <w:rsid w:val="00753979"/>
    <w:rsid w:val="00AF08B4"/>
    <w:rsid w:val="00FC24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08C6"/>
  <w15:chartTrackingRefBased/>
  <w15:docId w15:val="{7BDCA6F3-B406-46C5-B96F-64D2A6D1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99"/>
    <w:rsid w:val="00753979"/>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uiPriority w:val="1"/>
    <w:rsid w:val="00753979"/>
    <w:pPr>
      <w:autoSpaceDN w:val="0"/>
      <w:spacing w:after="0" w:line="180" w:lineRule="exact"/>
    </w:pPr>
    <w:rPr>
      <w:rFonts w:ascii="Verdana" w:eastAsia="SimSun" w:hAnsi="Verdana" w:cs="Lohit Hindi"/>
      <w:b/>
      <w:caps/>
      <w:kern w:val="0"/>
      <w:sz w:val="13"/>
      <w:szCs w:val="13"/>
      <w:lang w:eastAsia="zh-CN" w:bidi="hi-IN"/>
      <w14:ligatures w14:val="none"/>
    </w:rPr>
  </w:style>
  <w:style w:type="paragraph" w:customStyle="1" w:styleId="Toezendgegevens-Huisstijl">
    <w:name w:val="Toezendgegevens - Huisstijl"/>
    <w:basedOn w:val="Standaard"/>
    <w:uiPriority w:val="1"/>
    <w:rsid w:val="00753979"/>
    <w:pPr>
      <w:autoSpaceDN w:val="0"/>
      <w:spacing w:after="0" w:line="240" w:lineRule="exact"/>
    </w:pPr>
    <w:rPr>
      <w:rFonts w:ascii="Verdana" w:eastAsia="SimSun" w:hAnsi="Verdana" w:cs="Lohit Hindi"/>
      <w:kern w:val="0"/>
      <w:sz w:val="18"/>
      <w:szCs w:val="18"/>
      <w:lang w:eastAsia="zh-CN" w:bidi="hi-IN"/>
      <w14:ligatures w14:val="none"/>
    </w:rPr>
  </w:style>
  <w:style w:type="paragraph" w:customStyle="1" w:styleId="Paginanummer-Huisstijl">
    <w:name w:val="Paginanummer - Huisstijl"/>
    <w:basedOn w:val="Standaard"/>
    <w:uiPriority w:val="1"/>
    <w:rsid w:val="00753979"/>
    <w:pPr>
      <w:autoSpaceDN w:val="0"/>
      <w:spacing w:after="0" w:line="240" w:lineRule="auto"/>
    </w:pPr>
    <w:rPr>
      <w:rFonts w:ascii="Verdana" w:eastAsia="SimSun" w:hAnsi="Verdana" w:cs="Lohit Hindi"/>
      <w:kern w:val="0"/>
      <w:sz w:val="13"/>
      <w:szCs w:val="13"/>
      <w:lang w:eastAsia="zh-CN" w:bidi="hi-IN"/>
      <w14:ligatures w14:val="none"/>
    </w:rPr>
  </w:style>
  <w:style w:type="paragraph" w:styleId="Koptekst">
    <w:name w:val="header"/>
    <w:basedOn w:val="Standaard"/>
    <w:link w:val="KoptekstChar"/>
    <w:uiPriority w:val="99"/>
    <w:unhideWhenUsed/>
    <w:rsid w:val="00753979"/>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753979"/>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753979"/>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753979"/>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unhideWhenUsed/>
    <w:rsid w:val="00753979"/>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rsid w:val="00753979"/>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rsid w:val="00753979"/>
    <w:rPr>
      <w:rFonts w:cs="Times New Roman"/>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2301</ap:Words>
  <ap:Characters>12660</ap:Characters>
  <ap:DocSecurity>0</ap:DocSecurity>
  <ap:Lines>105</ap:Lines>
  <ap:Paragraphs>29</ap:Paragraphs>
  <ap:ScaleCrop>false</ap:ScaleCrop>
  <ap:LinksUpToDate>false</ap:LinksUpToDate>
  <ap:CharactersWithSpaces>14932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2025-01-08T13:17:00.0000000Z</dcterms:created>
  <dcterms:modified xsi:type="dcterms:W3CDTF">2025-01-08T13:19:00.0000000Z</dcterms:modified>
  <version/>
  <category/>
</coreProperties>
</file>