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9143C" w:rsidR="0099143C" w:rsidP="0099143C" w:rsidRDefault="0038614B" w14:paraId="4B928857" w14:textId="5F7259E8">
      <w:pPr>
        <w:ind w:left="1416" w:hanging="1416"/>
        <w:rPr>
          <w:rFonts w:ascii="Calibri" w:hAnsi="Calibri" w:cs="Calibri"/>
        </w:rPr>
      </w:pPr>
      <w:r w:rsidRPr="0099143C">
        <w:rPr>
          <w:rFonts w:ascii="Calibri" w:hAnsi="Calibri" w:cs="Calibri"/>
        </w:rPr>
        <w:t>36</w:t>
      </w:r>
      <w:r w:rsidR="0099143C">
        <w:rPr>
          <w:rFonts w:ascii="Calibri" w:hAnsi="Calibri" w:cs="Calibri"/>
        </w:rPr>
        <w:t xml:space="preserve"> </w:t>
      </w:r>
      <w:r w:rsidRPr="0099143C">
        <w:rPr>
          <w:rFonts w:ascii="Calibri" w:hAnsi="Calibri" w:cs="Calibri"/>
        </w:rPr>
        <w:t>600</w:t>
      </w:r>
      <w:r w:rsidR="0099143C">
        <w:rPr>
          <w:rFonts w:ascii="Calibri" w:hAnsi="Calibri" w:cs="Calibri"/>
        </w:rPr>
        <w:t xml:space="preserve"> </w:t>
      </w:r>
      <w:r w:rsidRPr="0099143C">
        <w:rPr>
          <w:rFonts w:ascii="Calibri" w:hAnsi="Calibri" w:cs="Calibri"/>
        </w:rPr>
        <w:t>XXIII</w:t>
      </w:r>
      <w:r w:rsidRPr="0099143C" w:rsidR="0099143C">
        <w:rPr>
          <w:rFonts w:ascii="Calibri" w:hAnsi="Calibri" w:cs="Calibri"/>
        </w:rPr>
        <w:tab/>
        <w:t>Vaststelling van de begrotingsstaat van het Ministerie van Klimaat en Groene Groei (XXIII) voor het jaar 2025</w:t>
      </w:r>
    </w:p>
    <w:p w:rsidRPr="0099143C" w:rsidR="0099143C" w:rsidP="0099143C" w:rsidRDefault="0099143C" w14:paraId="5A24C58A" w14:textId="77777777">
      <w:pPr>
        <w:rPr>
          <w:rFonts w:ascii="Calibri" w:hAnsi="Calibri" w:cs="Calibri"/>
        </w:rPr>
      </w:pPr>
      <w:r w:rsidRPr="0099143C">
        <w:rPr>
          <w:rFonts w:ascii="Calibri" w:hAnsi="Calibri" w:cs="Calibri"/>
        </w:rPr>
        <w:t xml:space="preserve">Nr. </w:t>
      </w:r>
      <w:r w:rsidRPr="0099143C" w:rsidR="0038614B">
        <w:rPr>
          <w:rFonts w:ascii="Calibri" w:hAnsi="Calibri" w:cs="Calibri"/>
        </w:rPr>
        <w:t>67</w:t>
      </w:r>
      <w:r w:rsidRPr="0099143C">
        <w:rPr>
          <w:rFonts w:ascii="Calibri" w:hAnsi="Calibri" w:cs="Calibri"/>
        </w:rPr>
        <w:tab/>
      </w:r>
      <w:r w:rsidRPr="0099143C">
        <w:rPr>
          <w:rFonts w:ascii="Calibri" w:hAnsi="Calibri" w:cs="Calibri"/>
        </w:rPr>
        <w:tab/>
        <w:t>Brief van de minister van Klimaat en Groene Groei</w:t>
      </w:r>
    </w:p>
    <w:p w:rsidRPr="0099143C" w:rsidR="0099143C" w:rsidP="0099143C" w:rsidRDefault="0099143C" w14:paraId="2C5A28A2" w14:textId="77777777">
      <w:pPr>
        <w:rPr>
          <w:rFonts w:ascii="Calibri" w:hAnsi="Calibri" w:cs="Calibri"/>
        </w:rPr>
      </w:pPr>
      <w:r w:rsidRPr="0099143C">
        <w:rPr>
          <w:rFonts w:ascii="Calibri" w:hAnsi="Calibri" w:cs="Calibri"/>
        </w:rPr>
        <w:t>Aan de Voorzitter van de Tweede Kamer der Staten-Generaal</w:t>
      </w:r>
    </w:p>
    <w:p w:rsidRPr="0099143C" w:rsidR="0099143C" w:rsidP="0099143C" w:rsidRDefault="0099143C" w14:paraId="1C593DD4" w14:textId="77777777">
      <w:pPr>
        <w:rPr>
          <w:rFonts w:ascii="Calibri" w:hAnsi="Calibri" w:cs="Calibri"/>
        </w:rPr>
      </w:pPr>
      <w:r w:rsidRPr="0099143C">
        <w:rPr>
          <w:rFonts w:ascii="Calibri" w:hAnsi="Calibri" w:cs="Calibri"/>
        </w:rPr>
        <w:t>Den Haag, 9 januari 2025</w:t>
      </w:r>
      <w:r w:rsidRPr="0099143C" w:rsidR="0038614B">
        <w:rPr>
          <w:rFonts w:ascii="Calibri" w:hAnsi="Calibri" w:cs="Calibri"/>
        </w:rPr>
        <w:br/>
      </w:r>
    </w:p>
    <w:p w:rsidRPr="0099143C" w:rsidR="0038614B" w:rsidP="0038614B" w:rsidRDefault="0038614B" w14:paraId="05AD50E5" w14:textId="4910960D">
      <w:pPr>
        <w:spacing w:after="0"/>
        <w:rPr>
          <w:rFonts w:ascii="Calibri" w:hAnsi="Calibri" w:cs="Calibri"/>
        </w:rPr>
      </w:pPr>
      <w:r w:rsidRPr="0099143C">
        <w:rPr>
          <w:rFonts w:ascii="Calibri" w:hAnsi="Calibri" w:cs="Calibri"/>
        </w:rPr>
        <w:br/>
        <w:t>Hierbij ontvangt u de reactie op de motie</w:t>
      </w:r>
      <w:r w:rsidRPr="0099143C">
        <w:rPr>
          <w:rStyle w:val="Voetnootmarkering"/>
          <w:rFonts w:ascii="Calibri" w:hAnsi="Calibri" w:cs="Calibri"/>
        </w:rPr>
        <w:footnoteReference w:id="1"/>
      </w:r>
      <w:r w:rsidRPr="0099143C">
        <w:rPr>
          <w:rFonts w:ascii="Calibri" w:hAnsi="Calibri" w:cs="Calibri"/>
        </w:rPr>
        <w:t xml:space="preserve"> van de leden Grinwis (CU) en Rooderkerk (D66), ingediend tijdens het begrotingsdebat van het Ministerie van Klimaat en Groene Groei. De motie verzoekt de regering om een overzicht met de Kamer te delen van al het geagendeerde beleid dat leidt tot minder dan wel meer broeikasgasreductie in de komende jaren, maar dat nog niet is meegenomen in de Klimaat- en Energieverkenning 2024, omdat het nog onvoldoende concreet is. Indien de beleidsinstrumenten verder uitgewerkt worden, zullen ze worden meegenomen in de KEV 2025 zodra er een kwantitatieve inschatting kan worden gemaakt van de mogelijke effecten. </w:t>
      </w:r>
    </w:p>
    <w:p w:rsidRPr="0099143C" w:rsidR="0038614B" w:rsidP="0038614B" w:rsidRDefault="0038614B" w14:paraId="650512F1" w14:textId="77777777">
      <w:pPr>
        <w:spacing w:after="0"/>
        <w:rPr>
          <w:rFonts w:ascii="Calibri" w:hAnsi="Calibri" w:cs="Calibri"/>
        </w:rPr>
      </w:pPr>
    </w:p>
    <w:p w:rsidRPr="0099143C" w:rsidR="0038614B" w:rsidP="0038614B" w:rsidRDefault="0038614B" w14:paraId="0EB498C5" w14:textId="77777777">
      <w:pPr>
        <w:spacing w:after="0"/>
        <w:rPr>
          <w:rFonts w:ascii="Calibri" w:hAnsi="Calibri" w:cs="Calibri"/>
        </w:rPr>
      </w:pPr>
    </w:p>
    <w:p w:rsidRPr="0099143C" w:rsidR="0038614B" w:rsidP="0038614B" w:rsidRDefault="0038614B" w14:paraId="415582A7" w14:textId="77777777">
      <w:pPr>
        <w:spacing w:after="0"/>
        <w:rPr>
          <w:rFonts w:ascii="Calibri" w:hAnsi="Calibri" w:cs="Calibri"/>
        </w:rPr>
      </w:pPr>
    </w:p>
    <w:p w:rsidRPr="0099143C" w:rsidR="0099143C" w:rsidP="0099143C" w:rsidRDefault="0099143C" w14:paraId="3ADCE64B" w14:textId="36C89D13">
      <w:pPr>
        <w:pStyle w:val="Geenafstand"/>
        <w:rPr>
          <w:rFonts w:ascii="Calibri" w:hAnsi="Calibri" w:cs="Calibri"/>
        </w:rPr>
      </w:pPr>
      <w:r w:rsidRPr="0099143C">
        <w:rPr>
          <w:rFonts w:ascii="Calibri" w:hAnsi="Calibri" w:cs="Calibri"/>
        </w:rPr>
        <w:t>De m</w:t>
      </w:r>
      <w:r w:rsidRPr="0099143C">
        <w:rPr>
          <w:rFonts w:ascii="Calibri" w:hAnsi="Calibri" w:cs="Calibri"/>
        </w:rPr>
        <w:t>inister van Klimaat en Groene Groei</w:t>
      </w:r>
      <w:r w:rsidRPr="0099143C">
        <w:rPr>
          <w:rFonts w:ascii="Calibri" w:hAnsi="Calibri" w:cs="Calibri"/>
        </w:rPr>
        <w:t>,</w:t>
      </w:r>
    </w:p>
    <w:p w:rsidRPr="0099143C" w:rsidR="0038614B" w:rsidP="0099143C" w:rsidRDefault="0038614B" w14:paraId="1447A878" w14:textId="1F31E73F">
      <w:pPr>
        <w:pStyle w:val="Geenafstand"/>
        <w:rPr>
          <w:rFonts w:ascii="Calibri" w:hAnsi="Calibri" w:cs="Calibri"/>
        </w:rPr>
      </w:pPr>
      <w:r w:rsidRPr="0099143C">
        <w:rPr>
          <w:rFonts w:ascii="Calibri" w:hAnsi="Calibri" w:cs="Calibri"/>
        </w:rPr>
        <w:t>S</w:t>
      </w:r>
      <w:r w:rsidRPr="0099143C" w:rsidR="0099143C">
        <w:rPr>
          <w:rFonts w:ascii="Calibri" w:hAnsi="Calibri" w:cs="Calibri"/>
        </w:rPr>
        <w:t>.T.M.</w:t>
      </w:r>
      <w:r w:rsidRPr="0099143C">
        <w:rPr>
          <w:rFonts w:ascii="Calibri" w:hAnsi="Calibri" w:cs="Calibri"/>
        </w:rPr>
        <w:t xml:space="preserve"> Hermans</w:t>
      </w:r>
    </w:p>
    <w:p w:rsidRPr="0099143C" w:rsidR="0038614B" w:rsidP="0038614B" w:rsidRDefault="0038614B" w14:paraId="2ED5FB13" w14:textId="77777777">
      <w:pPr>
        <w:spacing w:after="0"/>
        <w:rPr>
          <w:rFonts w:ascii="Calibri" w:hAnsi="Calibri" w:cs="Calibri"/>
        </w:rPr>
      </w:pPr>
      <w:r w:rsidRPr="0099143C">
        <w:rPr>
          <w:rFonts w:ascii="Calibri" w:hAnsi="Calibri" w:cs="Calibri"/>
        </w:rPr>
        <w:br w:type="page"/>
      </w:r>
    </w:p>
    <w:p w:rsidRPr="0099143C" w:rsidR="0038614B" w:rsidP="0038614B" w:rsidRDefault="0038614B" w14:paraId="620DD082" w14:textId="77777777">
      <w:pPr>
        <w:spacing w:after="0"/>
        <w:rPr>
          <w:rFonts w:ascii="Calibri" w:hAnsi="Calibri" w:cs="Calibri"/>
        </w:rPr>
      </w:pPr>
      <w:r w:rsidRPr="0099143C">
        <w:rPr>
          <w:rFonts w:ascii="Calibri" w:hAnsi="Calibri" w:cs="Calibri"/>
        </w:rPr>
        <w:lastRenderedPageBreak/>
        <w:t>De onderstaande lijst is samengesteld op basis van het overzicht dat gepresenteerd wordt in het PBL-achtergrondrapport ‘</w:t>
      </w:r>
      <w:r w:rsidRPr="0099143C">
        <w:rPr>
          <w:rFonts w:ascii="Calibri" w:hAnsi="Calibri" w:cs="Calibri"/>
          <w:i/>
          <w:iCs/>
        </w:rPr>
        <w:t xml:space="preserve">Beleidsoverzicht en factsheets beleidsinstrumenten’ </w:t>
      </w:r>
      <w:r w:rsidRPr="0099143C">
        <w:rPr>
          <w:rFonts w:ascii="Calibri" w:hAnsi="Calibri" w:cs="Calibri"/>
        </w:rPr>
        <w:t>bij de KEV 2024. Dit achtergrondrapport bevat per sector zeer uitgebreide lijsten van maatregelen die vanuit het beleid op basis van de kabinetsbesluitvorming in de afgelopen jaren bij het PBL zijn aangeleverd. Daarbij is door PBL aangegeven of het vastgesteld, voorgenomen of geagendeerd beleid is en of het wel of niet is meegenomen in de KEV. Hieronder is conform de motie een subselectie uit deze tabellen gemaakt van al het geagendeerde beleid dat, naar inschatting van het beleid, leidt tot minder dan wel meer broeikasgasreductie in de komende jaren. Geagendeerd beleid met naar inschatting weinig tot geen CO</w:t>
      </w:r>
      <w:r w:rsidRPr="0099143C">
        <w:rPr>
          <w:rFonts w:ascii="Calibri" w:hAnsi="Calibri" w:cs="Calibri"/>
          <w:vertAlign w:val="subscript"/>
        </w:rPr>
        <w:t>2</w:t>
      </w:r>
      <w:r w:rsidRPr="0099143C">
        <w:rPr>
          <w:rFonts w:ascii="Calibri" w:hAnsi="Calibri" w:cs="Calibri"/>
        </w:rPr>
        <w:t xml:space="preserve">-effecten is daarmee geen onderdeel van onderstaande lijst. </w:t>
      </w:r>
    </w:p>
    <w:p w:rsidRPr="0099143C" w:rsidR="0038614B" w:rsidP="0038614B" w:rsidRDefault="0038614B" w14:paraId="4704E571" w14:textId="77777777">
      <w:pPr>
        <w:spacing w:after="0"/>
        <w:rPr>
          <w:rFonts w:ascii="Calibri" w:hAnsi="Calibri" w:cs="Calibri"/>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479"/>
      </w:tblGrid>
      <w:tr w:rsidRPr="0099143C" w:rsidR="0038614B" w:rsidTr="00693B0D" w14:paraId="19D905AD" w14:textId="77777777">
        <w:trPr>
          <w:trHeight w:val="290"/>
        </w:trPr>
        <w:tc>
          <w:tcPr>
            <w:tcW w:w="7479" w:type="dxa"/>
            <w:noWrap/>
            <w:hideMark/>
          </w:tcPr>
          <w:p w:rsidRPr="0099143C" w:rsidR="0038614B" w:rsidP="0038614B" w:rsidRDefault="0038614B" w14:paraId="21E2EE34" w14:textId="77777777">
            <w:pPr>
              <w:rPr>
                <w:rFonts w:ascii="Calibri" w:hAnsi="Calibri" w:cs="Calibri"/>
                <w:sz w:val="22"/>
                <w:szCs w:val="22"/>
                <w:u w:val="single"/>
              </w:rPr>
            </w:pPr>
            <w:r w:rsidRPr="0099143C">
              <w:rPr>
                <w:rFonts w:ascii="Calibri" w:hAnsi="Calibri" w:cs="Calibri"/>
                <w:sz w:val="22"/>
                <w:szCs w:val="22"/>
                <w:u w:val="single"/>
              </w:rPr>
              <w:t>Algemeen</w:t>
            </w:r>
          </w:p>
        </w:tc>
      </w:tr>
      <w:tr w:rsidRPr="0099143C" w:rsidR="0038614B" w:rsidTr="00693B0D" w14:paraId="77415D6B" w14:textId="77777777">
        <w:trPr>
          <w:trHeight w:val="290"/>
        </w:trPr>
        <w:tc>
          <w:tcPr>
            <w:tcW w:w="7479" w:type="dxa"/>
            <w:noWrap/>
            <w:hideMark/>
          </w:tcPr>
          <w:p w:rsidRPr="0099143C" w:rsidR="0038614B" w:rsidP="0038614B" w:rsidRDefault="0038614B" w14:paraId="35BB8DF2" w14:textId="77777777">
            <w:pPr>
              <w:rPr>
                <w:rFonts w:ascii="Calibri" w:hAnsi="Calibri" w:cs="Calibri"/>
                <w:sz w:val="22"/>
                <w:szCs w:val="22"/>
                <w:lang w:val="nl-NL"/>
              </w:rPr>
            </w:pPr>
            <w:r w:rsidRPr="0099143C">
              <w:rPr>
                <w:rFonts w:ascii="Calibri" w:hAnsi="Calibri" w:cs="Calibri"/>
                <w:sz w:val="22"/>
                <w:szCs w:val="22"/>
                <w:lang w:val="nl-NL"/>
              </w:rPr>
              <w:t>Negatieve emissies door o.a. BECCS</w:t>
            </w:r>
          </w:p>
        </w:tc>
      </w:tr>
      <w:tr w:rsidRPr="0099143C" w:rsidR="0038614B" w:rsidTr="00693B0D" w14:paraId="0AA7F7C2" w14:textId="77777777">
        <w:trPr>
          <w:trHeight w:val="290"/>
        </w:trPr>
        <w:tc>
          <w:tcPr>
            <w:tcW w:w="7479" w:type="dxa"/>
            <w:noWrap/>
          </w:tcPr>
          <w:p w:rsidRPr="0099143C" w:rsidR="0038614B" w:rsidP="0038614B" w:rsidRDefault="0038614B" w14:paraId="21A9D047" w14:textId="77777777">
            <w:pPr>
              <w:rPr>
                <w:rFonts w:ascii="Calibri" w:hAnsi="Calibri" w:cs="Calibri"/>
                <w:sz w:val="22"/>
                <w:szCs w:val="22"/>
                <w:lang w:val="nl-NL"/>
              </w:rPr>
            </w:pPr>
          </w:p>
        </w:tc>
      </w:tr>
      <w:tr w:rsidRPr="0099143C" w:rsidR="0038614B" w:rsidTr="00693B0D" w14:paraId="536512FF" w14:textId="77777777">
        <w:trPr>
          <w:trHeight w:val="290"/>
        </w:trPr>
        <w:tc>
          <w:tcPr>
            <w:tcW w:w="7479" w:type="dxa"/>
            <w:noWrap/>
          </w:tcPr>
          <w:p w:rsidRPr="0099143C" w:rsidR="0038614B" w:rsidP="0038614B" w:rsidRDefault="0038614B" w14:paraId="68D87749" w14:textId="77777777">
            <w:pPr>
              <w:rPr>
                <w:rFonts w:ascii="Calibri" w:hAnsi="Calibri" w:cs="Calibri"/>
                <w:sz w:val="22"/>
                <w:szCs w:val="22"/>
                <w:u w:val="single"/>
              </w:rPr>
            </w:pPr>
            <w:r w:rsidRPr="0099143C">
              <w:rPr>
                <w:rFonts w:ascii="Calibri" w:hAnsi="Calibri" w:cs="Calibri"/>
                <w:sz w:val="22"/>
                <w:szCs w:val="22"/>
                <w:u w:val="single"/>
              </w:rPr>
              <w:t>Elektriciteit</w:t>
            </w:r>
          </w:p>
        </w:tc>
      </w:tr>
      <w:tr w:rsidRPr="0099143C" w:rsidR="0038614B" w:rsidTr="00693B0D" w14:paraId="16CDF636" w14:textId="77777777">
        <w:trPr>
          <w:trHeight w:val="290"/>
        </w:trPr>
        <w:tc>
          <w:tcPr>
            <w:tcW w:w="7479" w:type="dxa"/>
            <w:noWrap/>
            <w:hideMark/>
          </w:tcPr>
          <w:p w:rsidRPr="0099143C" w:rsidR="0038614B" w:rsidP="0038614B" w:rsidRDefault="0038614B" w14:paraId="6796948E" w14:textId="77777777">
            <w:pPr>
              <w:rPr>
                <w:rFonts w:ascii="Calibri" w:hAnsi="Calibri" w:cs="Calibri"/>
                <w:sz w:val="22"/>
                <w:szCs w:val="22"/>
                <w:lang w:val="nl-NL"/>
              </w:rPr>
            </w:pPr>
            <w:r w:rsidRPr="0099143C">
              <w:rPr>
                <w:rFonts w:ascii="Calibri" w:hAnsi="Calibri" w:cs="Calibri"/>
                <w:sz w:val="22"/>
                <w:szCs w:val="22"/>
                <w:lang w:val="nl-NL"/>
              </w:rPr>
              <w:t>Aanvullende inzet normering zon-PV</w:t>
            </w:r>
          </w:p>
        </w:tc>
      </w:tr>
      <w:tr w:rsidRPr="0099143C" w:rsidR="0038614B" w:rsidTr="00693B0D" w14:paraId="0ACECFF8" w14:textId="77777777">
        <w:trPr>
          <w:trHeight w:val="290"/>
        </w:trPr>
        <w:tc>
          <w:tcPr>
            <w:tcW w:w="7479" w:type="dxa"/>
            <w:noWrap/>
            <w:hideMark/>
          </w:tcPr>
          <w:p w:rsidRPr="0099143C" w:rsidR="0038614B" w:rsidP="0038614B" w:rsidRDefault="0038614B" w14:paraId="766B3B4C" w14:textId="77777777">
            <w:pPr>
              <w:rPr>
                <w:rFonts w:ascii="Calibri" w:hAnsi="Calibri" w:cs="Calibri"/>
                <w:sz w:val="22"/>
                <w:szCs w:val="22"/>
                <w:lang w:val="nl-NL"/>
              </w:rPr>
            </w:pPr>
            <w:r w:rsidRPr="0099143C">
              <w:rPr>
                <w:rFonts w:ascii="Calibri" w:hAnsi="Calibri" w:cs="Calibri"/>
                <w:sz w:val="22"/>
                <w:szCs w:val="22"/>
                <w:lang w:val="nl-NL"/>
              </w:rPr>
              <w:t>Demand Side Response (DSR) in eindgebruikerssectoren</w:t>
            </w:r>
          </w:p>
        </w:tc>
      </w:tr>
      <w:tr w:rsidRPr="0099143C" w:rsidR="0038614B" w:rsidTr="00693B0D" w14:paraId="7E9ACA35" w14:textId="77777777">
        <w:trPr>
          <w:trHeight w:val="290"/>
        </w:trPr>
        <w:tc>
          <w:tcPr>
            <w:tcW w:w="7479" w:type="dxa"/>
            <w:noWrap/>
            <w:hideMark/>
          </w:tcPr>
          <w:p w:rsidRPr="0099143C" w:rsidR="0038614B" w:rsidP="0038614B" w:rsidRDefault="0038614B" w14:paraId="3B0D0C39" w14:textId="77777777">
            <w:pPr>
              <w:rPr>
                <w:rFonts w:ascii="Calibri" w:hAnsi="Calibri" w:cs="Calibri"/>
                <w:sz w:val="22"/>
                <w:szCs w:val="22"/>
                <w:lang w:val="nl-NL"/>
              </w:rPr>
            </w:pPr>
            <w:r w:rsidRPr="0099143C">
              <w:rPr>
                <w:rFonts w:ascii="Calibri" w:hAnsi="Calibri" w:cs="Calibri"/>
                <w:sz w:val="22"/>
                <w:szCs w:val="22"/>
                <w:lang w:val="nl-NL"/>
              </w:rPr>
              <w:t>Subsidie inzet batterij bij grootschalig zon-PV</w:t>
            </w:r>
          </w:p>
        </w:tc>
      </w:tr>
      <w:tr w:rsidRPr="0099143C" w:rsidR="0038614B" w:rsidTr="00693B0D" w14:paraId="736C72C3" w14:textId="77777777">
        <w:trPr>
          <w:trHeight w:val="290"/>
        </w:trPr>
        <w:tc>
          <w:tcPr>
            <w:tcW w:w="7479" w:type="dxa"/>
            <w:noWrap/>
          </w:tcPr>
          <w:p w:rsidRPr="0099143C" w:rsidR="0038614B" w:rsidP="0038614B" w:rsidRDefault="0038614B" w14:paraId="134C5BDA" w14:textId="77777777">
            <w:pPr>
              <w:rPr>
                <w:rFonts w:ascii="Calibri" w:hAnsi="Calibri" w:cs="Calibri"/>
                <w:sz w:val="22"/>
                <w:szCs w:val="22"/>
                <w:lang w:val="nl-NL"/>
              </w:rPr>
            </w:pPr>
          </w:p>
        </w:tc>
      </w:tr>
      <w:tr w:rsidRPr="0099143C" w:rsidR="0038614B" w:rsidTr="00693B0D" w14:paraId="7CF6C5A2" w14:textId="77777777">
        <w:trPr>
          <w:trHeight w:val="290"/>
        </w:trPr>
        <w:tc>
          <w:tcPr>
            <w:tcW w:w="7479" w:type="dxa"/>
            <w:noWrap/>
          </w:tcPr>
          <w:p w:rsidRPr="0099143C" w:rsidR="0038614B" w:rsidP="0038614B" w:rsidRDefault="0038614B" w14:paraId="227BA85D" w14:textId="77777777">
            <w:pPr>
              <w:rPr>
                <w:rFonts w:ascii="Calibri" w:hAnsi="Calibri" w:cs="Calibri"/>
                <w:sz w:val="22"/>
                <w:szCs w:val="22"/>
                <w:u w:val="single"/>
              </w:rPr>
            </w:pPr>
            <w:r w:rsidRPr="0099143C">
              <w:rPr>
                <w:rFonts w:ascii="Calibri" w:hAnsi="Calibri" w:cs="Calibri"/>
                <w:sz w:val="22"/>
                <w:szCs w:val="22"/>
                <w:u w:val="single"/>
              </w:rPr>
              <w:t>Gebouwde omgeving</w:t>
            </w:r>
          </w:p>
        </w:tc>
      </w:tr>
      <w:tr w:rsidRPr="0099143C" w:rsidR="0038614B" w:rsidTr="00693B0D" w14:paraId="46C01524" w14:textId="77777777">
        <w:trPr>
          <w:trHeight w:val="290"/>
        </w:trPr>
        <w:tc>
          <w:tcPr>
            <w:tcW w:w="7479" w:type="dxa"/>
            <w:noWrap/>
            <w:hideMark/>
          </w:tcPr>
          <w:p w:rsidRPr="0099143C" w:rsidR="0038614B" w:rsidP="0038614B" w:rsidRDefault="0038614B" w14:paraId="2208CD7E" w14:textId="77777777">
            <w:pPr>
              <w:rPr>
                <w:rFonts w:ascii="Calibri" w:hAnsi="Calibri" w:cs="Calibri"/>
                <w:sz w:val="22"/>
                <w:szCs w:val="22"/>
              </w:rPr>
            </w:pPr>
            <w:r w:rsidRPr="0099143C">
              <w:rPr>
                <w:rFonts w:ascii="Calibri" w:hAnsi="Calibri" w:cs="Calibri"/>
                <w:sz w:val="22"/>
                <w:szCs w:val="22"/>
              </w:rPr>
              <w:t>Normering biobased bouwen</w:t>
            </w:r>
          </w:p>
        </w:tc>
      </w:tr>
      <w:tr w:rsidRPr="0099143C" w:rsidR="0038614B" w:rsidTr="00693B0D" w14:paraId="30330B11" w14:textId="77777777">
        <w:trPr>
          <w:trHeight w:val="290"/>
        </w:trPr>
        <w:tc>
          <w:tcPr>
            <w:tcW w:w="7479" w:type="dxa"/>
            <w:noWrap/>
            <w:hideMark/>
          </w:tcPr>
          <w:p w:rsidRPr="0099143C" w:rsidR="0038614B" w:rsidP="0038614B" w:rsidRDefault="0038614B" w14:paraId="51F7F306" w14:textId="77777777">
            <w:pPr>
              <w:rPr>
                <w:rFonts w:ascii="Calibri" w:hAnsi="Calibri" w:cs="Calibri"/>
                <w:sz w:val="22"/>
                <w:szCs w:val="22"/>
              </w:rPr>
            </w:pPr>
            <w:r w:rsidRPr="0099143C">
              <w:rPr>
                <w:rFonts w:ascii="Calibri" w:hAnsi="Calibri" w:cs="Calibri"/>
                <w:sz w:val="22"/>
                <w:szCs w:val="22"/>
              </w:rPr>
              <w:t>Normering utiliteitsbouw</w:t>
            </w:r>
          </w:p>
        </w:tc>
      </w:tr>
      <w:tr w:rsidRPr="0099143C" w:rsidR="0038614B" w:rsidTr="00693B0D" w14:paraId="72A916E5" w14:textId="77777777">
        <w:trPr>
          <w:trHeight w:val="290"/>
        </w:trPr>
        <w:tc>
          <w:tcPr>
            <w:tcW w:w="7479" w:type="dxa"/>
            <w:noWrap/>
          </w:tcPr>
          <w:p w:rsidRPr="0099143C" w:rsidR="0038614B" w:rsidP="0038614B" w:rsidRDefault="0038614B" w14:paraId="313C5582" w14:textId="77777777">
            <w:pPr>
              <w:rPr>
                <w:rFonts w:ascii="Calibri" w:hAnsi="Calibri" w:cs="Calibri"/>
                <w:b/>
                <w:bCs/>
                <w:sz w:val="22"/>
                <w:szCs w:val="22"/>
              </w:rPr>
            </w:pPr>
          </w:p>
        </w:tc>
      </w:tr>
      <w:tr w:rsidRPr="0099143C" w:rsidR="0038614B" w:rsidTr="00693B0D" w14:paraId="42DD7ADB" w14:textId="77777777">
        <w:trPr>
          <w:trHeight w:val="290"/>
        </w:trPr>
        <w:tc>
          <w:tcPr>
            <w:tcW w:w="7479" w:type="dxa"/>
            <w:noWrap/>
          </w:tcPr>
          <w:p w:rsidRPr="0099143C" w:rsidR="0038614B" w:rsidP="0038614B" w:rsidRDefault="0038614B" w14:paraId="5BE031A5" w14:textId="77777777">
            <w:pPr>
              <w:rPr>
                <w:rFonts w:ascii="Calibri" w:hAnsi="Calibri" w:cs="Calibri"/>
                <w:sz w:val="22"/>
                <w:szCs w:val="22"/>
                <w:u w:val="single"/>
              </w:rPr>
            </w:pPr>
            <w:r w:rsidRPr="0099143C">
              <w:rPr>
                <w:rFonts w:ascii="Calibri" w:hAnsi="Calibri" w:cs="Calibri"/>
                <w:sz w:val="22"/>
                <w:szCs w:val="22"/>
                <w:u w:val="single"/>
              </w:rPr>
              <w:t>Industrie</w:t>
            </w:r>
          </w:p>
        </w:tc>
      </w:tr>
      <w:tr w:rsidRPr="0099143C" w:rsidR="0038614B" w:rsidTr="00693B0D" w14:paraId="4B0923DB" w14:textId="77777777">
        <w:trPr>
          <w:trHeight w:val="290"/>
        </w:trPr>
        <w:tc>
          <w:tcPr>
            <w:tcW w:w="7479" w:type="dxa"/>
            <w:noWrap/>
            <w:hideMark/>
          </w:tcPr>
          <w:p w:rsidRPr="0099143C" w:rsidR="0038614B" w:rsidP="0038614B" w:rsidRDefault="0038614B" w14:paraId="45BEFD53" w14:textId="77777777">
            <w:pPr>
              <w:rPr>
                <w:rFonts w:ascii="Calibri" w:hAnsi="Calibri" w:cs="Calibri"/>
                <w:sz w:val="22"/>
                <w:szCs w:val="22"/>
              </w:rPr>
            </w:pPr>
            <w:r w:rsidRPr="0099143C">
              <w:rPr>
                <w:rFonts w:ascii="Calibri" w:hAnsi="Calibri" w:cs="Calibri"/>
                <w:sz w:val="22"/>
                <w:szCs w:val="22"/>
              </w:rPr>
              <w:t>Negatieve emissies AVI’s</w:t>
            </w:r>
          </w:p>
        </w:tc>
      </w:tr>
      <w:tr w:rsidRPr="0099143C" w:rsidR="0038614B" w:rsidTr="00693B0D" w14:paraId="08A58E65" w14:textId="77777777">
        <w:trPr>
          <w:trHeight w:val="290"/>
        </w:trPr>
        <w:tc>
          <w:tcPr>
            <w:tcW w:w="7479" w:type="dxa"/>
            <w:noWrap/>
            <w:hideMark/>
          </w:tcPr>
          <w:p w:rsidRPr="0099143C" w:rsidR="0038614B" w:rsidP="0038614B" w:rsidRDefault="0038614B" w14:paraId="38B16612" w14:textId="77777777">
            <w:pPr>
              <w:rPr>
                <w:rFonts w:ascii="Calibri" w:hAnsi="Calibri" w:cs="Calibri"/>
                <w:sz w:val="22"/>
                <w:szCs w:val="22"/>
              </w:rPr>
            </w:pPr>
            <w:r w:rsidRPr="0099143C">
              <w:rPr>
                <w:rFonts w:ascii="Calibri" w:hAnsi="Calibri" w:cs="Calibri"/>
                <w:sz w:val="22"/>
                <w:szCs w:val="22"/>
              </w:rPr>
              <w:t>Normering fossiele warmte-opwek</w:t>
            </w:r>
          </w:p>
        </w:tc>
      </w:tr>
      <w:tr w:rsidRPr="0099143C" w:rsidR="0038614B" w:rsidTr="00693B0D" w14:paraId="0A313188" w14:textId="77777777">
        <w:trPr>
          <w:trHeight w:val="290"/>
        </w:trPr>
        <w:tc>
          <w:tcPr>
            <w:tcW w:w="7479" w:type="dxa"/>
            <w:noWrap/>
          </w:tcPr>
          <w:p w:rsidRPr="0099143C" w:rsidR="0038614B" w:rsidP="0038614B" w:rsidRDefault="0038614B" w14:paraId="5254619A" w14:textId="77777777">
            <w:pPr>
              <w:rPr>
                <w:rFonts w:ascii="Calibri" w:hAnsi="Calibri" w:cs="Calibri"/>
                <w:sz w:val="22"/>
                <w:szCs w:val="22"/>
              </w:rPr>
            </w:pPr>
          </w:p>
        </w:tc>
      </w:tr>
      <w:tr w:rsidRPr="0099143C" w:rsidR="0038614B" w:rsidTr="00693B0D" w14:paraId="40BDC3DA" w14:textId="77777777">
        <w:trPr>
          <w:trHeight w:val="290"/>
        </w:trPr>
        <w:tc>
          <w:tcPr>
            <w:tcW w:w="7479" w:type="dxa"/>
            <w:noWrap/>
          </w:tcPr>
          <w:p w:rsidRPr="0099143C" w:rsidR="0038614B" w:rsidP="0038614B" w:rsidRDefault="0038614B" w14:paraId="1C45E70E" w14:textId="77777777">
            <w:pPr>
              <w:rPr>
                <w:rFonts w:ascii="Calibri" w:hAnsi="Calibri" w:cs="Calibri"/>
                <w:sz w:val="22"/>
                <w:szCs w:val="22"/>
                <w:u w:val="single"/>
              </w:rPr>
            </w:pPr>
            <w:r w:rsidRPr="0099143C">
              <w:rPr>
                <w:rFonts w:ascii="Calibri" w:hAnsi="Calibri" w:cs="Calibri"/>
                <w:sz w:val="22"/>
                <w:szCs w:val="22"/>
                <w:u w:val="single"/>
              </w:rPr>
              <w:t>Landbouw</w:t>
            </w:r>
          </w:p>
        </w:tc>
      </w:tr>
      <w:tr w:rsidRPr="0099143C" w:rsidR="0038614B" w:rsidTr="00693B0D" w14:paraId="24DAD302" w14:textId="77777777">
        <w:trPr>
          <w:trHeight w:val="290"/>
        </w:trPr>
        <w:tc>
          <w:tcPr>
            <w:tcW w:w="7479" w:type="dxa"/>
            <w:noWrap/>
            <w:hideMark/>
          </w:tcPr>
          <w:p w:rsidRPr="0099143C" w:rsidR="0038614B" w:rsidP="0038614B" w:rsidRDefault="0038614B" w14:paraId="4B0F4BC6" w14:textId="77777777">
            <w:pPr>
              <w:rPr>
                <w:rFonts w:ascii="Calibri" w:hAnsi="Calibri" w:cs="Calibri"/>
                <w:sz w:val="22"/>
                <w:szCs w:val="22"/>
                <w:lang w:val="nl-NL"/>
              </w:rPr>
            </w:pPr>
            <w:r w:rsidRPr="0099143C">
              <w:rPr>
                <w:rFonts w:ascii="Calibri" w:hAnsi="Calibri" w:cs="Calibri"/>
                <w:sz w:val="22"/>
                <w:szCs w:val="22"/>
                <w:lang w:val="nl-NL"/>
              </w:rPr>
              <w:t>Bedrijfsspecifieke emissiedoelen op basis van afrekenbare stoffenbalans</w:t>
            </w:r>
          </w:p>
        </w:tc>
      </w:tr>
      <w:tr w:rsidRPr="0099143C" w:rsidR="0038614B" w:rsidTr="00693B0D" w14:paraId="491C13C6" w14:textId="77777777">
        <w:trPr>
          <w:trHeight w:val="290"/>
        </w:trPr>
        <w:tc>
          <w:tcPr>
            <w:tcW w:w="7479" w:type="dxa"/>
            <w:noWrap/>
          </w:tcPr>
          <w:p w:rsidRPr="0099143C" w:rsidR="0038614B" w:rsidP="0038614B" w:rsidRDefault="0038614B" w14:paraId="79DDB2AA" w14:textId="77777777">
            <w:pPr>
              <w:rPr>
                <w:rFonts w:ascii="Calibri" w:hAnsi="Calibri" w:cs="Calibri"/>
                <w:sz w:val="22"/>
                <w:szCs w:val="22"/>
                <w:lang w:val="nl-NL"/>
              </w:rPr>
            </w:pPr>
          </w:p>
        </w:tc>
      </w:tr>
      <w:tr w:rsidRPr="0099143C" w:rsidR="0038614B" w:rsidTr="00693B0D" w14:paraId="1A9CEE83" w14:textId="77777777">
        <w:trPr>
          <w:trHeight w:val="290"/>
        </w:trPr>
        <w:tc>
          <w:tcPr>
            <w:tcW w:w="7479" w:type="dxa"/>
            <w:noWrap/>
          </w:tcPr>
          <w:p w:rsidRPr="0099143C" w:rsidR="0038614B" w:rsidP="0038614B" w:rsidRDefault="0038614B" w14:paraId="552F820C" w14:textId="77777777">
            <w:pPr>
              <w:rPr>
                <w:rFonts w:ascii="Calibri" w:hAnsi="Calibri" w:cs="Calibri"/>
                <w:sz w:val="22"/>
                <w:szCs w:val="22"/>
                <w:u w:val="single"/>
              </w:rPr>
            </w:pPr>
            <w:r w:rsidRPr="0099143C">
              <w:rPr>
                <w:rFonts w:ascii="Calibri" w:hAnsi="Calibri" w:cs="Calibri"/>
                <w:sz w:val="22"/>
                <w:szCs w:val="22"/>
                <w:u w:val="single"/>
              </w:rPr>
              <w:t>Mobiliteit</w:t>
            </w:r>
          </w:p>
        </w:tc>
      </w:tr>
      <w:tr w:rsidRPr="0099143C" w:rsidR="0038614B" w:rsidTr="00693B0D" w14:paraId="181C3D09" w14:textId="77777777">
        <w:trPr>
          <w:trHeight w:val="290"/>
        </w:trPr>
        <w:tc>
          <w:tcPr>
            <w:tcW w:w="7479" w:type="dxa"/>
            <w:noWrap/>
            <w:hideMark/>
          </w:tcPr>
          <w:p w:rsidRPr="0099143C" w:rsidR="0038614B" w:rsidP="0038614B" w:rsidRDefault="0038614B" w14:paraId="1176DD80" w14:textId="77777777">
            <w:pPr>
              <w:rPr>
                <w:rFonts w:ascii="Calibri" w:hAnsi="Calibri" w:cs="Calibri"/>
                <w:sz w:val="22"/>
                <w:szCs w:val="22"/>
              </w:rPr>
            </w:pPr>
            <w:r w:rsidRPr="0099143C">
              <w:rPr>
                <w:rFonts w:ascii="Calibri" w:hAnsi="Calibri" w:cs="Calibri"/>
                <w:sz w:val="22"/>
                <w:szCs w:val="22"/>
              </w:rPr>
              <w:t>Emissielabelsysteem binnenvaart</w:t>
            </w:r>
          </w:p>
        </w:tc>
      </w:tr>
      <w:tr w:rsidRPr="0099143C" w:rsidR="0038614B" w:rsidTr="00693B0D" w14:paraId="527C8CD0" w14:textId="77777777">
        <w:trPr>
          <w:trHeight w:val="290"/>
        </w:trPr>
        <w:tc>
          <w:tcPr>
            <w:tcW w:w="7479" w:type="dxa"/>
            <w:noWrap/>
            <w:hideMark/>
          </w:tcPr>
          <w:p w:rsidRPr="0099143C" w:rsidR="0038614B" w:rsidP="0038614B" w:rsidRDefault="0038614B" w14:paraId="0E5E4B54" w14:textId="77777777">
            <w:pPr>
              <w:rPr>
                <w:rFonts w:ascii="Calibri" w:hAnsi="Calibri" w:cs="Calibri"/>
                <w:sz w:val="22"/>
                <w:szCs w:val="22"/>
              </w:rPr>
            </w:pPr>
            <w:r w:rsidRPr="0099143C">
              <w:rPr>
                <w:rFonts w:ascii="Calibri" w:hAnsi="Calibri" w:cs="Calibri"/>
                <w:sz w:val="22"/>
                <w:szCs w:val="22"/>
              </w:rPr>
              <w:t>Energielabel voor elektrische auto's</w:t>
            </w:r>
          </w:p>
        </w:tc>
      </w:tr>
      <w:tr w:rsidRPr="0099143C" w:rsidR="0038614B" w:rsidTr="00693B0D" w14:paraId="2E48BABB" w14:textId="77777777">
        <w:trPr>
          <w:trHeight w:val="290"/>
        </w:trPr>
        <w:tc>
          <w:tcPr>
            <w:tcW w:w="7479" w:type="dxa"/>
            <w:noWrap/>
            <w:hideMark/>
          </w:tcPr>
          <w:p w:rsidRPr="0099143C" w:rsidR="0038614B" w:rsidP="0038614B" w:rsidRDefault="0038614B" w14:paraId="0F32E35A" w14:textId="77777777">
            <w:pPr>
              <w:rPr>
                <w:rFonts w:ascii="Calibri" w:hAnsi="Calibri" w:cs="Calibri"/>
                <w:sz w:val="22"/>
                <w:szCs w:val="22"/>
                <w:lang w:val="nl-NL"/>
              </w:rPr>
            </w:pPr>
            <w:r w:rsidRPr="0099143C">
              <w:rPr>
                <w:rFonts w:ascii="Calibri" w:hAnsi="Calibri" w:cs="Calibri"/>
                <w:sz w:val="22"/>
                <w:szCs w:val="22"/>
                <w:lang w:val="nl-NL"/>
              </w:rPr>
              <w:t>GD230 Zeevaart, Binnenvaart en Havens</w:t>
            </w:r>
          </w:p>
        </w:tc>
      </w:tr>
      <w:tr w:rsidRPr="0099143C" w:rsidR="0038614B" w:rsidTr="00693B0D" w14:paraId="53E93FE2" w14:textId="77777777">
        <w:trPr>
          <w:trHeight w:val="290"/>
        </w:trPr>
        <w:tc>
          <w:tcPr>
            <w:tcW w:w="7479" w:type="dxa"/>
            <w:noWrap/>
            <w:hideMark/>
          </w:tcPr>
          <w:p w:rsidRPr="0099143C" w:rsidR="0038614B" w:rsidP="0038614B" w:rsidRDefault="0038614B" w14:paraId="373052E7" w14:textId="77777777">
            <w:pPr>
              <w:rPr>
                <w:rFonts w:ascii="Calibri" w:hAnsi="Calibri" w:cs="Calibri"/>
                <w:sz w:val="22"/>
                <w:szCs w:val="22"/>
              </w:rPr>
            </w:pPr>
            <w:r w:rsidRPr="0099143C">
              <w:rPr>
                <w:rFonts w:ascii="Calibri" w:hAnsi="Calibri" w:cs="Calibri"/>
                <w:sz w:val="22"/>
                <w:szCs w:val="22"/>
              </w:rPr>
              <w:t>Hervorming autobelastingen</w:t>
            </w:r>
          </w:p>
        </w:tc>
      </w:tr>
      <w:tr w:rsidRPr="0099143C" w:rsidR="0038614B" w:rsidTr="00693B0D" w14:paraId="026310EF" w14:textId="77777777">
        <w:trPr>
          <w:trHeight w:val="290"/>
        </w:trPr>
        <w:tc>
          <w:tcPr>
            <w:tcW w:w="7479" w:type="dxa"/>
            <w:noWrap/>
            <w:hideMark/>
          </w:tcPr>
          <w:p w:rsidRPr="0099143C" w:rsidR="0038614B" w:rsidP="0038614B" w:rsidRDefault="0038614B" w14:paraId="3644A462" w14:textId="77777777">
            <w:pPr>
              <w:rPr>
                <w:rFonts w:ascii="Calibri" w:hAnsi="Calibri" w:cs="Calibri"/>
                <w:sz w:val="22"/>
                <w:szCs w:val="22"/>
              </w:rPr>
            </w:pPr>
            <w:r w:rsidRPr="0099143C">
              <w:rPr>
                <w:rFonts w:ascii="Calibri" w:hAnsi="Calibri" w:cs="Calibri"/>
                <w:sz w:val="22"/>
                <w:szCs w:val="22"/>
              </w:rPr>
              <w:t>Verduurzaming van geconditioneerd transport</w:t>
            </w:r>
          </w:p>
        </w:tc>
      </w:tr>
      <w:tr w:rsidRPr="0099143C" w:rsidR="0038614B" w:rsidTr="00693B0D" w14:paraId="1EC303DC" w14:textId="77777777">
        <w:trPr>
          <w:trHeight w:val="290"/>
        </w:trPr>
        <w:tc>
          <w:tcPr>
            <w:tcW w:w="7479" w:type="dxa"/>
            <w:noWrap/>
            <w:hideMark/>
          </w:tcPr>
          <w:p w:rsidRPr="0099143C" w:rsidR="0038614B" w:rsidP="0038614B" w:rsidRDefault="0038614B" w14:paraId="2D8D3F52" w14:textId="77777777">
            <w:pPr>
              <w:rPr>
                <w:rFonts w:ascii="Calibri" w:hAnsi="Calibri" w:cs="Calibri"/>
                <w:sz w:val="22"/>
                <w:szCs w:val="22"/>
                <w:lang w:val="nl-NL"/>
              </w:rPr>
            </w:pPr>
            <w:r w:rsidRPr="0099143C">
              <w:rPr>
                <w:rFonts w:ascii="Calibri" w:hAnsi="Calibri" w:cs="Calibri"/>
                <w:sz w:val="22"/>
                <w:szCs w:val="22"/>
                <w:lang w:val="nl-NL"/>
              </w:rPr>
              <w:t>Uitstellen invoering zero-emissie-zones</w:t>
            </w:r>
          </w:p>
        </w:tc>
      </w:tr>
      <w:tr w:rsidRPr="0099143C" w:rsidR="0038614B" w:rsidTr="00693B0D" w14:paraId="233DC8A1" w14:textId="77777777">
        <w:trPr>
          <w:trHeight w:val="290"/>
        </w:trPr>
        <w:tc>
          <w:tcPr>
            <w:tcW w:w="7479" w:type="dxa"/>
            <w:noWrap/>
            <w:hideMark/>
          </w:tcPr>
          <w:p w:rsidRPr="0099143C" w:rsidR="0038614B" w:rsidP="0038614B" w:rsidRDefault="0038614B" w14:paraId="3A77DBF3" w14:textId="77777777">
            <w:pPr>
              <w:rPr>
                <w:rFonts w:ascii="Calibri" w:hAnsi="Calibri" w:cs="Calibri"/>
                <w:sz w:val="22"/>
                <w:szCs w:val="22"/>
              </w:rPr>
            </w:pPr>
            <w:r w:rsidRPr="0099143C">
              <w:rPr>
                <w:rFonts w:ascii="Calibri" w:hAnsi="Calibri" w:cs="Calibri"/>
                <w:sz w:val="22"/>
                <w:szCs w:val="22"/>
              </w:rPr>
              <w:t>Vliegbelasting gedifferentieerd naar afstand</w:t>
            </w:r>
          </w:p>
        </w:tc>
      </w:tr>
      <w:tr w:rsidRPr="0099143C" w:rsidR="0038614B" w:rsidTr="00693B0D" w14:paraId="711C8CBC" w14:textId="77777777">
        <w:trPr>
          <w:trHeight w:val="290"/>
        </w:trPr>
        <w:tc>
          <w:tcPr>
            <w:tcW w:w="7479" w:type="dxa"/>
            <w:noWrap/>
            <w:hideMark/>
          </w:tcPr>
          <w:p w:rsidRPr="0099143C" w:rsidR="0038614B" w:rsidP="0038614B" w:rsidRDefault="0038614B" w14:paraId="144689AE" w14:textId="77777777">
            <w:pPr>
              <w:rPr>
                <w:rFonts w:ascii="Calibri" w:hAnsi="Calibri" w:cs="Calibri"/>
                <w:sz w:val="22"/>
                <w:szCs w:val="22"/>
                <w:lang w:val="nl-NL"/>
              </w:rPr>
            </w:pPr>
            <w:r w:rsidRPr="0099143C">
              <w:rPr>
                <w:rFonts w:ascii="Calibri" w:hAnsi="Calibri" w:cs="Calibri"/>
                <w:sz w:val="22"/>
                <w:szCs w:val="22"/>
                <w:lang w:val="nl-NL"/>
              </w:rPr>
              <w:t>Subsidieregeling verduurzaming binnenvaart (t.b.v. halen opt-in)</w:t>
            </w:r>
          </w:p>
        </w:tc>
      </w:tr>
      <w:tr w:rsidRPr="0099143C" w:rsidR="0038614B" w:rsidTr="00693B0D" w14:paraId="6888F487" w14:textId="77777777">
        <w:trPr>
          <w:trHeight w:val="290"/>
        </w:trPr>
        <w:tc>
          <w:tcPr>
            <w:tcW w:w="7479" w:type="dxa"/>
            <w:noWrap/>
            <w:hideMark/>
          </w:tcPr>
          <w:p w:rsidRPr="0099143C" w:rsidR="0038614B" w:rsidP="0038614B" w:rsidRDefault="0038614B" w14:paraId="6F4FEECC" w14:textId="77777777">
            <w:pPr>
              <w:rPr>
                <w:rFonts w:ascii="Calibri" w:hAnsi="Calibri" w:cs="Calibri"/>
                <w:sz w:val="22"/>
                <w:szCs w:val="22"/>
              </w:rPr>
            </w:pPr>
            <w:r w:rsidRPr="0099143C">
              <w:rPr>
                <w:rFonts w:ascii="Calibri" w:hAnsi="Calibri" w:cs="Calibri"/>
                <w:sz w:val="22"/>
                <w:szCs w:val="22"/>
              </w:rPr>
              <w:t>Subsidieregeling verduurzaming landbouwwerktuigen</w:t>
            </w:r>
          </w:p>
        </w:tc>
      </w:tr>
    </w:tbl>
    <w:p w:rsidRPr="0099143C" w:rsidR="0038614B" w:rsidP="0038614B" w:rsidRDefault="0038614B" w14:paraId="6919D8F3" w14:textId="77777777">
      <w:pPr>
        <w:spacing w:after="0"/>
        <w:rPr>
          <w:rFonts w:ascii="Calibri" w:hAnsi="Calibri" w:cs="Calibri"/>
        </w:rPr>
      </w:pPr>
    </w:p>
    <w:p w:rsidRPr="0099143C" w:rsidR="00F80165" w:rsidP="0038614B" w:rsidRDefault="00F80165" w14:paraId="1FA4D06D" w14:textId="77777777">
      <w:pPr>
        <w:spacing w:after="0"/>
        <w:rPr>
          <w:rFonts w:ascii="Calibri" w:hAnsi="Calibri" w:cs="Calibri"/>
        </w:rPr>
      </w:pPr>
    </w:p>
    <w:sectPr w:rsidRPr="0099143C" w:rsidR="00F80165" w:rsidSect="0038614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C0DC0" w14:textId="77777777" w:rsidR="0038614B" w:rsidRDefault="0038614B" w:rsidP="0038614B">
      <w:pPr>
        <w:spacing w:after="0" w:line="240" w:lineRule="auto"/>
      </w:pPr>
      <w:r>
        <w:separator/>
      </w:r>
    </w:p>
  </w:endnote>
  <w:endnote w:type="continuationSeparator" w:id="0">
    <w:p w14:paraId="0E1239BC" w14:textId="77777777" w:rsidR="0038614B" w:rsidRDefault="0038614B" w:rsidP="0038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8CE10" w14:textId="77777777" w:rsidR="0038614B" w:rsidRPr="0038614B" w:rsidRDefault="0038614B" w:rsidP="003861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BF7CA" w14:textId="77777777" w:rsidR="0038614B" w:rsidRPr="0038614B" w:rsidRDefault="0038614B" w:rsidP="003861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A67E6" w14:textId="77777777" w:rsidR="0038614B" w:rsidRPr="0038614B" w:rsidRDefault="0038614B" w:rsidP="003861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A83F2" w14:textId="77777777" w:rsidR="0038614B" w:rsidRDefault="0038614B" w:rsidP="0038614B">
      <w:pPr>
        <w:spacing w:after="0" w:line="240" w:lineRule="auto"/>
      </w:pPr>
      <w:r>
        <w:separator/>
      </w:r>
    </w:p>
  </w:footnote>
  <w:footnote w:type="continuationSeparator" w:id="0">
    <w:p w14:paraId="19605EE3" w14:textId="77777777" w:rsidR="0038614B" w:rsidRDefault="0038614B" w:rsidP="0038614B">
      <w:pPr>
        <w:spacing w:after="0" w:line="240" w:lineRule="auto"/>
      </w:pPr>
      <w:r>
        <w:continuationSeparator/>
      </w:r>
    </w:p>
  </w:footnote>
  <w:footnote w:id="1">
    <w:p w14:paraId="7D88CF1F" w14:textId="0819E0A8" w:rsidR="0038614B" w:rsidRPr="0099143C" w:rsidRDefault="0038614B" w:rsidP="0038614B">
      <w:pPr>
        <w:pStyle w:val="Voetnoottekst"/>
        <w:rPr>
          <w:rFonts w:ascii="Calibri" w:hAnsi="Calibri" w:cs="Calibri"/>
          <w:sz w:val="20"/>
        </w:rPr>
      </w:pPr>
      <w:r w:rsidRPr="0099143C">
        <w:rPr>
          <w:rStyle w:val="Voetnootmarkering"/>
          <w:rFonts w:ascii="Calibri" w:hAnsi="Calibri" w:cs="Calibri"/>
          <w:sz w:val="20"/>
        </w:rPr>
        <w:footnoteRef/>
      </w:r>
      <w:r w:rsidRPr="0099143C">
        <w:rPr>
          <w:rFonts w:ascii="Calibri" w:hAnsi="Calibri" w:cs="Calibri"/>
          <w:sz w:val="20"/>
        </w:rPr>
        <w:t xml:space="preserve"> Kamerstuk 36 600 XXIII, nr. 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3948B" w14:textId="77777777" w:rsidR="0038614B" w:rsidRPr="0038614B" w:rsidRDefault="0038614B" w:rsidP="003861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C57D1" w14:textId="77777777" w:rsidR="0038614B" w:rsidRPr="0038614B" w:rsidRDefault="0038614B" w:rsidP="003861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4A20A" w14:textId="77777777" w:rsidR="0038614B" w:rsidRPr="0038614B" w:rsidRDefault="0038614B" w:rsidP="003861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14B"/>
    <w:rsid w:val="0038614B"/>
    <w:rsid w:val="00975258"/>
    <w:rsid w:val="0099143C"/>
    <w:rsid w:val="00EA20A8"/>
    <w:rsid w:val="00F80165"/>
    <w:rsid w:val="00FC3DE8"/>
    <w:rsid w:val="00FE5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BD27"/>
  <w15:chartTrackingRefBased/>
  <w15:docId w15:val="{5AC61A7D-9AAD-45E2-9E9F-8ADFCA40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6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6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61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61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61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61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61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61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61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61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61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61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61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61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61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61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61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614B"/>
    <w:rPr>
      <w:rFonts w:eastAsiaTheme="majorEastAsia" w:cstheme="majorBidi"/>
      <w:color w:val="272727" w:themeColor="text1" w:themeTint="D8"/>
    </w:rPr>
  </w:style>
  <w:style w:type="paragraph" w:styleId="Titel">
    <w:name w:val="Title"/>
    <w:basedOn w:val="Standaard"/>
    <w:next w:val="Standaard"/>
    <w:link w:val="TitelChar"/>
    <w:uiPriority w:val="10"/>
    <w:qFormat/>
    <w:rsid w:val="00386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61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61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61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61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614B"/>
    <w:rPr>
      <w:i/>
      <w:iCs/>
      <w:color w:val="404040" w:themeColor="text1" w:themeTint="BF"/>
    </w:rPr>
  </w:style>
  <w:style w:type="paragraph" w:styleId="Lijstalinea">
    <w:name w:val="List Paragraph"/>
    <w:basedOn w:val="Standaard"/>
    <w:uiPriority w:val="34"/>
    <w:qFormat/>
    <w:rsid w:val="0038614B"/>
    <w:pPr>
      <w:ind w:left="720"/>
      <w:contextualSpacing/>
    </w:pPr>
  </w:style>
  <w:style w:type="character" w:styleId="Intensievebenadrukking">
    <w:name w:val="Intense Emphasis"/>
    <w:basedOn w:val="Standaardalinea-lettertype"/>
    <w:uiPriority w:val="21"/>
    <w:qFormat/>
    <w:rsid w:val="0038614B"/>
    <w:rPr>
      <w:i/>
      <w:iCs/>
      <w:color w:val="0F4761" w:themeColor="accent1" w:themeShade="BF"/>
    </w:rPr>
  </w:style>
  <w:style w:type="paragraph" w:styleId="Duidelijkcitaat">
    <w:name w:val="Intense Quote"/>
    <w:basedOn w:val="Standaard"/>
    <w:next w:val="Standaard"/>
    <w:link w:val="DuidelijkcitaatChar"/>
    <w:uiPriority w:val="30"/>
    <w:qFormat/>
    <w:rsid w:val="00386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614B"/>
    <w:rPr>
      <w:i/>
      <w:iCs/>
      <w:color w:val="0F4761" w:themeColor="accent1" w:themeShade="BF"/>
    </w:rPr>
  </w:style>
  <w:style w:type="character" w:styleId="Intensieveverwijzing">
    <w:name w:val="Intense Reference"/>
    <w:basedOn w:val="Standaardalinea-lettertype"/>
    <w:uiPriority w:val="32"/>
    <w:qFormat/>
    <w:rsid w:val="0038614B"/>
    <w:rPr>
      <w:b/>
      <w:bCs/>
      <w:smallCaps/>
      <w:color w:val="0F4761" w:themeColor="accent1" w:themeShade="BF"/>
      <w:spacing w:val="5"/>
    </w:rPr>
  </w:style>
  <w:style w:type="paragraph" w:styleId="Koptekst">
    <w:name w:val="header"/>
    <w:basedOn w:val="Standaard"/>
    <w:link w:val="KoptekstChar"/>
    <w:rsid w:val="0038614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8614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38614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38614B"/>
    <w:rPr>
      <w:rFonts w:ascii="Verdana" w:eastAsia="Times New Roman" w:hAnsi="Verdana" w:cs="Times New Roman"/>
      <w:kern w:val="0"/>
      <w:sz w:val="18"/>
      <w:szCs w:val="24"/>
      <w:lang w:eastAsia="nl-NL"/>
      <w14:ligatures w14:val="none"/>
    </w:rPr>
  </w:style>
  <w:style w:type="table" w:styleId="Tabelraster">
    <w:name w:val="Table Grid"/>
    <w:basedOn w:val="Standaardtabel"/>
    <w:rsid w:val="0038614B"/>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38614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8614B"/>
    <w:rPr>
      <w:rFonts w:ascii="Verdana" w:hAnsi="Verdana"/>
      <w:noProof/>
      <w:sz w:val="13"/>
      <w:szCs w:val="24"/>
      <w:lang w:eastAsia="nl-NL"/>
    </w:rPr>
  </w:style>
  <w:style w:type="paragraph" w:customStyle="1" w:styleId="Huisstijl-Gegeven">
    <w:name w:val="Huisstijl-Gegeven"/>
    <w:basedOn w:val="Standaard"/>
    <w:link w:val="Huisstijl-GegevenCharChar"/>
    <w:rsid w:val="0038614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8614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8614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8614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8614B"/>
    <w:pPr>
      <w:spacing w:after="0"/>
    </w:pPr>
    <w:rPr>
      <w:b/>
    </w:rPr>
  </w:style>
  <w:style w:type="paragraph" w:customStyle="1" w:styleId="Huisstijl-Paginanummering">
    <w:name w:val="Huisstijl-Paginanummering"/>
    <w:basedOn w:val="Standaard"/>
    <w:rsid w:val="0038614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8614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8614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8614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38614B"/>
    <w:rPr>
      <w:vertAlign w:val="superscript"/>
    </w:rPr>
  </w:style>
  <w:style w:type="paragraph" w:styleId="Geenafstand">
    <w:name w:val="No Spacing"/>
    <w:uiPriority w:val="1"/>
    <w:qFormat/>
    <w:rsid w:val="00991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409</ap:Words>
  <ap:Characters>2254</ap:Characters>
  <ap:DocSecurity>0</ap:DocSecurity>
  <ap:Lines>18</ap:Lines>
  <ap:Paragraphs>5</ap:Paragraphs>
  <ap:ScaleCrop>false</ap:ScaleCrop>
  <ap:LinksUpToDate>false</ap:LinksUpToDate>
  <ap:CharactersWithSpaces>2658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2025-01-13T09:59:00.0000000Z</dcterms:created>
  <dcterms:modified xsi:type="dcterms:W3CDTF">2025-01-13T09:59:00.0000000Z</dcterms:modified>
  <version/>
  <category/>
</coreProperties>
</file>