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81FC6" w:rsidR="00EF6D37" w:rsidP="00B65C33" w:rsidRDefault="00916E10" w14:paraId="36CB3FE7" w14:textId="7E0506CC">
      <w:bookmarkStart w:name="_Hlk187314712" w:id="0"/>
      <w:r>
        <w:t>Geachte Voorzitter,</w:t>
      </w:r>
      <w:r>
        <w:br/>
      </w:r>
    </w:p>
    <w:p w:rsidRPr="00CD2587" w:rsidR="00A81FC6" w:rsidP="00B65C33" w:rsidRDefault="00A81FC6" w14:paraId="19C75550" w14:textId="121E5B2D">
      <w:r w:rsidRPr="00CD2587">
        <w:t xml:space="preserve">Met deze brief ga ik, mede namens de staatssecretaris van Landbouw, Visserij, Voedselzekerheid en Natuur (LVVN), in op het </w:t>
      </w:r>
      <w:r w:rsidR="007A3788">
        <w:t>informatie</w:t>
      </w:r>
      <w:r w:rsidRPr="00CD2587">
        <w:t>verzoek van het lid Beckerman over Ternaard en Warffum, zoals dat is gedaan in het ordedebat van 17 december 2024 (</w:t>
      </w:r>
      <w:r w:rsidR="00B65C33">
        <w:t>k</w:t>
      </w:r>
      <w:r w:rsidRPr="00CD2587">
        <w:t>enmerk: 2024Z21376)</w:t>
      </w:r>
      <w:r w:rsidR="007A3788">
        <w:t>.</w:t>
      </w:r>
    </w:p>
    <w:p w:rsidRPr="00CD2587" w:rsidR="00A81FC6" w:rsidP="00B65C33" w:rsidRDefault="00A81FC6" w14:paraId="0F20A912" w14:textId="77777777">
      <w:pPr>
        <w:rPr>
          <w:szCs w:val="18"/>
        </w:rPr>
      </w:pPr>
    </w:p>
    <w:p w:rsidR="007A3788" w:rsidP="00B65C33" w:rsidRDefault="00A81FC6" w14:paraId="6C33DF08" w14:textId="77777777">
      <w:pPr>
        <w:rPr>
          <w:szCs w:val="18"/>
        </w:rPr>
      </w:pPr>
      <w:r w:rsidRPr="00CD2587">
        <w:rPr>
          <w:szCs w:val="18"/>
        </w:rPr>
        <w:t>1</w:t>
      </w:r>
    </w:p>
    <w:p w:rsidRPr="00CD2587" w:rsidR="00A81FC6" w:rsidP="00B65C33" w:rsidRDefault="00A81FC6" w14:paraId="7302C432" w14:textId="51DB7C14">
      <w:pPr>
        <w:rPr>
          <w:szCs w:val="18"/>
        </w:rPr>
      </w:pPr>
      <w:r w:rsidRPr="00CD2587">
        <w:rPr>
          <w:szCs w:val="18"/>
        </w:rPr>
        <w:t xml:space="preserve">De gaswinning onder de Waddenzee. Kan een afgegeven natuurvergunning aangepast of ingetrokken worden en welke afweging is er gemaakt om dat niet te doen, gelet op de nieuwe adviezen die het kabinet heeft gekregen? </w:t>
      </w:r>
    </w:p>
    <w:p w:rsidRPr="00CD2587" w:rsidR="00A81FC6" w:rsidP="00B65C33" w:rsidRDefault="00A81FC6" w14:paraId="4C2D95E5" w14:textId="77777777">
      <w:pPr>
        <w:rPr>
          <w:szCs w:val="18"/>
        </w:rPr>
      </w:pPr>
    </w:p>
    <w:p w:rsidRPr="00CD2587" w:rsidR="00A81FC6" w:rsidP="00B65C33" w:rsidRDefault="00A81FC6" w14:paraId="0BDC430B" w14:textId="553528DE">
      <w:pPr>
        <w:rPr>
          <w:szCs w:val="18"/>
        </w:rPr>
      </w:pPr>
      <w:r w:rsidRPr="00CD2587">
        <w:rPr>
          <w:szCs w:val="18"/>
        </w:rPr>
        <w:t>Antwoord</w:t>
      </w:r>
    </w:p>
    <w:p w:rsidRPr="00CD2587" w:rsidR="00A81FC6" w:rsidP="00B65C33" w:rsidRDefault="00A81FC6" w14:paraId="1C04B01A" w14:textId="77777777">
      <w:pPr>
        <w:rPr>
          <w:szCs w:val="18"/>
        </w:rPr>
      </w:pPr>
      <w:r w:rsidRPr="00CD2587">
        <w:rPr>
          <w:szCs w:val="18"/>
        </w:rPr>
        <w:t>Een afgegeven natuurvergunning kan worden ingetrokken of worden aangepast. In de Wet natuurbescherming is geregeld in welke gevallen dit kan. Dit kan onder andere als de vergunning in strijd met wettelijke voorschriften is verleend of als intrekking of wijziging nodig is ter uitvoering van de Habitatrichtlijn. Hiervan is in het geval van de gaswinning Ternaard geen sprake.</w:t>
      </w:r>
    </w:p>
    <w:p w:rsidRPr="00CD2587" w:rsidR="00A81FC6" w:rsidP="00B65C33" w:rsidRDefault="00A81FC6" w14:paraId="7AE48446" w14:textId="77777777">
      <w:pPr>
        <w:rPr>
          <w:szCs w:val="18"/>
        </w:rPr>
      </w:pPr>
    </w:p>
    <w:p w:rsidR="007A3788" w:rsidP="00B65C33" w:rsidRDefault="007A3788" w14:paraId="77CA0434" w14:textId="77777777">
      <w:r>
        <w:t>2</w:t>
      </w:r>
    </w:p>
    <w:p w:rsidRPr="00CD2587" w:rsidR="00A81FC6" w:rsidP="00B65C33" w:rsidRDefault="00A81FC6" w14:paraId="008AE27F" w14:textId="2F9CA04D">
      <w:r w:rsidRPr="00CD2587">
        <w:t>De gaswinning bij Warffum. Waarom is het besluit over Warffum zo laat genomen, waardoor er gedoogde illegale winning kan plaatsvinden? En hoelang kan deze illegale winning (Warffum) maximaal duren?</w:t>
      </w:r>
    </w:p>
    <w:p w:rsidRPr="00CD2587" w:rsidR="007A3788" w:rsidP="00B65C33" w:rsidRDefault="007A3788" w14:paraId="4B1F9B07" w14:textId="77777777"/>
    <w:p w:rsidRPr="00CD2587" w:rsidR="00A81FC6" w:rsidP="00B65C33" w:rsidRDefault="00A81FC6" w14:paraId="09246726" w14:textId="00CA2DD9">
      <w:pPr>
        <w:pBdr>
          <w:top w:val="nil"/>
          <w:left w:val="nil"/>
          <w:bottom w:val="nil"/>
          <w:right w:val="nil"/>
          <w:between w:val="nil"/>
          <w:bar w:val="nil"/>
        </w:pBdr>
        <w:contextualSpacing/>
        <w:rPr>
          <w:rFonts w:eastAsia="Calibri" w:cs="Calibri"/>
          <w:color w:val="000000"/>
          <w:szCs w:val="18"/>
          <w:u w:color="000000"/>
          <w:bdr w:val="nil"/>
        </w:rPr>
      </w:pPr>
      <w:r w:rsidRPr="00CD2587">
        <w:rPr>
          <w:rFonts w:eastAsia="Calibri" w:cs="Calibri"/>
          <w:color w:val="000000"/>
          <w:szCs w:val="18"/>
          <w:u w:color="000000"/>
          <w:bdr w:val="nil"/>
        </w:rPr>
        <w:t>Antwoord</w:t>
      </w:r>
    </w:p>
    <w:p w:rsidRPr="00CD2587" w:rsidR="00A81FC6" w:rsidP="00B65C33" w:rsidRDefault="00A81FC6" w14:paraId="5495E556" w14:textId="2AFE23E2">
      <w:pPr>
        <w:pBdr>
          <w:top w:val="nil"/>
          <w:left w:val="nil"/>
          <w:bottom w:val="nil"/>
          <w:right w:val="nil"/>
          <w:between w:val="nil"/>
          <w:bar w:val="nil"/>
        </w:pBdr>
        <w:contextualSpacing/>
        <w:rPr>
          <w:rFonts w:eastAsia="Calibri" w:cs="Calibri"/>
          <w:color w:val="000000"/>
          <w:bdr w:val="nil"/>
        </w:rPr>
      </w:pPr>
      <w:r w:rsidRPr="00CD2587">
        <w:rPr>
          <w:rFonts w:eastAsia="Calibri" w:cs="Calibri"/>
          <w:color w:val="000000"/>
          <w:bdr w:val="nil"/>
        </w:rPr>
        <w:t xml:space="preserve">Zoals tijdens het Commissiedebat van 18 december 2024 aangegeven, is </w:t>
      </w:r>
      <w:r w:rsidR="00000344">
        <w:rPr>
          <w:rFonts w:eastAsia="Calibri" w:cs="Calibri"/>
          <w:color w:val="000000"/>
          <w:bdr w:val="nil"/>
        </w:rPr>
        <w:t xml:space="preserve">door het vorige Kabinet </w:t>
      </w:r>
      <w:r w:rsidRPr="00CD2587">
        <w:rPr>
          <w:rFonts w:eastAsia="Calibri" w:cs="Calibri"/>
          <w:color w:val="000000"/>
          <w:bdr w:val="nil"/>
        </w:rPr>
        <w:t xml:space="preserve">de hoogste prioriteit gegeven aan het sluiten van het Groningenveld. </w:t>
      </w:r>
      <w:r w:rsidRPr="00CD2587">
        <w:rPr>
          <w:rFonts w:eastAsia="Calibri" w:cs="Calibri"/>
          <w:color w:val="000000"/>
        </w:rPr>
        <w:t>Tevens</w:t>
      </w:r>
      <w:r w:rsidRPr="00CD2587">
        <w:rPr>
          <w:rFonts w:eastAsia="Calibri" w:cs="Calibri"/>
          <w:color w:val="000000"/>
          <w:bdr w:val="nil"/>
        </w:rPr>
        <w:t xml:space="preserve"> heeft een Kabinetswisseling plaatsgevonden. Hierdoor heeft een besluit op de aanvraag van NAM langer dan gebruikelijk geduurd. </w:t>
      </w:r>
    </w:p>
    <w:p w:rsidRPr="00CD2587" w:rsidR="00A81FC6" w:rsidP="00B65C33" w:rsidRDefault="00A81FC6" w14:paraId="158BE77E" w14:textId="77777777">
      <w:pPr>
        <w:pBdr>
          <w:top w:val="nil"/>
          <w:left w:val="nil"/>
          <w:bottom w:val="nil"/>
          <w:right w:val="nil"/>
          <w:between w:val="nil"/>
          <w:bar w:val="nil"/>
        </w:pBdr>
        <w:contextualSpacing/>
        <w:rPr>
          <w:rFonts w:eastAsia="Calibri" w:cs="Calibri"/>
          <w:color w:val="000000"/>
          <w:bdr w:val="nil"/>
        </w:rPr>
      </w:pPr>
    </w:p>
    <w:p w:rsidR="007A3788" w:rsidP="00B65C33" w:rsidRDefault="00000344" w14:paraId="3EBCDBC4" w14:textId="77777777">
      <w:pPr>
        <w:pBdr>
          <w:top w:val="nil"/>
          <w:left w:val="nil"/>
          <w:bottom w:val="nil"/>
          <w:right w:val="nil"/>
          <w:between w:val="nil"/>
          <w:bar w:val="nil"/>
        </w:pBdr>
        <w:contextualSpacing/>
        <w:rPr>
          <w:rFonts w:eastAsia="Calibri" w:cs="Calibri"/>
          <w:color w:val="000000"/>
        </w:rPr>
      </w:pPr>
      <w:r>
        <w:rPr>
          <w:rFonts w:eastAsia="Calibri" w:cs="Calibri"/>
          <w:color w:val="000000"/>
        </w:rPr>
        <w:t>Op</w:t>
      </w:r>
      <w:r w:rsidRPr="00CD2587" w:rsidR="00A81FC6">
        <w:rPr>
          <w:rFonts w:eastAsia="Calibri" w:cs="Calibri"/>
          <w:color w:val="000000"/>
        </w:rPr>
        <w:t xml:space="preserve"> </w:t>
      </w:r>
      <w:r w:rsidRPr="00CD2587">
        <w:rPr>
          <w:rFonts w:eastAsia="Calibri" w:cs="Calibri"/>
          <w:color w:val="000000"/>
          <w:bdr w:val="nil"/>
        </w:rPr>
        <w:t>20 december 2024</w:t>
      </w:r>
      <w:r w:rsidRPr="00CD2587">
        <w:rPr>
          <w:rFonts w:eastAsia="Calibri" w:cs="Calibri"/>
          <w:color w:val="000000"/>
        </w:rPr>
        <w:t xml:space="preserve"> </w:t>
      </w:r>
      <w:r w:rsidRPr="00CD2587" w:rsidR="00A81FC6">
        <w:rPr>
          <w:rFonts w:eastAsia="Calibri" w:cs="Calibri"/>
          <w:color w:val="000000"/>
        </w:rPr>
        <w:t>heeft Staatstoezicht op de Mijnen (SodM</w:t>
      </w:r>
      <w:r w:rsidRPr="00CD2587" w:rsidR="00A81FC6">
        <w:rPr>
          <w:rFonts w:eastAsia="Calibri" w:cs="Calibri"/>
          <w:color w:val="000000"/>
          <w:bdr w:val="nil"/>
        </w:rPr>
        <w:t xml:space="preserve">) </w:t>
      </w:r>
      <w:r w:rsidRPr="00CD2587" w:rsidR="00A81FC6">
        <w:rPr>
          <w:rFonts w:eastAsia="Calibri" w:cs="Calibri"/>
          <w:color w:val="000000"/>
        </w:rPr>
        <w:t xml:space="preserve">het verzoek van de </w:t>
      </w:r>
      <w:r w:rsidRPr="00CD2587" w:rsidR="00A81FC6">
        <w:rPr>
          <w:rFonts w:eastAsia="Calibri" w:cs="Calibri"/>
          <w:color w:val="000000"/>
          <w:bdr w:val="nil"/>
        </w:rPr>
        <w:t xml:space="preserve">NAM om na 1 januari 2025 gas te mogen blijven winnen afgewezen. Dit betekent dat de gaswinning uit het gasveld Warffum op dit moment </w:t>
      </w:r>
      <w:r w:rsidRPr="00CD2587" w:rsidR="00A81FC6">
        <w:rPr>
          <w:rFonts w:eastAsia="Calibri" w:cs="Calibri"/>
          <w:color w:val="000000"/>
        </w:rPr>
        <w:t xml:space="preserve">stilligt. </w:t>
      </w:r>
    </w:p>
    <w:p w:rsidR="00B254FE" w:rsidP="00B65C33" w:rsidRDefault="00B254FE" w14:paraId="6A5AC8F9" w14:textId="77777777">
      <w:pPr>
        <w:pBdr>
          <w:top w:val="nil"/>
          <w:left w:val="nil"/>
          <w:bottom w:val="nil"/>
          <w:right w:val="nil"/>
          <w:between w:val="nil"/>
          <w:bar w:val="nil"/>
        </w:pBdr>
        <w:contextualSpacing/>
        <w:rPr>
          <w:rFonts w:eastAsia="Calibri" w:cs="Calibri"/>
          <w:color w:val="000000"/>
        </w:rPr>
      </w:pPr>
    </w:p>
    <w:p w:rsidRPr="00CD2587" w:rsidR="00A81FC6" w:rsidP="00B65C33" w:rsidRDefault="00A81FC6" w14:paraId="333C78AF" w14:textId="4CC14E3B">
      <w:pPr>
        <w:pBdr>
          <w:top w:val="nil"/>
          <w:left w:val="nil"/>
          <w:bottom w:val="nil"/>
          <w:right w:val="nil"/>
          <w:between w:val="nil"/>
          <w:bar w:val="nil"/>
        </w:pBdr>
        <w:contextualSpacing/>
        <w:rPr>
          <w:rFonts w:eastAsia="Calibri" w:cs="Calibri"/>
          <w:color w:val="000000"/>
        </w:rPr>
      </w:pPr>
      <w:r w:rsidRPr="00CD2587">
        <w:rPr>
          <w:rFonts w:eastAsia="Calibri" w:cs="Calibri"/>
          <w:color w:val="000000"/>
        </w:rPr>
        <w:t xml:space="preserve">Pas als er een definitief besluit is genomen op het geactualiseerde winningsplan, kan NAM de gaswinning </w:t>
      </w:r>
      <w:r w:rsidR="00B254FE">
        <w:rPr>
          <w:rFonts w:eastAsia="Calibri" w:cs="Calibri"/>
          <w:color w:val="000000"/>
        </w:rPr>
        <w:t xml:space="preserve">uit het gasveld Warffum </w:t>
      </w:r>
      <w:r w:rsidRPr="00CD2587">
        <w:rPr>
          <w:rFonts w:eastAsia="Calibri" w:cs="Calibri"/>
          <w:color w:val="000000"/>
        </w:rPr>
        <w:t>hervatten. Het on</w:t>
      </w:r>
      <w:r w:rsidR="00000344">
        <w:rPr>
          <w:rFonts w:eastAsia="Calibri" w:cs="Calibri"/>
          <w:color w:val="000000"/>
        </w:rPr>
        <w:t>t</w:t>
      </w:r>
      <w:r w:rsidRPr="00CD2587">
        <w:rPr>
          <w:rFonts w:eastAsia="Calibri" w:cs="Calibri"/>
          <w:color w:val="000000"/>
        </w:rPr>
        <w:t xml:space="preserve">werpbesluit ligt ter inzage tot en met 22 januari 2025. Vervolgens </w:t>
      </w:r>
      <w:r w:rsidR="00000344">
        <w:rPr>
          <w:rFonts w:eastAsia="Calibri" w:cs="Calibri"/>
          <w:color w:val="000000"/>
        </w:rPr>
        <w:t xml:space="preserve">dienen de zienswijze bekeken te worden alvorens </w:t>
      </w:r>
      <w:r w:rsidRPr="00CD2587">
        <w:rPr>
          <w:rFonts w:eastAsia="Calibri" w:cs="Calibri"/>
          <w:color w:val="000000"/>
        </w:rPr>
        <w:t xml:space="preserve">een definitief besluit </w:t>
      </w:r>
      <w:r w:rsidR="00000344">
        <w:rPr>
          <w:rFonts w:eastAsia="Calibri" w:cs="Calibri"/>
          <w:color w:val="000000"/>
        </w:rPr>
        <w:t xml:space="preserve">kan </w:t>
      </w:r>
      <w:r w:rsidRPr="00CD2587">
        <w:rPr>
          <w:rFonts w:eastAsia="Calibri" w:cs="Calibri"/>
          <w:color w:val="000000"/>
        </w:rPr>
        <w:t xml:space="preserve">worden </w:t>
      </w:r>
      <w:r w:rsidRPr="00CD2587">
        <w:rPr>
          <w:rFonts w:eastAsia="Calibri" w:cs="Calibri"/>
          <w:color w:val="000000"/>
          <w:bdr w:val="nil"/>
        </w:rPr>
        <w:t>opgesteld.</w:t>
      </w:r>
    </w:p>
    <w:p w:rsidR="00A81FC6" w:rsidP="00B65C33" w:rsidRDefault="00A81FC6" w14:paraId="4CF04E7F" w14:textId="77777777">
      <w:pPr>
        <w:rPr>
          <w:b/>
        </w:rPr>
      </w:pPr>
    </w:p>
    <w:p w:rsidR="000652D4" w:rsidP="00B65C33" w:rsidRDefault="000652D4" w14:paraId="657B0831" w14:textId="7C32AB1E">
      <w:pPr>
        <w:rPr>
          <w:b/>
        </w:rPr>
      </w:pPr>
    </w:p>
    <w:p w:rsidR="006B5B16" w:rsidP="00B65C33" w:rsidRDefault="006B5B16" w14:paraId="77AFD33B" w14:textId="77777777">
      <w:pPr>
        <w:rPr>
          <w:b/>
        </w:rPr>
      </w:pPr>
    </w:p>
    <w:p w:rsidR="006944F3" w:rsidP="00B65C33" w:rsidRDefault="006944F3" w14:paraId="3FF6FA71" w14:textId="77777777">
      <w:pPr>
        <w:rPr>
          <w:b/>
        </w:rPr>
      </w:pPr>
    </w:p>
    <w:p w:rsidRPr="00A81FC6" w:rsidR="006944F3" w:rsidP="00B65C33" w:rsidRDefault="006944F3" w14:paraId="392D3628" w14:textId="77777777">
      <w:pPr>
        <w:rPr>
          <w:b/>
        </w:rPr>
      </w:pPr>
    </w:p>
    <w:p w:rsidR="000652D4" w:rsidP="00B65C33" w:rsidRDefault="00916E10" w14:paraId="3EBB8E3A" w14:textId="77777777">
      <w:pPr>
        <w:rPr>
          <w:szCs w:val="18"/>
        </w:rPr>
      </w:pPr>
      <w:r w:rsidRPr="005461DA">
        <w:rPr>
          <w:szCs w:val="18"/>
        </w:rPr>
        <w:t>Sophie Hermans</w:t>
      </w:r>
    </w:p>
    <w:p w:rsidRPr="005461DA" w:rsidR="004E505E" w:rsidP="00B65C33" w:rsidRDefault="00916E10" w14:paraId="3C4C1585" w14:textId="77777777">
      <w:pPr>
        <w:rPr>
          <w:szCs w:val="18"/>
        </w:rPr>
      </w:pPr>
      <w:r>
        <w:rPr>
          <w:szCs w:val="18"/>
        </w:rPr>
        <w:t>Minister van Klimaat en Groene Groei</w:t>
      </w:r>
    </w:p>
    <w:p w:rsidR="00292EB2" w:rsidP="00B65C33" w:rsidRDefault="00292EB2" w14:paraId="4DE26FF9" w14:textId="77777777"/>
    <w:p w:rsidR="00D22441" w:rsidP="00B65C33" w:rsidRDefault="00D22441" w14:paraId="02EE8970" w14:textId="77777777"/>
    <w:p w:rsidR="00D22441" w:rsidP="00B65C33" w:rsidRDefault="00D22441" w14:paraId="141B4955" w14:textId="77777777">
      <w:pPr>
        <w:pStyle w:val="Voetnoottekst"/>
        <w:spacing w:line="240" w:lineRule="atLeast"/>
      </w:pPr>
    </w:p>
    <w:p w:rsidR="00D22441" w:rsidP="00B65C33" w:rsidRDefault="00D22441" w14:paraId="75D90BD5" w14:textId="77777777"/>
    <w:p w:rsidR="00D22441" w:rsidP="00B65C33" w:rsidRDefault="00D22441" w14:paraId="22A7E5F0" w14:textId="77777777"/>
    <w:p w:rsidR="00D22441" w:rsidP="00B65C33" w:rsidRDefault="00D22441" w14:paraId="1E2CEFE5" w14:textId="77777777"/>
    <w:p w:rsidR="00D22441" w:rsidP="00B65C33" w:rsidRDefault="00D22441" w14:paraId="3CFBF783" w14:textId="77777777"/>
    <w:p w:rsidR="00D22441" w:rsidP="00B65C33" w:rsidRDefault="00D22441" w14:paraId="295335D5" w14:textId="77777777"/>
    <w:p w:rsidR="00D22441" w:rsidP="00B65C33" w:rsidRDefault="00D22441" w14:paraId="7844ECAA" w14:textId="77777777"/>
    <w:bookmarkEnd w:id="0"/>
    <w:p w:rsidR="00664678" w:rsidP="00B65C33" w:rsidRDefault="00664678" w14:paraId="0738301F" w14:textId="77777777"/>
    <w:sectPr w:rsidR="00664678"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E47FC" w14:textId="77777777" w:rsidR="00916E10" w:rsidRDefault="00916E10">
      <w:r>
        <w:separator/>
      </w:r>
    </w:p>
    <w:p w14:paraId="78FC7738" w14:textId="77777777" w:rsidR="00916E10" w:rsidRDefault="00916E10"/>
  </w:endnote>
  <w:endnote w:type="continuationSeparator" w:id="0">
    <w:p w14:paraId="48667FF5" w14:textId="77777777" w:rsidR="00916E10" w:rsidRDefault="00916E10">
      <w:r>
        <w:continuationSeparator/>
      </w:r>
    </w:p>
    <w:p w14:paraId="1F47A5AF" w14:textId="77777777" w:rsidR="00916E10" w:rsidRDefault="00916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0E125" w14:textId="77777777" w:rsidR="006944F3" w:rsidRDefault="006944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1883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C5CA9" w14:paraId="3EA37345" w14:textId="77777777" w:rsidTr="00CA6A25">
      <w:trPr>
        <w:trHeight w:hRule="exact" w:val="240"/>
      </w:trPr>
      <w:tc>
        <w:tcPr>
          <w:tcW w:w="7601" w:type="dxa"/>
          <w:shd w:val="clear" w:color="auto" w:fill="auto"/>
        </w:tcPr>
        <w:p w14:paraId="74E2E337" w14:textId="77777777" w:rsidR="00527BD4" w:rsidRDefault="00527BD4" w:rsidP="003F1F6B">
          <w:pPr>
            <w:pStyle w:val="Huisstijl-Rubricering"/>
          </w:pPr>
        </w:p>
      </w:tc>
      <w:tc>
        <w:tcPr>
          <w:tcW w:w="2156" w:type="dxa"/>
        </w:tcPr>
        <w:p w14:paraId="3F33BB41" w14:textId="4F2209DD" w:rsidR="00527BD4" w:rsidRPr="00645414" w:rsidRDefault="00916E1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6944F3">
              <w:t>2</w:t>
            </w:r>
          </w:fldSimple>
        </w:p>
      </w:tc>
    </w:tr>
  </w:tbl>
  <w:p w14:paraId="1F8A02EC"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C5CA9" w14:paraId="19C447FB" w14:textId="77777777" w:rsidTr="00CA6A25">
      <w:trPr>
        <w:trHeight w:hRule="exact" w:val="240"/>
      </w:trPr>
      <w:tc>
        <w:tcPr>
          <w:tcW w:w="7601" w:type="dxa"/>
          <w:shd w:val="clear" w:color="auto" w:fill="auto"/>
        </w:tcPr>
        <w:p w14:paraId="24FCC227" w14:textId="77777777" w:rsidR="00527BD4" w:rsidRDefault="00527BD4" w:rsidP="008C356D">
          <w:pPr>
            <w:pStyle w:val="Huisstijl-Rubricering"/>
          </w:pPr>
        </w:p>
      </w:tc>
      <w:tc>
        <w:tcPr>
          <w:tcW w:w="2170" w:type="dxa"/>
        </w:tcPr>
        <w:p w14:paraId="0FB12425" w14:textId="666EA478" w:rsidR="00527BD4" w:rsidRPr="00ED539E" w:rsidRDefault="00916E1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6944F3">
              <w:t>2</w:t>
            </w:r>
          </w:fldSimple>
        </w:p>
      </w:tc>
    </w:tr>
  </w:tbl>
  <w:p w14:paraId="1A0A25ED" w14:textId="77777777" w:rsidR="00527BD4" w:rsidRPr="00BC3B53" w:rsidRDefault="00527BD4" w:rsidP="008C356D">
    <w:pPr>
      <w:pStyle w:val="Voettekst"/>
      <w:spacing w:line="240" w:lineRule="auto"/>
      <w:rPr>
        <w:sz w:val="2"/>
        <w:szCs w:val="2"/>
      </w:rPr>
    </w:pPr>
  </w:p>
  <w:p w14:paraId="125DC25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AE4E9" w14:textId="77777777" w:rsidR="00916E10" w:rsidRDefault="00916E10">
      <w:r>
        <w:separator/>
      </w:r>
    </w:p>
    <w:p w14:paraId="378C7EB6" w14:textId="77777777" w:rsidR="00916E10" w:rsidRDefault="00916E10"/>
  </w:footnote>
  <w:footnote w:type="continuationSeparator" w:id="0">
    <w:p w14:paraId="41B187D8" w14:textId="77777777" w:rsidR="00916E10" w:rsidRDefault="00916E10">
      <w:r>
        <w:continuationSeparator/>
      </w:r>
    </w:p>
    <w:p w14:paraId="52B55045" w14:textId="77777777" w:rsidR="00916E10" w:rsidRDefault="00916E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A2A7D" w14:textId="77777777" w:rsidR="006944F3" w:rsidRDefault="006944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C5CA9" w14:paraId="05E932AD" w14:textId="77777777" w:rsidTr="00A50CF6">
      <w:tc>
        <w:tcPr>
          <w:tcW w:w="2156" w:type="dxa"/>
          <w:shd w:val="clear" w:color="auto" w:fill="auto"/>
        </w:tcPr>
        <w:p w14:paraId="53D74E71" w14:textId="77777777" w:rsidR="00527BD4" w:rsidRPr="005819CE" w:rsidRDefault="00916E10" w:rsidP="00A50CF6">
          <w:pPr>
            <w:pStyle w:val="Huisstijl-Adres"/>
            <w:rPr>
              <w:b/>
            </w:rPr>
          </w:pPr>
          <w:r>
            <w:rPr>
              <w:b/>
            </w:rPr>
            <w:t>Programma DG Groningen en Ondergrond</w:t>
          </w:r>
          <w:r w:rsidRPr="005819CE">
            <w:rPr>
              <w:b/>
            </w:rPr>
            <w:br/>
          </w:r>
          <w:r>
            <w:t>Directie Transitie Diepe Ondergrond</w:t>
          </w:r>
        </w:p>
      </w:tc>
    </w:tr>
    <w:tr w:rsidR="00AC5CA9" w14:paraId="4E655506" w14:textId="77777777" w:rsidTr="00A50CF6">
      <w:trPr>
        <w:trHeight w:hRule="exact" w:val="200"/>
      </w:trPr>
      <w:tc>
        <w:tcPr>
          <w:tcW w:w="2156" w:type="dxa"/>
          <w:shd w:val="clear" w:color="auto" w:fill="auto"/>
        </w:tcPr>
        <w:p w14:paraId="5E49C05B" w14:textId="77777777" w:rsidR="00527BD4" w:rsidRPr="005819CE" w:rsidRDefault="00527BD4" w:rsidP="00A50CF6"/>
      </w:tc>
    </w:tr>
    <w:tr w:rsidR="00AC5CA9" w14:paraId="528A7549" w14:textId="77777777" w:rsidTr="00502512">
      <w:trPr>
        <w:trHeight w:hRule="exact" w:val="774"/>
      </w:trPr>
      <w:tc>
        <w:tcPr>
          <w:tcW w:w="2156" w:type="dxa"/>
          <w:shd w:val="clear" w:color="auto" w:fill="auto"/>
        </w:tcPr>
        <w:p w14:paraId="207BAB96" w14:textId="77777777" w:rsidR="00527BD4" w:rsidRDefault="00916E10" w:rsidP="003A5290">
          <w:pPr>
            <w:pStyle w:val="Huisstijl-Kopje"/>
          </w:pPr>
          <w:r>
            <w:t>Ons kenmerk</w:t>
          </w:r>
        </w:p>
        <w:p w14:paraId="43725C41" w14:textId="132C31B4" w:rsidR="00502512" w:rsidRPr="00502512" w:rsidRDefault="00916E10" w:rsidP="003A5290">
          <w:pPr>
            <w:pStyle w:val="Huisstijl-Kopje"/>
            <w:rPr>
              <w:b w:val="0"/>
            </w:rPr>
          </w:pPr>
          <w:r>
            <w:rPr>
              <w:b w:val="0"/>
            </w:rPr>
            <w:t>PDGGO-DTDO</w:t>
          </w:r>
          <w:r w:rsidRPr="00502512">
            <w:rPr>
              <w:b w:val="0"/>
            </w:rPr>
            <w:t xml:space="preserve"> /</w:t>
          </w:r>
          <w:r w:rsidR="00B65C33">
            <w:rPr>
              <w:b w:val="0"/>
            </w:rPr>
            <w:t xml:space="preserve"> </w:t>
          </w:r>
          <w:r w:rsidR="00B65C33" w:rsidRPr="00B65C33">
            <w:rPr>
              <w:b w:val="0"/>
              <w:bCs/>
            </w:rPr>
            <w:t>96436447</w:t>
          </w:r>
        </w:p>
        <w:p w14:paraId="1549FD63" w14:textId="77777777" w:rsidR="00527BD4" w:rsidRPr="005819CE" w:rsidRDefault="00527BD4" w:rsidP="00361A56">
          <w:pPr>
            <w:pStyle w:val="Huisstijl-Kopje"/>
          </w:pPr>
        </w:p>
      </w:tc>
    </w:tr>
  </w:tbl>
  <w:p w14:paraId="24C265CF" w14:textId="77777777" w:rsidR="00527BD4" w:rsidRDefault="00527BD4" w:rsidP="008C356D">
    <w:pPr>
      <w:pStyle w:val="Koptekst"/>
      <w:rPr>
        <w:rFonts w:cs="Verdana-Bold"/>
        <w:b/>
        <w:bCs/>
        <w:smallCaps/>
        <w:szCs w:val="18"/>
      </w:rPr>
    </w:pPr>
  </w:p>
  <w:p w14:paraId="50C88C71" w14:textId="77777777" w:rsidR="00527BD4" w:rsidRDefault="00527BD4" w:rsidP="008C356D"/>
  <w:p w14:paraId="38C0A783" w14:textId="77777777" w:rsidR="00527BD4" w:rsidRPr="00740712" w:rsidRDefault="00527BD4" w:rsidP="008C356D"/>
  <w:p w14:paraId="51E72BF9" w14:textId="77777777" w:rsidR="00527BD4" w:rsidRPr="00217880" w:rsidRDefault="00527BD4" w:rsidP="008C356D">
    <w:pPr>
      <w:spacing w:line="0" w:lineRule="atLeast"/>
      <w:rPr>
        <w:sz w:val="2"/>
        <w:szCs w:val="2"/>
      </w:rPr>
    </w:pPr>
  </w:p>
  <w:p w14:paraId="2C8ED210" w14:textId="77777777" w:rsidR="00527BD4" w:rsidRDefault="00527BD4" w:rsidP="004F44C2">
    <w:pPr>
      <w:pStyle w:val="Koptekst"/>
      <w:rPr>
        <w:rFonts w:cs="Verdana-Bold"/>
        <w:b/>
        <w:bCs/>
        <w:smallCaps/>
        <w:szCs w:val="18"/>
      </w:rPr>
    </w:pPr>
  </w:p>
  <w:p w14:paraId="7E1D8B26" w14:textId="77777777" w:rsidR="00527BD4" w:rsidRDefault="00527BD4" w:rsidP="004F44C2"/>
  <w:p w14:paraId="4E701AC1" w14:textId="77777777" w:rsidR="00527BD4" w:rsidRPr="00740712" w:rsidRDefault="00527BD4" w:rsidP="004F44C2"/>
  <w:p w14:paraId="3DBF31F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C5CA9" w14:paraId="5C8D4208" w14:textId="77777777" w:rsidTr="00751A6A">
      <w:trPr>
        <w:trHeight w:val="2636"/>
      </w:trPr>
      <w:tc>
        <w:tcPr>
          <w:tcW w:w="737" w:type="dxa"/>
          <w:shd w:val="clear" w:color="auto" w:fill="auto"/>
        </w:tcPr>
        <w:p w14:paraId="45B547F5" w14:textId="035FBD34"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69660F0" w14:textId="77777777" w:rsidR="00527BD4" w:rsidRDefault="00916E10"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169243A" wp14:editId="599F7AA5">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211B658" w14:textId="77777777" w:rsidR="00F4553F" w:rsidRDefault="00F4553F" w:rsidP="00651CEE">
          <w:pPr>
            <w:framePr w:w="6340" w:h="2750" w:hRule="exact" w:hSpace="180" w:wrap="around" w:vAnchor="page" w:hAnchor="text" w:x="3873" w:y="-140"/>
            <w:spacing w:line="240" w:lineRule="auto"/>
          </w:pPr>
        </w:p>
      </w:tc>
    </w:tr>
  </w:tbl>
  <w:p w14:paraId="322B149C" w14:textId="77777777" w:rsidR="00527BD4" w:rsidRDefault="00527BD4" w:rsidP="00D0609E">
    <w:pPr>
      <w:framePr w:w="6340" w:h="2750" w:hRule="exact" w:hSpace="180" w:wrap="around" w:vAnchor="page" w:hAnchor="text" w:x="3873" w:y="-140"/>
    </w:pPr>
  </w:p>
  <w:p w14:paraId="39C2672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C5CA9" w14:paraId="4BD40EDF" w14:textId="77777777" w:rsidTr="00A50CF6">
      <w:tc>
        <w:tcPr>
          <w:tcW w:w="2160" w:type="dxa"/>
          <w:shd w:val="clear" w:color="auto" w:fill="auto"/>
        </w:tcPr>
        <w:p w14:paraId="71FB619C" w14:textId="77777777" w:rsidR="00527BD4" w:rsidRPr="005819CE" w:rsidRDefault="00916E10" w:rsidP="00A50CF6">
          <w:pPr>
            <w:pStyle w:val="Huisstijl-Adres"/>
            <w:rPr>
              <w:b/>
            </w:rPr>
          </w:pPr>
          <w:r>
            <w:rPr>
              <w:b/>
            </w:rPr>
            <w:t>Programma DG Groningen en Ondergrond</w:t>
          </w:r>
          <w:r w:rsidRPr="005819CE">
            <w:rPr>
              <w:b/>
            </w:rPr>
            <w:br/>
          </w:r>
          <w:r>
            <w:t>Directie Transitie Diepe Ondergrond</w:t>
          </w:r>
        </w:p>
        <w:p w14:paraId="53DC8AD7" w14:textId="77777777" w:rsidR="00527BD4" w:rsidRPr="00BE5ED9" w:rsidRDefault="00916E10" w:rsidP="00A50CF6">
          <w:pPr>
            <w:pStyle w:val="Huisstijl-Adres"/>
          </w:pPr>
          <w:r>
            <w:rPr>
              <w:b/>
            </w:rPr>
            <w:t>Bezoekadres</w:t>
          </w:r>
          <w:r>
            <w:rPr>
              <w:b/>
            </w:rPr>
            <w:br/>
          </w:r>
          <w:r>
            <w:t>Bezuidenhoutseweg 73</w:t>
          </w:r>
          <w:r w:rsidRPr="005819CE">
            <w:br/>
          </w:r>
          <w:r>
            <w:t>2594 AC Den Haag</w:t>
          </w:r>
        </w:p>
        <w:p w14:paraId="4EC74CF8" w14:textId="77777777" w:rsidR="00EF495B" w:rsidRDefault="00916E10" w:rsidP="0098788A">
          <w:pPr>
            <w:pStyle w:val="Huisstijl-Adres"/>
          </w:pPr>
          <w:r>
            <w:rPr>
              <w:b/>
            </w:rPr>
            <w:t>Postadres</w:t>
          </w:r>
          <w:r>
            <w:rPr>
              <w:b/>
            </w:rPr>
            <w:br/>
          </w:r>
          <w:r>
            <w:t>Postbus 20401</w:t>
          </w:r>
          <w:r w:rsidRPr="005819CE">
            <w:br/>
            <w:t>2500 E</w:t>
          </w:r>
          <w:r>
            <w:t>K</w:t>
          </w:r>
          <w:r w:rsidRPr="005819CE">
            <w:t xml:space="preserve"> Den Haag</w:t>
          </w:r>
        </w:p>
        <w:p w14:paraId="4EE0B164" w14:textId="77777777" w:rsidR="00EF495B" w:rsidRPr="005B3814" w:rsidRDefault="00916E10" w:rsidP="0098788A">
          <w:pPr>
            <w:pStyle w:val="Huisstijl-Adres"/>
          </w:pPr>
          <w:r>
            <w:rPr>
              <w:b/>
            </w:rPr>
            <w:t>Overheidsidentificatienr</w:t>
          </w:r>
          <w:r>
            <w:rPr>
              <w:b/>
            </w:rPr>
            <w:br/>
          </w:r>
          <w:r w:rsidR="00F323ED" w:rsidRPr="00F323ED">
            <w:t>00000001003214369000</w:t>
          </w:r>
        </w:p>
        <w:p w14:paraId="63F51283" w14:textId="3D6E7820" w:rsidR="00527BD4" w:rsidRPr="006B5B16" w:rsidRDefault="00916E1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AC5CA9" w14:paraId="61092476" w14:textId="77777777" w:rsidTr="006B5B16">
      <w:trPr>
        <w:trHeight w:hRule="exact" w:val="80"/>
      </w:trPr>
      <w:tc>
        <w:tcPr>
          <w:tcW w:w="2160" w:type="dxa"/>
          <w:shd w:val="clear" w:color="auto" w:fill="auto"/>
        </w:tcPr>
        <w:p w14:paraId="214B4E57" w14:textId="77777777" w:rsidR="00527BD4" w:rsidRPr="005819CE" w:rsidRDefault="00527BD4" w:rsidP="00A50CF6"/>
      </w:tc>
    </w:tr>
    <w:tr w:rsidR="00AC5CA9" w14:paraId="0A46EF4B" w14:textId="77777777" w:rsidTr="00A50CF6">
      <w:tc>
        <w:tcPr>
          <w:tcW w:w="2160" w:type="dxa"/>
          <w:shd w:val="clear" w:color="auto" w:fill="auto"/>
        </w:tcPr>
        <w:p w14:paraId="36C8C04C" w14:textId="77777777" w:rsidR="000C0163" w:rsidRPr="005819CE" w:rsidRDefault="00916E10" w:rsidP="000C0163">
          <w:pPr>
            <w:pStyle w:val="Huisstijl-Kopje"/>
          </w:pPr>
          <w:r>
            <w:t>Ons kenmerk</w:t>
          </w:r>
          <w:r w:rsidRPr="005819CE">
            <w:t xml:space="preserve"> </w:t>
          </w:r>
        </w:p>
        <w:p w14:paraId="4E85FFFF" w14:textId="77777777" w:rsidR="000C0163" w:rsidRPr="005819CE" w:rsidRDefault="00916E10" w:rsidP="000C0163">
          <w:pPr>
            <w:pStyle w:val="Huisstijl-Gegeven"/>
          </w:pPr>
          <w:r>
            <w:t>PDGGO-DTDO</w:t>
          </w:r>
          <w:r w:rsidR="00926AE2">
            <w:t xml:space="preserve"> /</w:t>
          </w:r>
          <w:r w:rsidR="00EB4E8D">
            <w:t xml:space="preserve"> </w:t>
          </w:r>
          <w:bookmarkStart w:id="1" w:name="_Hlk187425290"/>
          <w:r>
            <w:t>96436447</w:t>
          </w:r>
          <w:bookmarkEnd w:id="1"/>
        </w:p>
        <w:p w14:paraId="05BAB20E" w14:textId="77777777" w:rsidR="00527BD4" w:rsidRPr="005819CE" w:rsidRDefault="00916E10" w:rsidP="00A50CF6">
          <w:pPr>
            <w:pStyle w:val="Huisstijl-Kopje"/>
          </w:pPr>
          <w:r>
            <w:t>Uw kenmerk</w:t>
          </w:r>
        </w:p>
        <w:p w14:paraId="664D8373" w14:textId="77777777" w:rsidR="00527BD4" w:rsidRPr="005819CE" w:rsidRDefault="00916E10" w:rsidP="00A50CF6">
          <w:pPr>
            <w:pStyle w:val="Huisstijl-Gegeven"/>
          </w:pPr>
          <w:r>
            <w:t>2024Z21376</w:t>
          </w:r>
        </w:p>
        <w:p w14:paraId="35EE1922" w14:textId="77777777" w:rsidR="00527BD4" w:rsidRPr="005819CE" w:rsidRDefault="00527BD4" w:rsidP="006B5B16">
          <w:pPr>
            <w:pStyle w:val="Huisstijl-Kopje"/>
          </w:pPr>
        </w:p>
      </w:tc>
    </w:tr>
  </w:tbl>
  <w:p w14:paraId="5E56BDB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C5CA9" w:rsidRPr="00000344" w14:paraId="2479B6E0" w14:textId="77777777" w:rsidTr="007610AA">
      <w:trPr>
        <w:trHeight w:val="400"/>
      </w:trPr>
      <w:tc>
        <w:tcPr>
          <w:tcW w:w="7520" w:type="dxa"/>
          <w:gridSpan w:val="2"/>
          <w:shd w:val="clear" w:color="auto" w:fill="auto"/>
        </w:tcPr>
        <w:p w14:paraId="40B96C3A" w14:textId="77777777" w:rsidR="00527BD4" w:rsidRPr="00000344" w:rsidRDefault="00916E10" w:rsidP="00A50CF6">
          <w:pPr>
            <w:pStyle w:val="Huisstijl-Retouradres"/>
            <w:rPr>
              <w:lang w:val="de-DE"/>
            </w:rPr>
          </w:pPr>
          <w:r w:rsidRPr="00000344">
            <w:rPr>
              <w:lang w:val="de-DE"/>
            </w:rPr>
            <w:t>&gt; Retouradres Postbus 20401 2500 EK Den Haag</w:t>
          </w:r>
        </w:p>
      </w:tc>
    </w:tr>
    <w:tr w:rsidR="00AC5CA9" w:rsidRPr="00000344" w14:paraId="27463A37" w14:textId="77777777" w:rsidTr="007610AA">
      <w:tc>
        <w:tcPr>
          <w:tcW w:w="7520" w:type="dxa"/>
          <w:gridSpan w:val="2"/>
          <w:shd w:val="clear" w:color="auto" w:fill="auto"/>
        </w:tcPr>
        <w:p w14:paraId="6C6985FD" w14:textId="77777777" w:rsidR="00527BD4" w:rsidRPr="00000344" w:rsidRDefault="00527BD4" w:rsidP="00A50CF6">
          <w:pPr>
            <w:pStyle w:val="Huisstijl-Rubricering"/>
            <w:rPr>
              <w:lang w:val="de-DE"/>
            </w:rPr>
          </w:pPr>
        </w:p>
      </w:tc>
    </w:tr>
    <w:tr w:rsidR="00AC5CA9" w14:paraId="7955AF57" w14:textId="77777777" w:rsidTr="007610AA">
      <w:trPr>
        <w:trHeight w:hRule="exact" w:val="2440"/>
      </w:trPr>
      <w:tc>
        <w:tcPr>
          <w:tcW w:w="7520" w:type="dxa"/>
          <w:gridSpan w:val="2"/>
          <w:shd w:val="clear" w:color="auto" w:fill="auto"/>
        </w:tcPr>
        <w:p w14:paraId="4C341AD5" w14:textId="77777777" w:rsidR="00527BD4" w:rsidRDefault="00916E10" w:rsidP="00A50CF6">
          <w:pPr>
            <w:pStyle w:val="Huisstijl-NAW"/>
          </w:pPr>
          <w:r>
            <w:t xml:space="preserve">De Voorzitter van de Tweede Kamer </w:t>
          </w:r>
        </w:p>
        <w:p w14:paraId="05F648D4" w14:textId="77777777" w:rsidR="00D87195" w:rsidRDefault="00916E10" w:rsidP="00D87195">
          <w:pPr>
            <w:pStyle w:val="Huisstijl-NAW"/>
          </w:pPr>
          <w:r>
            <w:t>der Staten-Generaal</w:t>
          </w:r>
        </w:p>
        <w:p w14:paraId="5454B2A0" w14:textId="77777777" w:rsidR="00EA0F13" w:rsidRDefault="00916E10" w:rsidP="00EA0F13">
          <w:pPr>
            <w:rPr>
              <w:szCs w:val="18"/>
            </w:rPr>
          </w:pPr>
          <w:r>
            <w:rPr>
              <w:szCs w:val="18"/>
            </w:rPr>
            <w:t>Prinses Irenestraat 6</w:t>
          </w:r>
        </w:p>
        <w:p w14:paraId="50557426" w14:textId="77777777" w:rsidR="00985E56" w:rsidRDefault="00916E10" w:rsidP="00EA0F13">
          <w:r>
            <w:rPr>
              <w:szCs w:val="18"/>
            </w:rPr>
            <w:t>2595 BD  DEN HAAG</w:t>
          </w:r>
        </w:p>
      </w:tc>
    </w:tr>
    <w:tr w:rsidR="00AC5CA9" w14:paraId="68C99F02" w14:textId="77777777" w:rsidTr="007610AA">
      <w:trPr>
        <w:trHeight w:hRule="exact" w:val="400"/>
      </w:trPr>
      <w:tc>
        <w:tcPr>
          <w:tcW w:w="7520" w:type="dxa"/>
          <w:gridSpan w:val="2"/>
          <w:shd w:val="clear" w:color="auto" w:fill="auto"/>
        </w:tcPr>
        <w:p w14:paraId="67349F2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C5CA9" w14:paraId="4AD2518A" w14:textId="77777777" w:rsidTr="007610AA">
      <w:trPr>
        <w:trHeight w:val="240"/>
      </w:trPr>
      <w:tc>
        <w:tcPr>
          <w:tcW w:w="900" w:type="dxa"/>
          <w:shd w:val="clear" w:color="auto" w:fill="auto"/>
        </w:tcPr>
        <w:p w14:paraId="19E610C1" w14:textId="77777777" w:rsidR="00527BD4" w:rsidRPr="007709EF" w:rsidRDefault="00916E10" w:rsidP="00A50CF6">
          <w:pPr>
            <w:rPr>
              <w:szCs w:val="18"/>
            </w:rPr>
          </w:pPr>
          <w:r>
            <w:rPr>
              <w:szCs w:val="18"/>
            </w:rPr>
            <w:t>Datum</w:t>
          </w:r>
        </w:p>
      </w:tc>
      <w:tc>
        <w:tcPr>
          <w:tcW w:w="6620" w:type="dxa"/>
          <w:shd w:val="clear" w:color="auto" w:fill="auto"/>
        </w:tcPr>
        <w:p w14:paraId="2A1D8DB6" w14:textId="5E3EB27A" w:rsidR="00527BD4" w:rsidRPr="007709EF" w:rsidRDefault="006944F3" w:rsidP="00A50CF6">
          <w:r>
            <w:t>10 januari 2025</w:t>
          </w:r>
        </w:p>
      </w:tc>
    </w:tr>
    <w:tr w:rsidR="00AC5CA9" w14:paraId="29345C50" w14:textId="77777777" w:rsidTr="007610AA">
      <w:trPr>
        <w:trHeight w:val="240"/>
      </w:trPr>
      <w:tc>
        <w:tcPr>
          <w:tcW w:w="900" w:type="dxa"/>
          <w:shd w:val="clear" w:color="auto" w:fill="auto"/>
        </w:tcPr>
        <w:p w14:paraId="018EED7C" w14:textId="77777777" w:rsidR="00527BD4" w:rsidRPr="007709EF" w:rsidRDefault="00916E10" w:rsidP="00A50CF6">
          <w:pPr>
            <w:rPr>
              <w:szCs w:val="18"/>
            </w:rPr>
          </w:pPr>
          <w:r>
            <w:rPr>
              <w:szCs w:val="18"/>
            </w:rPr>
            <w:t>Betreft</w:t>
          </w:r>
        </w:p>
      </w:tc>
      <w:tc>
        <w:tcPr>
          <w:tcW w:w="6620" w:type="dxa"/>
          <w:shd w:val="clear" w:color="auto" w:fill="auto"/>
        </w:tcPr>
        <w:p w14:paraId="6339530F" w14:textId="6807CC48" w:rsidR="00527BD4" w:rsidRPr="007709EF" w:rsidRDefault="007A3788" w:rsidP="00A50CF6">
          <w:r>
            <w:t>Informatieverzoek lid Beckerman SP gedaan tijdens ordedebat van 17</w:t>
          </w:r>
          <w:r w:rsidR="001871DC">
            <w:t> </w:t>
          </w:r>
          <w:r>
            <w:t>december 2024</w:t>
          </w:r>
        </w:p>
      </w:tc>
    </w:tr>
  </w:tbl>
  <w:p w14:paraId="58C643A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6006946">
      <w:start w:val="1"/>
      <w:numFmt w:val="bullet"/>
      <w:pStyle w:val="Lijstopsomteken"/>
      <w:lvlText w:val="•"/>
      <w:lvlJc w:val="left"/>
      <w:pPr>
        <w:tabs>
          <w:tab w:val="num" w:pos="227"/>
        </w:tabs>
        <w:ind w:left="227" w:hanging="227"/>
      </w:pPr>
      <w:rPr>
        <w:rFonts w:ascii="Verdana" w:hAnsi="Verdana" w:hint="default"/>
        <w:sz w:val="18"/>
        <w:szCs w:val="18"/>
      </w:rPr>
    </w:lvl>
    <w:lvl w:ilvl="1" w:tplc="1FD48E64" w:tentative="1">
      <w:start w:val="1"/>
      <w:numFmt w:val="bullet"/>
      <w:lvlText w:val="o"/>
      <w:lvlJc w:val="left"/>
      <w:pPr>
        <w:tabs>
          <w:tab w:val="num" w:pos="1440"/>
        </w:tabs>
        <w:ind w:left="1440" w:hanging="360"/>
      </w:pPr>
      <w:rPr>
        <w:rFonts w:ascii="Courier New" w:hAnsi="Courier New" w:cs="Courier New" w:hint="default"/>
      </w:rPr>
    </w:lvl>
    <w:lvl w:ilvl="2" w:tplc="150CF30A" w:tentative="1">
      <w:start w:val="1"/>
      <w:numFmt w:val="bullet"/>
      <w:lvlText w:val=""/>
      <w:lvlJc w:val="left"/>
      <w:pPr>
        <w:tabs>
          <w:tab w:val="num" w:pos="2160"/>
        </w:tabs>
        <w:ind w:left="2160" w:hanging="360"/>
      </w:pPr>
      <w:rPr>
        <w:rFonts w:ascii="Wingdings" w:hAnsi="Wingdings" w:hint="default"/>
      </w:rPr>
    </w:lvl>
    <w:lvl w:ilvl="3" w:tplc="653053FA" w:tentative="1">
      <w:start w:val="1"/>
      <w:numFmt w:val="bullet"/>
      <w:lvlText w:val=""/>
      <w:lvlJc w:val="left"/>
      <w:pPr>
        <w:tabs>
          <w:tab w:val="num" w:pos="2880"/>
        </w:tabs>
        <w:ind w:left="2880" w:hanging="360"/>
      </w:pPr>
      <w:rPr>
        <w:rFonts w:ascii="Symbol" w:hAnsi="Symbol" w:hint="default"/>
      </w:rPr>
    </w:lvl>
    <w:lvl w:ilvl="4" w:tplc="14AA3002" w:tentative="1">
      <w:start w:val="1"/>
      <w:numFmt w:val="bullet"/>
      <w:lvlText w:val="o"/>
      <w:lvlJc w:val="left"/>
      <w:pPr>
        <w:tabs>
          <w:tab w:val="num" w:pos="3600"/>
        </w:tabs>
        <w:ind w:left="3600" w:hanging="360"/>
      </w:pPr>
      <w:rPr>
        <w:rFonts w:ascii="Courier New" w:hAnsi="Courier New" w:cs="Courier New" w:hint="default"/>
      </w:rPr>
    </w:lvl>
    <w:lvl w:ilvl="5" w:tplc="1DE8CCB4" w:tentative="1">
      <w:start w:val="1"/>
      <w:numFmt w:val="bullet"/>
      <w:lvlText w:val=""/>
      <w:lvlJc w:val="left"/>
      <w:pPr>
        <w:tabs>
          <w:tab w:val="num" w:pos="4320"/>
        </w:tabs>
        <w:ind w:left="4320" w:hanging="360"/>
      </w:pPr>
      <w:rPr>
        <w:rFonts w:ascii="Wingdings" w:hAnsi="Wingdings" w:hint="default"/>
      </w:rPr>
    </w:lvl>
    <w:lvl w:ilvl="6" w:tplc="A790EE48" w:tentative="1">
      <w:start w:val="1"/>
      <w:numFmt w:val="bullet"/>
      <w:lvlText w:val=""/>
      <w:lvlJc w:val="left"/>
      <w:pPr>
        <w:tabs>
          <w:tab w:val="num" w:pos="5040"/>
        </w:tabs>
        <w:ind w:left="5040" w:hanging="360"/>
      </w:pPr>
      <w:rPr>
        <w:rFonts w:ascii="Symbol" w:hAnsi="Symbol" w:hint="default"/>
      </w:rPr>
    </w:lvl>
    <w:lvl w:ilvl="7" w:tplc="CF8EFBE6" w:tentative="1">
      <w:start w:val="1"/>
      <w:numFmt w:val="bullet"/>
      <w:lvlText w:val="o"/>
      <w:lvlJc w:val="left"/>
      <w:pPr>
        <w:tabs>
          <w:tab w:val="num" w:pos="5760"/>
        </w:tabs>
        <w:ind w:left="5760" w:hanging="360"/>
      </w:pPr>
      <w:rPr>
        <w:rFonts w:ascii="Courier New" w:hAnsi="Courier New" w:cs="Courier New" w:hint="default"/>
      </w:rPr>
    </w:lvl>
    <w:lvl w:ilvl="8" w:tplc="5CBAAD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41E12FE">
      <w:start w:val="1"/>
      <w:numFmt w:val="bullet"/>
      <w:pStyle w:val="Lijstopsomteken2"/>
      <w:lvlText w:val="–"/>
      <w:lvlJc w:val="left"/>
      <w:pPr>
        <w:tabs>
          <w:tab w:val="num" w:pos="227"/>
        </w:tabs>
        <w:ind w:left="227" w:firstLine="0"/>
      </w:pPr>
      <w:rPr>
        <w:rFonts w:ascii="Verdana" w:hAnsi="Verdana" w:hint="default"/>
      </w:rPr>
    </w:lvl>
    <w:lvl w:ilvl="1" w:tplc="E40E7C92" w:tentative="1">
      <w:start w:val="1"/>
      <w:numFmt w:val="bullet"/>
      <w:lvlText w:val="o"/>
      <w:lvlJc w:val="left"/>
      <w:pPr>
        <w:tabs>
          <w:tab w:val="num" w:pos="1440"/>
        </w:tabs>
        <w:ind w:left="1440" w:hanging="360"/>
      </w:pPr>
      <w:rPr>
        <w:rFonts w:ascii="Courier New" w:hAnsi="Courier New" w:cs="Courier New" w:hint="default"/>
      </w:rPr>
    </w:lvl>
    <w:lvl w:ilvl="2" w:tplc="4EDCC872" w:tentative="1">
      <w:start w:val="1"/>
      <w:numFmt w:val="bullet"/>
      <w:lvlText w:val=""/>
      <w:lvlJc w:val="left"/>
      <w:pPr>
        <w:tabs>
          <w:tab w:val="num" w:pos="2160"/>
        </w:tabs>
        <w:ind w:left="2160" w:hanging="360"/>
      </w:pPr>
      <w:rPr>
        <w:rFonts w:ascii="Wingdings" w:hAnsi="Wingdings" w:hint="default"/>
      </w:rPr>
    </w:lvl>
    <w:lvl w:ilvl="3" w:tplc="38DA7F30" w:tentative="1">
      <w:start w:val="1"/>
      <w:numFmt w:val="bullet"/>
      <w:lvlText w:val=""/>
      <w:lvlJc w:val="left"/>
      <w:pPr>
        <w:tabs>
          <w:tab w:val="num" w:pos="2880"/>
        </w:tabs>
        <w:ind w:left="2880" w:hanging="360"/>
      </w:pPr>
      <w:rPr>
        <w:rFonts w:ascii="Symbol" w:hAnsi="Symbol" w:hint="default"/>
      </w:rPr>
    </w:lvl>
    <w:lvl w:ilvl="4" w:tplc="DD8E0924" w:tentative="1">
      <w:start w:val="1"/>
      <w:numFmt w:val="bullet"/>
      <w:lvlText w:val="o"/>
      <w:lvlJc w:val="left"/>
      <w:pPr>
        <w:tabs>
          <w:tab w:val="num" w:pos="3600"/>
        </w:tabs>
        <w:ind w:left="3600" w:hanging="360"/>
      </w:pPr>
      <w:rPr>
        <w:rFonts w:ascii="Courier New" w:hAnsi="Courier New" w:cs="Courier New" w:hint="default"/>
      </w:rPr>
    </w:lvl>
    <w:lvl w:ilvl="5" w:tplc="153E5984" w:tentative="1">
      <w:start w:val="1"/>
      <w:numFmt w:val="bullet"/>
      <w:lvlText w:val=""/>
      <w:lvlJc w:val="left"/>
      <w:pPr>
        <w:tabs>
          <w:tab w:val="num" w:pos="4320"/>
        </w:tabs>
        <w:ind w:left="4320" w:hanging="360"/>
      </w:pPr>
      <w:rPr>
        <w:rFonts w:ascii="Wingdings" w:hAnsi="Wingdings" w:hint="default"/>
      </w:rPr>
    </w:lvl>
    <w:lvl w:ilvl="6" w:tplc="97BCAA82" w:tentative="1">
      <w:start w:val="1"/>
      <w:numFmt w:val="bullet"/>
      <w:lvlText w:val=""/>
      <w:lvlJc w:val="left"/>
      <w:pPr>
        <w:tabs>
          <w:tab w:val="num" w:pos="5040"/>
        </w:tabs>
        <w:ind w:left="5040" w:hanging="360"/>
      </w:pPr>
      <w:rPr>
        <w:rFonts w:ascii="Symbol" w:hAnsi="Symbol" w:hint="default"/>
      </w:rPr>
    </w:lvl>
    <w:lvl w:ilvl="7" w:tplc="CE1EE6A8" w:tentative="1">
      <w:start w:val="1"/>
      <w:numFmt w:val="bullet"/>
      <w:lvlText w:val="o"/>
      <w:lvlJc w:val="left"/>
      <w:pPr>
        <w:tabs>
          <w:tab w:val="num" w:pos="5760"/>
        </w:tabs>
        <w:ind w:left="5760" w:hanging="360"/>
      </w:pPr>
      <w:rPr>
        <w:rFonts w:ascii="Courier New" w:hAnsi="Courier New" w:cs="Courier New" w:hint="default"/>
      </w:rPr>
    </w:lvl>
    <w:lvl w:ilvl="8" w:tplc="781AF2C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35784224">
    <w:abstractNumId w:val="10"/>
  </w:num>
  <w:num w:numId="2" w16cid:durableId="1319991617">
    <w:abstractNumId w:val="7"/>
  </w:num>
  <w:num w:numId="3" w16cid:durableId="522744112">
    <w:abstractNumId w:val="6"/>
  </w:num>
  <w:num w:numId="4" w16cid:durableId="216937301">
    <w:abstractNumId w:val="5"/>
  </w:num>
  <w:num w:numId="5" w16cid:durableId="281766205">
    <w:abstractNumId w:val="4"/>
  </w:num>
  <w:num w:numId="6" w16cid:durableId="1000813628">
    <w:abstractNumId w:val="8"/>
  </w:num>
  <w:num w:numId="7" w16cid:durableId="1477456572">
    <w:abstractNumId w:val="3"/>
  </w:num>
  <w:num w:numId="8" w16cid:durableId="1867711833">
    <w:abstractNumId w:val="2"/>
  </w:num>
  <w:num w:numId="9" w16cid:durableId="333729741">
    <w:abstractNumId w:val="1"/>
  </w:num>
  <w:num w:numId="10" w16cid:durableId="1929923371">
    <w:abstractNumId w:val="0"/>
  </w:num>
  <w:num w:numId="11" w16cid:durableId="1127897494">
    <w:abstractNumId w:val="9"/>
  </w:num>
  <w:num w:numId="12" w16cid:durableId="660740619">
    <w:abstractNumId w:val="11"/>
  </w:num>
  <w:num w:numId="13" w16cid:durableId="333188763">
    <w:abstractNumId w:val="13"/>
  </w:num>
  <w:num w:numId="14" w16cid:durableId="64188414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344"/>
    <w:rsid w:val="000049FB"/>
    <w:rsid w:val="00013862"/>
    <w:rsid w:val="00016012"/>
    <w:rsid w:val="00020189"/>
    <w:rsid w:val="00020EE4"/>
    <w:rsid w:val="00023E9A"/>
    <w:rsid w:val="00033CDD"/>
    <w:rsid w:val="00034A84"/>
    <w:rsid w:val="00035E67"/>
    <w:rsid w:val="000366F3"/>
    <w:rsid w:val="00041112"/>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871DC"/>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3CDC"/>
    <w:rsid w:val="003D5DED"/>
    <w:rsid w:val="003E3DD5"/>
    <w:rsid w:val="003F07C6"/>
    <w:rsid w:val="003F1F6B"/>
    <w:rsid w:val="003F3757"/>
    <w:rsid w:val="003F38BD"/>
    <w:rsid w:val="003F44B7"/>
    <w:rsid w:val="003F5812"/>
    <w:rsid w:val="004008E9"/>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6022"/>
    <w:rsid w:val="00521CEE"/>
    <w:rsid w:val="00524466"/>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A7891"/>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0BF7"/>
    <w:rsid w:val="00613B1D"/>
    <w:rsid w:val="00617A44"/>
    <w:rsid w:val="006202B6"/>
    <w:rsid w:val="00625CD0"/>
    <w:rsid w:val="0062627D"/>
    <w:rsid w:val="00627432"/>
    <w:rsid w:val="006448E4"/>
    <w:rsid w:val="00645414"/>
    <w:rsid w:val="00651CEE"/>
    <w:rsid w:val="00653606"/>
    <w:rsid w:val="0065368E"/>
    <w:rsid w:val="006610E9"/>
    <w:rsid w:val="00661591"/>
    <w:rsid w:val="00664678"/>
    <w:rsid w:val="0066632F"/>
    <w:rsid w:val="00674A89"/>
    <w:rsid w:val="00674F3D"/>
    <w:rsid w:val="00685545"/>
    <w:rsid w:val="006864B3"/>
    <w:rsid w:val="00692D64"/>
    <w:rsid w:val="006944F3"/>
    <w:rsid w:val="006A10F8"/>
    <w:rsid w:val="006A2100"/>
    <w:rsid w:val="006A5C3B"/>
    <w:rsid w:val="006A72E0"/>
    <w:rsid w:val="006B0BF3"/>
    <w:rsid w:val="006B5B16"/>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1A36"/>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3788"/>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2483"/>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16E10"/>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6312"/>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5EC2"/>
    <w:rsid w:val="00A715F8"/>
    <w:rsid w:val="00A77F6F"/>
    <w:rsid w:val="00A81FC6"/>
    <w:rsid w:val="00A831FD"/>
    <w:rsid w:val="00A83352"/>
    <w:rsid w:val="00A850A2"/>
    <w:rsid w:val="00A91FA3"/>
    <w:rsid w:val="00A927D3"/>
    <w:rsid w:val="00AA0C1B"/>
    <w:rsid w:val="00AA7FC9"/>
    <w:rsid w:val="00AB237D"/>
    <w:rsid w:val="00AB5933"/>
    <w:rsid w:val="00AC5CA9"/>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4FE"/>
    <w:rsid w:val="00B259C8"/>
    <w:rsid w:val="00B26CCF"/>
    <w:rsid w:val="00B30FC2"/>
    <w:rsid w:val="00B331A2"/>
    <w:rsid w:val="00B425F0"/>
    <w:rsid w:val="00B42DFA"/>
    <w:rsid w:val="00B531DD"/>
    <w:rsid w:val="00B55014"/>
    <w:rsid w:val="00B55136"/>
    <w:rsid w:val="00B62232"/>
    <w:rsid w:val="00B65C33"/>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3507B"/>
    <w:rsid w:val="00C4015B"/>
    <w:rsid w:val="00C40C60"/>
    <w:rsid w:val="00C435ED"/>
    <w:rsid w:val="00C45E5F"/>
    <w:rsid w:val="00C5258E"/>
    <w:rsid w:val="00C530C9"/>
    <w:rsid w:val="00C619A7"/>
    <w:rsid w:val="00C73D5F"/>
    <w:rsid w:val="00C82AFE"/>
    <w:rsid w:val="00C83DBC"/>
    <w:rsid w:val="00C97C80"/>
    <w:rsid w:val="00CA47D3"/>
    <w:rsid w:val="00CA6533"/>
    <w:rsid w:val="00CA6A25"/>
    <w:rsid w:val="00CA6A3F"/>
    <w:rsid w:val="00CA7C99"/>
    <w:rsid w:val="00CC026C"/>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60EF"/>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049FA"/>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594D"/>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23ED"/>
    <w:rsid w:val="00F34165"/>
    <w:rsid w:val="00F41A6F"/>
    <w:rsid w:val="00F4553F"/>
    <w:rsid w:val="00F45A25"/>
    <w:rsid w:val="00F50F86"/>
    <w:rsid w:val="00F53F91"/>
    <w:rsid w:val="00F61569"/>
    <w:rsid w:val="00F61A72"/>
    <w:rsid w:val="00F62B67"/>
    <w:rsid w:val="00F66F13"/>
    <w:rsid w:val="00F74073"/>
    <w:rsid w:val="00F75603"/>
    <w:rsid w:val="00F845B4"/>
    <w:rsid w:val="00F8713B"/>
    <w:rsid w:val="00F87342"/>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123BC"/>
  <w15:docId w15:val="{9E921AA0-9907-4330-B427-B743FC51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308</ap:Words>
  <ap:Characters>1694</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2025-01-10T17:16:00.0000000Z</dcterms:created>
  <dcterms:modified xsi:type="dcterms:W3CDTF">2025-01-10T17:16:00.0000000Z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voermanj1</vt:lpwstr>
  </property>
  <property fmtid="{D5CDD505-2E9C-101B-9397-08002B2CF9AE}" pid="3" name="AUTHOR_ID">
    <vt:lpwstr>voermanj1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2024Z21376</vt:lpwstr>
  </property>
  <property fmtid="{D5CDD505-2E9C-101B-9397-08002B2CF9AE}" pid="7" name="DOCNAME">
    <vt:lpwstr>Verzoek lid Beckerman SP gedaan tijdens ordedebat van 17 december 2024 (kenmerk: 2024Z21376) </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voermanj1</vt:lpwstr>
  </property>
</Properties>
</file>