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C120E" w:rsidP="007C120E" w:rsidRDefault="007C120E" w14:paraId="65A2A6C3" w14:textId="26EDA6F3">
      <w:pPr>
        <w:rPr>
          <w:rFonts w:cstheme="minorHAnsi"/>
          <w:szCs w:val="18"/>
        </w:rPr>
      </w:pPr>
      <w:r>
        <w:rPr>
          <w:rFonts w:cstheme="minorHAnsi"/>
          <w:szCs w:val="18"/>
        </w:rPr>
        <w:t>Geachte Voorzitter,</w:t>
      </w:r>
    </w:p>
    <w:p w:rsidR="007C120E" w:rsidP="007C120E" w:rsidRDefault="007C120E" w14:paraId="30FE8464" w14:textId="77777777">
      <w:pPr>
        <w:rPr>
          <w:rFonts w:cstheme="minorHAnsi"/>
          <w:szCs w:val="18"/>
        </w:rPr>
      </w:pPr>
    </w:p>
    <w:p w:rsidR="007C120E" w:rsidP="007C120E" w:rsidRDefault="007C120E" w14:paraId="66730D32" w14:textId="48CD0F8B">
      <w:pPr>
        <w:rPr>
          <w:szCs w:val="18"/>
        </w:rPr>
      </w:pPr>
      <w:r w:rsidRPr="00FE6696">
        <w:rPr>
          <w:szCs w:val="18"/>
        </w:rPr>
        <w:t>Tijdens het debat</w:t>
      </w:r>
      <w:r w:rsidRPr="00A36FC9">
        <w:rPr>
          <w:szCs w:val="18"/>
        </w:rPr>
        <w:t xml:space="preserve"> over Economische Veiligheid en strategische autonomie van 7</w:t>
      </w:r>
      <w:r w:rsidR="00F907A9">
        <w:rPr>
          <w:szCs w:val="18"/>
        </w:rPr>
        <w:t> </w:t>
      </w:r>
      <w:r w:rsidRPr="00A36FC9">
        <w:rPr>
          <w:szCs w:val="18"/>
        </w:rPr>
        <w:t>november 2024</w:t>
      </w:r>
      <w:r w:rsidRPr="00FE6696">
        <w:rPr>
          <w:szCs w:val="18"/>
        </w:rPr>
        <w:t xml:space="preserve"> heeft </w:t>
      </w:r>
      <w:r w:rsidR="00B93284">
        <w:rPr>
          <w:szCs w:val="18"/>
        </w:rPr>
        <w:t>h</w:t>
      </w:r>
      <w:r>
        <w:rPr>
          <w:szCs w:val="18"/>
        </w:rPr>
        <w:t>et lid</w:t>
      </w:r>
      <w:r w:rsidRPr="00FE6696">
        <w:rPr>
          <w:szCs w:val="18"/>
        </w:rPr>
        <w:t xml:space="preserve"> Vermeer (BBB) aandacht gevraagd</w:t>
      </w:r>
      <w:r w:rsidR="00CA36C9">
        <w:rPr>
          <w:szCs w:val="18"/>
        </w:rPr>
        <w:t xml:space="preserve"> voor</w:t>
      </w:r>
      <w:r w:rsidRPr="00FE6696">
        <w:rPr>
          <w:szCs w:val="18"/>
        </w:rPr>
        <w:t xml:space="preserve"> </w:t>
      </w:r>
      <w:r w:rsidR="00031134">
        <w:rPr>
          <w:szCs w:val="18"/>
        </w:rPr>
        <w:t xml:space="preserve">mogelijk </w:t>
      </w:r>
      <w:r>
        <w:rPr>
          <w:szCs w:val="18"/>
        </w:rPr>
        <w:t xml:space="preserve">tegenstrijdig beleid met als </w:t>
      </w:r>
      <w:r w:rsidRPr="00FE6696">
        <w:rPr>
          <w:szCs w:val="18"/>
        </w:rPr>
        <w:t>voor</w:t>
      </w:r>
      <w:r>
        <w:rPr>
          <w:szCs w:val="18"/>
        </w:rPr>
        <w:t>beeld</w:t>
      </w:r>
      <w:r w:rsidRPr="00FE6696">
        <w:rPr>
          <w:szCs w:val="18"/>
        </w:rPr>
        <w:t xml:space="preserve"> de samenhang tussen de correctiefactor van de raffinageroute</w:t>
      </w:r>
      <w:r w:rsidRPr="007572E5">
        <w:rPr>
          <w:szCs w:val="18"/>
          <w:vertAlign w:val="superscript"/>
        </w:rPr>
        <w:footnoteReference w:id="1"/>
      </w:r>
      <w:r w:rsidRPr="00FE6696">
        <w:rPr>
          <w:szCs w:val="18"/>
        </w:rPr>
        <w:t xml:space="preserve"> en </w:t>
      </w:r>
      <w:r>
        <w:rPr>
          <w:szCs w:val="18"/>
        </w:rPr>
        <w:t>inzet op raffinage van kritieke grondstoffen onder de Nationale Grondstoffenstrategie</w:t>
      </w:r>
      <w:r w:rsidRPr="00A36FC9">
        <w:rPr>
          <w:szCs w:val="18"/>
        </w:rPr>
        <w:t>.</w:t>
      </w:r>
      <w:r w:rsidRPr="00FE6696">
        <w:rPr>
          <w:szCs w:val="18"/>
        </w:rPr>
        <w:t xml:space="preserve"> Hierbij informeer ik uw Kamer</w:t>
      </w:r>
      <w:r w:rsidR="001D0417">
        <w:rPr>
          <w:szCs w:val="18"/>
        </w:rPr>
        <w:t>,</w:t>
      </w:r>
      <w:r w:rsidRPr="00A36FC9">
        <w:rPr>
          <w:szCs w:val="18"/>
        </w:rPr>
        <w:t xml:space="preserve"> mede namens </w:t>
      </w:r>
      <w:bookmarkStart w:name="_Hlk183095702" w:id="0"/>
      <w:r w:rsidR="00023CC0">
        <w:rPr>
          <w:szCs w:val="18"/>
        </w:rPr>
        <w:t xml:space="preserve">de </w:t>
      </w:r>
      <w:r w:rsidR="00F907A9">
        <w:rPr>
          <w:szCs w:val="18"/>
        </w:rPr>
        <w:t>m</w:t>
      </w:r>
      <w:r w:rsidR="00023CC0">
        <w:rPr>
          <w:szCs w:val="18"/>
        </w:rPr>
        <w:t>inister van Justitie en Veiligheid (</w:t>
      </w:r>
      <w:proofErr w:type="spellStart"/>
      <w:r w:rsidR="00023CC0">
        <w:rPr>
          <w:szCs w:val="18"/>
        </w:rPr>
        <w:t>JenV</w:t>
      </w:r>
      <w:proofErr w:type="spellEnd"/>
      <w:r w:rsidR="00023CC0">
        <w:rPr>
          <w:szCs w:val="18"/>
        </w:rPr>
        <w:t>)</w:t>
      </w:r>
      <w:r w:rsidR="00E572C4">
        <w:rPr>
          <w:szCs w:val="18"/>
        </w:rPr>
        <w:t xml:space="preserve">, de </w:t>
      </w:r>
      <w:r w:rsidR="00F907A9">
        <w:rPr>
          <w:szCs w:val="18"/>
        </w:rPr>
        <w:t>m</w:t>
      </w:r>
      <w:r w:rsidRPr="00E572C4" w:rsidR="00E572C4">
        <w:rPr>
          <w:szCs w:val="18"/>
        </w:rPr>
        <w:t>inister voor Buitenlandse Handel en Ontwikkelingshulp</w:t>
      </w:r>
      <w:r w:rsidR="00E572C4">
        <w:rPr>
          <w:szCs w:val="18"/>
        </w:rPr>
        <w:t xml:space="preserve"> (BHO) </w:t>
      </w:r>
      <w:r w:rsidR="00023CC0">
        <w:rPr>
          <w:szCs w:val="18"/>
        </w:rPr>
        <w:t>en de</w:t>
      </w:r>
      <w:r w:rsidRPr="00FE6696" w:rsidR="00023CC0">
        <w:rPr>
          <w:szCs w:val="18"/>
        </w:rPr>
        <w:t xml:space="preserve"> </w:t>
      </w:r>
      <w:r w:rsidR="00F907A9">
        <w:rPr>
          <w:szCs w:val="18"/>
        </w:rPr>
        <w:t>s</w:t>
      </w:r>
      <w:r w:rsidRPr="00A36FC9">
        <w:rPr>
          <w:szCs w:val="18"/>
        </w:rPr>
        <w:t xml:space="preserve">taatssecretaris van Infrastructuur en Waterstaat </w:t>
      </w:r>
      <w:r>
        <w:rPr>
          <w:szCs w:val="18"/>
        </w:rPr>
        <w:t>(</w:t>
      </w:r>
      <w:proofErr w:type="spellStart"/>
      <w:r w:rsidRPr="00A36FC9">
        <w:rPr>
          <w:szCs w:val="18"/>
        </w:rPr>
        <w:t>Ie</w:t>
      </w:r>
      <w:r>
        <w:rPr>
          <w:szCs w:val="18"/>
        </w:rPr>
        <w:t>n</w:t>
      </w:r>
      <w:r w:rsidRPr="00A36FC9">
        <w:rPr>
          <w:szCs w:val="18"/>
        </w:rPr>
        <w:t>W</w:t>
      </w:r>
      <w:proofErr w:type="spellEnd"/>
      <w:r>
        <w:rPr>
          <w:szCs w:val="18"/>
        </w:rPr>
        <w:t>)</w:t>
      </w:r>
      <w:bookmarkEnd w:id="0"/>
      <w:r>
        <w:rPr>
          <w:szCs w:val="18"/>
        </w:rPr>
        <w:t xml:space="preserve"> </w:t>
      </w:r>
      <w:r w:rsidRPr="00FE6696">
        <w:rPr>
          <w:szCs w:val="18"/>
        </w:rPr>
        <w:t>over hoe deze aspecten zich tot elkaar verhouden.</w:t>
      </w:r>
    </w:p>
    <w:p w:rsidR="007C120E" w:rsidP="007C120E" w:rsidRDefault="007C120E" w14:paraId="7D09A032" w14:textId="77777777">
      <w:pPr>
        <w:rPr>
          <w:szCs w:val="18"/>
        </w:rPr>
      </w:pPr>
    </w:p>
    <w:p w:rsidR="007C120E" w:rsidP="007C120E" w:rsidRDefault="007C120E" w14:paraId="66CE2A7A" w14:textId="77777777">
      <w:pPr>
        <w:rPr>
          <w:b/>
          <w:bCs/>
          <w:szCs w:val="18"/>
        </w:rPr>
      </w:pPr>
      <w:r w:rsidRPr="00A36FC9">
        <w:rPr>
          <w:b/>
          <w:bCs/>
          <w:szCs w:val="18"/>
        </w:rPr>
        <w:t xml:space="preserve">Samenhangend </w:t>
      </w:r>
      <w:r>
        <w:rPr>
          <w:b/>
          <w:bCs/>
          <w:szCs w:val="18"/>
        </w:rPr>
        <w:t>kabinets</w:t>
      </w:r>
      <w:r w:rsidRPr="00A36FC9">
        <w:rPr>
          <w:b/>
          <w:bCs/>
          <w:szCs w:val="18"/>
        </w:rPr>
        <w:t xml:space="preserve">beleid </w:t>
      </w:r>
    </w:p>
    <w:p w:rsidR="007C120E" w:rsidP="007C120E" w:rsidRDefault="007C120E" w14:paraId="0E407911" w14:textId="45AF2669">
      <w:pPr>
        <w:rPr>
          <w:szCs w:val="18"/>
        </w:rPr>
      </w:pPr>
      <w:r>
        <w:rPr>
          <w:szCs w:val="18"/>
        </w:rPr>
        <w:t>Economische veiligheid is een kabinetsbreed beleidsterrein waar</w:t>
      </w:r>
      <w:r w:rsidR="008A5085">
        <w:rPr>
          <w:szCs w:val="18"/>
        </w:rPr>
        <w:t xml:space="preserve">bij </w:t>
      </w:r>
      <w:r>
        <w:rPr>
          <w:szCs w:val="18"/>
        </w:rPr>
        <w:t xml:space="preserve">het Ministerie van Economische Zaken </w:t>
      </w:r>
      <w:r w:rsidR="008A5085">
        <w:rPr>
          <w:szCs w:val="18"/>
        </w:rPr>
        <w:t xml:space="preserve">nauw samenwerkt </w:t>
      </w:r>
      <w:r w:rsidR="008A5085">
        <w:rPr>
          <w:rFonts w:ascii="Calibri" w:hAnsi="Calibri" w:cs="Calibri"/>
          <w:sz w:val="22"/>
          <w:szCs w:val="22"/>
        </w:rPr>
        <w:t>met de meest betrokken</w:t>
      </w:r>
      <w:r w:rsidR="00E86EEA">
        <w:rPr>
          <w:rFonts w:ascii="Calibri" w:hAnsi="Calibri" w:cs="Calibri"/>
          <w:sz w:val="22"/>
          <w:szCs w:val="22"/>
        </w:rPr>
        <w:t xml:space="preserve"> </w:t>
      </w:r>
      <w:r>
        <w:rPr>
          <w:szCs w:val="18"/>
        </w:rPr>
        <w:t>ministeries</w:t>
      </w:r>
      <w:r w:rsidR="008A5085">
        <w:rPr>
          <w:rFonts w:ascii="Calibri" w:hAnsi="Calibri" w:cs="Calibri"/>
          <w:sz w:val="22"/>
          <w:szCs w:val="22"/>
        </w:rPr>
        <w:t xml:space="preserve"> zoals Justitie en Veiligheid, Buitenlandse Zaken en Onderwijs</w:t>
      </w:r>
      <w:r w:rsidR="00E86EEA">
        <w:rPr>
          <w:rFonts w:ascii="Calibri" w:hAnsi="Calibri" w:cs="Calibri"/>
          <w:sz w:val="22"/>
          <w:szCs w:val="22"/>
        </w:rPr>
        <w:t>,</w:t>
      </w:r>
      <w:r w:rsidR="008A5085">
        <w:rPr>
          <w:rFonts w:ascii="Calibri" w:hAnsi="Calibri" w:cs="Calibri"/>
          <w:sz w:val="22"/>
          <w:szCs w:val="22"/>
        </w:rPr>
        <w:t xml:space="preserve"> Cultuur </w:t>
      </w:r>
      <w:r w:rsidR="00C51C84">
        <w:rPr>
          <w:rFonts w:ascii="Calibri" w:hAnsi="Calibri" w:cs="Calibri"/>
          <w:sz w:val="22"/>
          <w:szCs w:val="22"/>
        </w:rPr>
        <w:t>en</w:t>
      </w:r>
      <w:r w:rsidR="008A5085">
        <w:rPr>
          <w:rFonts w:ascii="Calibri" w:hAnsi="Calibri" w:cs="Calibri"/>
          <w:sz w:val="22"/>
          <w:szCs w:val="22"/>
        </w:rPr>
        <w:t xml:space="preserve"> Wetenschap</w:t>
      </w:r>
      <w:r>
        <w:rPr>
          <w:szCs w:val="18"/>
        </w:rPr>
        <w:t>, ieder vanuit hun eigen rol en verantwoordelijkheid</w:t>
      </w:r>
      <w:r w:rsidR="008A5085">
        <w:rPr>
          <w:szCs w:val="18"/>
        </w:rPr>
        <w:t>.</w:t>
      </w:r>
      <w:r>
        <w:rPr>
          <w:szCs w:val="18"/>
        </w:rPr>
        <w:t xml:space="preserve">. Het kabinet zorgt ervoor dat de diverse publieke belangen, waaronder het veiligheidsbelang, zorgvuldig worden afgewogen. Dit moet tegenstrijdige besluiten voorkomen en leiden tot consistente besluitvorming. </w:t>
      </w:r>
    </w:p>
    <w:p w:rsidR="007C120E" w:rsidP="007C120E" w:rsidRDefault="007C120E" w14:paraId="1DC76DFB" w14:textId="77777777">
      <w:pPr>
        <w:rPr>
          <w:szCs w:val="18"/>
        </w:rPr>
      </w:pPr>
    </w:p>
    <w:p w:rsidR="007C120E" w:rsidP="007C120E" w:rsidRDefault="007C120E" w14:paraId="5A71467C" w14:textId="77777777">
      <w:pPr>
        <w:rPr>
          <w:szCs w:val="18"/>
        </w:rPr>
      </w:pPr>
      <w:bookmarkStart w:name="_Hlk183096042" w:id="1"/>
      <w:r>
        <w:rPr>
          <w:szCs w:val="18"/>
        </w:rPr>
        <w:t>Om samenhangend beleid op het terrein van (economische) veiligheid te waarborgen, vindt b</w:t>
      </w:r>
      <w:r w:rsidRPr="00FE6696">
        <w:rPr>
          <w:szCs w:val="18"/>
        </w:rPr>
        <w:t xml:space="preserve">innen het kabinet </w:t>
      </w:r>
      <w:r w:rsidRPr="00A36FC9">
        <w:rPr>
          <w:szCs w:val="18"/>
        </w:rPr>
        <w:t>op structurele basis</w:t>
      </w:r>
      <w:r w:rsidRPr="00FE6696">
        <w:rPr>
          <w:szCs w:val="18"/>
        </w:rPr>
        <w:t xml:space="preserve"> </w:t>
      </w:r>
      <w:r>
        <w:rPr>
          <w:szCs w:val="18"/>
        </w:rPr>
        <w:t xml:space="preserve">overleg plaats </w:t>
      </w:r>
      <w:r w:rsidRPr="00FE6696">
        <w:rPr>
          <w:szCs w:val="18"/>
        </w:rPr>
        <w:t>over de</w:t>
      </w:r>
      <w:r>
        <w:rPr>
          <w:szCs w:val="18"/>
        </w:rPr>
        <w:t xml:space="preserve"> nationale</w:t>
      </w:r>
      <w:r w:rsidRPr="00FE6696">
        <w:rPr>
          <w:szCs w:val="18"/>
        </w:rPr>
        <w:t xml:space="preserve"> </w:t>
      </w:r>
      <w:r w:rsidRPr="00A36FC9">
        <w:rPr>
          <w:szCs w:val="18"/>
        </w:rPr>
        <w:t>veiligheidsaspecten</w:t>
      </w:r>
      <w:bookmarkEnd w:id="1"/>
      <w:r>
        <w:rPr>
          <w:szCs w:val="18"/>
        </w:rPr>
        <w:t>,</w:t>
      </w:r>
      <w:r w:rsidRPr="00A36FC9">
        <w:rPr>
          <w:szCs w:val="18"/>
        </w:rPr>
        <w:t xml:space="preserve"> die zijn verbonden aan de uiteenlopende inhoudelijke beleidsdossiers. Dit </w:t>
      </w:r>
      <w:r>
        <w:rPr>
          <w:szCs w:val="18"/>
        </w:rPr>
        <w:t>overleg vindt</w:t>
      </w:r>
      <w:r w:rsidRPr="00A36FC9">
        <w:rPr>
          <w:szCs w:val="18"/>
        </w:rPr>
        <w:t xml:space="preserve"> onder meer </w:t>
      </w:r>
      <w:r>
        <w:rPr>
          <w:szCs w:val="18"/>
        </w:rPr>
        <w:t xml:space="preserve">plaats </w:t>
      </w:r>
      <w:r w:rsidRPr="00A36FC9">
        <w:rPr>
          <w:szCs w:val="18"/>
        </w:rPr>
        <w:t>in de Ministerraad, de Nationale Veiligheidsraad en de Raad Defensie, Internationale, Nationale en Economische Veiligheid</w:t>
      </w:r>
      <w:r w:rsidRPr="00FE6696">
        <w:rPr>
          <w:szCs w:val="18"/>
        </w:rPr>
        <w:t xml:space="preserve">. </w:t>
      </w:r>
    </w:p>
    <w:p w:rsidR="007C120E" w:rsidP="007C120E" w:rsidRDefault="007C120E" w14:paraId="7E7A7CDB" w14:textId="77777777">
      <w:pPr>
        <w:rPr>
          <w:szCs w:val="18"/>
        </w:rPr>
      </w:pPr>
    </w:p>
    <w:p w:rsidR="002613FC" w:rsidRDefault="002613FC" w14:paraId="1E919693" w14:textId="77777777">
      <w:pPr>
        <w:spacing w:line="240" w:lineRule="auto"/>
        <w:rPr>
          <w:b/>
          <w:bCs/>
          <w:szCs w:val="18"/>
        </w:rPr>
      </w:pPr>
      <w:r>
        <w:rPr>
          <w:b/>
          <w:bCs/>
          <w:szCs w:val="18"/>
        </w:rPr>
        <w:br w:type="page"/>
      </w:r>
    </w:p>
    <w:p w:rsidRPr="00FE6696" w:rsidR="007C120E" w:rsidP="007C120E" w:rsidRDefault="007C120E" w14:paraId="46A9DD8F" w14:textId="22C94610">
      <w:pPr>
        <w:rPr>
          <w:b/>
          <w:bCs/>
          <w:szCs w:val="18"/>
        </w:rPr>
      </w:pPr>
      <w:r w:rsidRPr="00A36FC9">
        <w:rPr>
          <w:b/>
          <w:bCs/>
          <w:szCs w:val="18"/>
        </w:rPr>
        <w:lastRenderedPageBreak/>
        <w:t>Raffinageroute en kritieke grondstoffen</w:t>
      </w:r>
    </w:p>
    <w:p w:rsidR="007C120E" w:rsidP="007C120E" w:rsidRDefault="007C120E" w14:paraId="7DA5A0F8" w14:textId="6462795E">
      <w:pPr>
        <w:rPr>
          <w:szCs w:val="18"/>
        </w:rPr>
      </w:pPr>
      <w:r w:rsidRPr="00FE6696">
        <w:rPr>
          <w:szCs w:val="18"/>
        </w:rPr>
        <w:t xml:space="preserve">In </w:t>
      </w:r>
      <w:r w:rsidRPr="00A36FC9">
        <w:rPr>
          <w:szCs w:val="18"/>
        </w:rPr>
        <w:t>de</w:t>
      </w:r>
      <w:r w:rsidRPr="00FE6696">
        <w:rPr>
          <w:szCs w:val="18"/>
        </w:rPr>
        <w:t xml:space="preserve"> voortgangsbrief </w:t>
      </w:r>
      <w:r w:rsidRPr="00A36FC9">
        <w:rPr>
          <w:szCs w:val="18"/>
        </w:rPr>
        <w:t xml:space="preserve">van de </w:t>
      </w:r>
      <w:r w:rsidR="00F907A9">
        <w:rPr>
          <w:szCs w:val="18"/>
        </w:rPr>
        <w:t>s</w:t>
      </w:r>
      <w:r w:rsidRPr="00A36FC9">
        <w:rPr>
          <w:szCs w:val="18"/>
        </w:rPr>
        <w:t xml:space="preserve">taatssecretaris van </w:t>
      </w:r>
      <w:proofErr w:type="spellStart"/>
      <w:r w:rsidRPr="00A36FC9">
        <w:rPr>
          <w:szCs w:val="18"/>
        </w:rPr>
        <w:t>IenW</w:t>
      </w:r>
      <w:proofErr w:type="spellEnd"/>
      <w:r w:rsidRPr="00A36FC9">
        <w:rPr>
          <w:szCs w:val="18"/>
        </w:rPr>
        <w:t xml:space="preserve"> van 30 oktober jongs</w:t>
      </w:r>
      <w:r>
        <w:rPr>
          <w:szCs w:val="18"/>
        </w:rPr>
        <w:t>t</w:t>
      </w:r>
      <w:r w:rsidRPr="00A36FC9">
        <w:rPr>
          <w:szCs w:val="18"/>
        </w:rPr>
        <w:t>leden</w:t>
      </w:r>
      <w:r>
        <w:rPr>
          <w:szCs w:val="18"/>
        </w:rPr>
        <w:t xml:space="preserve"> over </w:t>
      </w:r>
      <w:r w:rsidRPr="007572E5">
        <w:rPr>
          <w:szCs w:val="18"/>
        </w:rPr>
        <w:t>de Europese richtlijn hernieuwbare energie (RED-ΙΙΙ)</w:t>
      </w:r>
      <w:r w:rsidRPr="007572E5">
        <w:rPr>
          <w:szCs w:val="18"/>
          <w:vertAlign w:val="superscript"/>
        </w:rPr>
        <w:footnoteReference w:id="2"/>
      </w:r>
      <w:r w:rsidRPr="00A36FC9">
        <w:rPr>
          <w:szCs w:val="18"/>
        </w:rPr>
        <w:t xml:space="preserve">, </w:t>
      </w:r>
      <w:r w:rsidRPr="00FE6696">
        <w:rPr>
          <w:szCs w:val="18"/>
        </w:rPr>
        <w:t>is toegelicht dat de correctiefactor</w:t>
      </w:r>
      <w:r w:rsidRPr="00A36FC9">
        <w:rPr>
          <w:szCs w:val="18"/>
        </w:rPr>
        <w:t xml:space="preserve">, </w:t>
      </w:r>
      <w:r w:rsidRPr="007572E5">
        <w:rPr>
          <w:szCs w:val="18"/>
        </w:rPr>
        <w:t xml:space="preserve">als onderdeel van de implementatie van de </w:t>
      </w:r>
      <w:r>
        <w:rPr>
          <w:szCs w:val="18"/>
        </w:rPr>
        <w:t xml:space="preserve">voornoemde </w:t>
      </w:r>
      <w:r w:rsidRPr="007572E5">
        <w:rPr>
          <w:szCs w:val="18"/>
        </w:rPr>
        <w:t>Europese</w:t>
      </w:r>
      <w:r w:rsidR="001D0417">
        <w:rPr>
          <w:szCs w:val="18"/>
        </w:rPr>
        <w:t xml:space="preserve"> richtlijn</w:t>
      </w:r>
      <w:r w:rsidRPr="00A36FC9">
        <w:rPr>
          <w:szCs w:val="18"/>
        </w:rPr>
        <w:t xml:space="preserve">, </w:t>
      </w:r>
      <w:r w:rsidRPr="00FE6696">
        <w:rPr>
          <w:szCs w:val="18"/>
        </w:rPr>
        <w:t>is bedoeld om de directe inzet van hernieuwbare waterstof en op waterstof gebaseerde brandstoffen (e-</w:t>
      </w:r>
      <w:proofErr w:type="spellStart"/>
      <w:r w:rsidRPr="00FE6696">
        <w:rPr>
          <w:szCs w:val="18"/>
        </w:rPr>
        <w:t>fuels</w:t>
      </w:r>
      <w:proofErr w:type="spellEnd"/>
      <w:r w:rsidRPr="00FE6696">
        <w:rPr>
          <w:szCs w:val="18"/>
        </w:rPr>
        <w:t xml:space="preserve">) te belonen ten opzichte van indirecte inzet via de raffinageroute. </w:t>
      </w:r>
      <w:r>
        <w:rPr>
          <w:szCs w:val="18"/>
        </w:rPr>
        <w:t xml:space="preserve">De introductie van de correctiefactor was al aangekondigd in de eerste voortgangsbrief implementatie RED-III vervoer van 26 april </w:t>
      </w:r>
      <w:r w:rsidR="001D0417">
        <w:rPr>
          <w:szCs w:val="18"/>
        </w:rPr>
        <w:t>2024</w:t>
      </w:r>
      <w:r>
        <w:rPr>
          <w:szCs w:val="18"/>
        </w:rPr>
        <w:t>.</w:t>
      </w:r>
      <w:r>
        <w:rPr>
          <w:rStyle w:val="Voetnootmarkering"/>
        </w:rPr>
        <w:footnoteReference w:id="3"/>
      </w:r>
      <w:r>
        <w:rPr>
          <w:szCs w:val="18"/>
        </w:rPr>
        <w:t xml:space="preserve"> De inhoud van deze Kamerbrief is afgestemd met </w:t>
      </w:r>
      <w:r w:rsidR="000F61A9">
        <w:rPr>
          <w:szCs w:val="18"/>
        </w:rPr>
        <w:t xml:space="preserve">de direct betrokken departementen, waaronder </w:t>
      </w:r>
      <w:r>
        <w:rPr>
          <w:szCs w:val="18"/>
        </w:rPr>
        <w:t xml:space="preserve">mijn ministerie, toen nog het </w:t>
      </w:r>
      <w:r w:rsidRPr="00EE1C20">
        <w:rPr>
          <w:szCs w:val="18"/>
        </w:rPr>
        <w:t>Ministerie van Economische Zaken en Klimaat</w:t>
      </w:r>
      <w:r>
        <w:rPr>
          <w:szCs w:val="18"/>
        </w:rPr>
        <w:t xml:space="preserve">. </w:t>
      </w:r>
    </w:p>
    <w:p w:rsidRPr="00FE6696" w:rsidR="007C120E" w:rsidP="007C120E" w:rsidRDefault="007C120E" w14:paraId="63AC6F8D" w14:textId="77777777">
      <w:pPr>
        <w:rPr>
          <w:szCs w:val="18"/>
        </w:rPr>
      </w:pPr>
    </w:p>
    <w:p w:rsidR="007C120E" w:rsidP="007C120E" w:rsidRDefault="007C120E" w14:paraId="561D4B1F" w14:textId="3D60CF59">
      <w:pPr>
        <w:rPr>
          <w:szCs w:val="18"/>
        </w:rPr>
      </w:pPr>
      <w:bookmarkStart w:name="_Hlk183096083" w:id="2"/>
      <w:r w:rsidRPr="007572E5">
        <w:rPr>
          <w:szCs w:val="18"/>
        </w:rPr>
        <w:t xml:space="preserve">Er is geen verband tussen </w:t>
      </w:r>
      <w:r>
        <w:rPr>
          <w:szCs w:val="18"/>
        </w:rPr>
        <w:t xml:space="preserve">enerzijds </w:t>
      </w:r>
      <w:r w:rsidRPr="007572E5">
        <w:rPr>
          <w:szCs w:val="18"/>
        </w:rPr>
        <w:t xml:space="preserve">de raffinageroute binnen het implementatietraject van de Europese richtlijn hernieuwbare energie en </w:t>
      </w:r>
      <w:r>
        <w:rPr>
          <w:szCs w:val="18"/>
        </w:rPr>
        <w:t xml:space="preserve">anderzijds de inzet op </w:t>
      </w:r>
      <w:r w:rsidRPr="007572E5">
        <w:rPr>
          <w:szCs w:val="18"/>
        </w:rPr>
        <w:t xml:space="preserve">het raffineren van </w:t>
      </w:r>
      <w:r>
        <w:rPr>
          <w:szCs w:val="18"/>
        </w:rPr>
        <w:t>zogenaamde “</w:t>
      </w:r>
      <w:r w:rsidRPr="007572E5">
        <w:rPr>
          <w:szCs w:val="18"/>
        </w:rPr>
        <w:t xml:space="preserve">kritieke </w:t>
      </w:r>
      <w:r>
        <w:rPr>
          <w:szCs w:val="18"/>
        </w:rPr>
        <w:t xml:space="preserve">en strategische </w:t>
      </w:r>
      <w:r w:rsidRPr="007572E5">
        <w:rPr>
          <w:szCs w:val="18"/>
        </w:rPr>
        <w:t>grondstoffen</w:t>
      </w:r>
      <w:r>
        <w:rPr>
          <w:szCs w:val="18"/>
        </w:rPr>
        <w:t>”</w:t>
      </w:r>
      <w:bookmarkEnd w:id="2"/>
      <w:r>
        <w:rPr>
          <w:szCs w:val="18"/>
        </w:rPr>
        <w:t xml:space="preserve"> – voornamelijk metalen en mineralen - onder de Nationale Grondstoffenstrategie (NGS) en de Europese </w:t>
      </w:r>
      <w:r w:rsidRPr="00E76B72">
        <w:rPr>
          <w:i/>
          <w:iCs/>
          <w:szCs w:val="18"/>
        </w:rPr>
        <w:t xml:space="preserve">Critical </w:t>
      </w:r>
      <w:proofErr w:type="spellStart"/>
      <w:r w:rsidRPr="00E76B72">
        <w:rPr>
          <w:i/>
          <w:iCs/>
          <w:szCs w:val="18"/>
        </w:rPr>
        <w:t>Raw</w:t>
      </w:r>
      <w:proofErr w:type="spellEnd"/>
      <w:r w:rsidRPr="00E76B72">
        <w:rPr>
          <w:i/>
          <w:iCs/>
          <w:szCs w:val="18"/>
        </w:rPr>
        <w:t xml:space="preserve"> </w:t>
      </w:r>
      <w:proofErr w:type="spellStart"/>
      <w:r w:rsidRPr="00E76B72">
        <w:rPr>
          <w:i/>
          <w:iCs/>
          <w:szCs w:val="18"/>
        </w:rPr>
        <w:t>Materials</w:t>
      </w:r>
      <w:proofErr w:type="spellEnd"/>
      <w:r w:rsidRPr="00E76B72">
        <w:rPr>
          <w:i/>
          <w:iCs/>
          <w:szCs w:val="18"/>
        </w:rPr>
        <w:t xml:space="preserve"> Act</w:t>
      </w:r>
      <w:r>
        <w:rPr>
          <w:szCs w:val="18"/>
        </w:rPr>
        <w:t xml:space="preserve"> (CRMA)</w:t>
      </w:r>
      <w:r w:rsidRPr="007572E5">
        <w:rPr>
          <w:szCs w:val="18"/>
        </w:rPr>
        <w:t xml:space="preserve">. Met de raffinageroute wordt beoogd om waterstofproductie met behulp van </w:t>
      </w:r>
      <w:proofErr w:type="spellStart"/>
      <w:r w:rsidRPr="007572E5">
        <w:rPr>
          <w:szCs w:val="18"/>
        </w:rPr>
        <w:t>elektrolysers</w:t>
      </w:r>
      <w:proofErr w:type="spellEnd"/>
      <w:r w:rsidRPr="007572E5">
        <w:rPr>
          <w:szCs w:val="18"/>
        </w:rPr>
        <w:t xml:space="preserve"> te stimuleren. </w:t>
      </w:r>
      <w:r>
        <w:rPr>
          <w:szCs w:val="18"/>
        </w:rPr>
        <w:t>De inzet op het</w:t>
      </w:r>
      <w:r w:rsidRPr="007572E5">
        <w:rPr>
          <w:szCs w:val="18"/>
        </w:rPr>
        <w:t xml:space="preserve"> raffineren van kritieke grondstoffen </w:t>
      </w:r>
      <w:r>
        <w:rPr>
          <w:szCs w:val="18"/>
        </w:rPr>
        <w:t xml:space="preserve">onder de NGS en de CRMA </w:t>
      </w:r>
      <w:r w:rsidRPr="007572E5">
        <w:rPr>
          <w:szCs w:val="18"/>
        </w:rPr>
        <w:t>draagt bij aan het streven om</w:t>
      </w:r>
      <w:r>
        <w:rPr>
          <w:szCs w:val="18"/>
        </w:rPr>
        <w:t xml:space="preserve"> de leveringszekerheid van kritieke grondstoffen te verhogen</w:t>
      </w:r>
      <w:r w:rsidRPr="007572E5">
        <w:rPr>
          <w:szCs w:val="18"/>
        </w:rPr>
        <w:t xml:space="preserve">. Deze twee </w:t>
      </w:r>
      <w:r>
        <w:rPr>
          <w:szCs w:val="18"/>
        </w:rPr>
        <w:t>beleids</w:t>
      </w:r>
      <w:r w:rsidRPr="007572E5">
        <w:rPr>
          <w:szCs w:val="18"/>
        </w:rPr>
        <w:t>ontwikkelingen</w:t>
      </w:r>
      <w:r>
        <w:rPr>
          <w:szCs w:val="18"/>
        </w:rPr>
        <w:t xml:space="preserve"> zijn niet strijdig met elkaar</w:t>
      </w:r>
      <w:r w:rsidRPr="007572E5">
        <w:rPr>
          <w:szCs w:val="18"/>
        </w:rPr>
        <w:t>; ze dragen beide bij aan de transitie naar een klimaat neutrale en circulaire samenleving in 2050</w:t>
      </w:r>
      <w:r>
        <w:rPr>
          <w:szCs w:val="18"/>
        </w:rPr>
        <w:t>, verhoogde economische weerbaarheid, en het</w:t>
      </w:r>
      <w:r w:rsidRPr="007572E5">
        <w:rPr>
          <w:szCs w:val="18"/>
        </w:rPr>
        <w:t xml:space="preserve"> behoud van verdien</w:t>
      </w:r>
      <w:r>
        <w:rPr>
          <w:szCs w:val="18"/>
        </w:rPr>
        <w:t>ver</w:t>
      </w:r>
      <w:r w:rsidRPr="007572E5">
        <w:rPr>
          <w:szCs w:val="18"/>
        </w:rPr>
        <w:t>mogen in Nederland.</w:t>
      </w:r>
    </w:p>
    <w:p w:rsidRPr="007572E5" w:rsidR="007C120E" w:rsidP="007C120E" w:rsidRDefault="007C120E" w14:paraId="386B4167" w14:textId="77777777">
      <w:pPr>
        <w:rPr>
          <w:szCs w:val="18"/>
        </w:rPr>
      </w:pPr>
    </w:p>
    <w:p w:rsidRPr="00FE6696" w:rsidR="007C120E" w:rsidP="007C120E" w:rsidRDefault="007C120E" w14:paraId="3CD7B602" w14:textId="77777777">
      <w:pPr>
        <w:rPr>
          <w:b/>
          <w:bCs/>
          <w:szCs w:val="18"/>
        </w:rPr>
      </w:pPr>
      <w:r>
        <w:rPr>
          <w:b/>
          <w:bCs/>
          <w:szCs w:val="18"/>
        </w:rPr>
        <w:t>Tot slot</w:t>
      </w:r>
    </w:p>
    <w:p w:rsidRPr="000B5EAF" w:rsidR="000B5EAF" w:rsidP="000B5EAF" w:rsidRDefault="007C120E" w14:paraId="35F06A9D" w14:textId="4C9D9B3F">
      <w:pPr>
        <w:rPr>
          <w:szCs w:val="18"/>
        </w:rPr>
      </w:pPr>
      <w:bookmarkStart w:name="_Hlk182999828" w:id="3"/>
      <w:r w:rsidRPr="00A36FC9">
        <w:rPr>
          <w:szCs w:val="18"/>
        </w:rPr>
        <w:t xml:space="preserve">Ik streef ernaar uw </w:t>
      </w:r>
      <w:r w:rsidRPr="00FE6696">
        <w:rPr>
          <w:szCs w:val="18"/>
        </w:rPr>
        <w:t xml:space="preserve">Kamer </w:t>
      </w:r>
      <w:r w:rsidR="007B6E93">
        <w:rPr>
          <w:szCs w:val="18"/>
        </w:rPr>
        <w:t>in</w:t>
      </w:r>
      <w:r w:rsidRPr="00A36FC9">
        <w:rPr>
          <w:szCs w:val="18"/>
        </w:rPr>
        <w:t xml:space="preserve"> de zomer van 2025 nader te informeren over </w:t>
      </w:r>
      <w:r w:rsidRPr="00FE6696">
        <w:rPr>
          <w:szCs w:val="18"/>
        </w:rPr>
        <w:t>de voortgang op het gebied van economische veiligheid</w:t>
      </w:r>
      <w:r>
        <w:rPr>
          <w:rStyle w:val="Voetnootmarkering"/>
        </w:rPr>
        <w:footnoteReference w:id="4"/>
      </w:r>
      <w:r>
        <w:rPr>
          <w:szCs w:val="18"/>
        </w:rPr>
        <w:t>. Vanwege de</w:t>
      </w:r>
      <w:r w:rsidRPr="00A36FC9">
        <w:rPr>
          <w:szCs w:val="18"/>
        </w:rPr>
        <w:t xml:space="preserve"> strategische en nationale veiligheidsoverwegingen </w:t>
      </w:r>
      <w:r>
        <w:rPr>
          <w:szCs w:val="18"/>
        </w:rPr>
        <w:t>zal het kabinet zorgvuldig en vertrouwelijk om gaan met het delen van informatie over economische veiligheid</w:t>
      </w:r>
      <w:r w:rsidRPr="00A36FC9">
        <w:rPr>
          <w:szCs w:val="18"/>
        </w:rPr>
        <w:t xml:space="preserve">. </w:t>
      </w:r>
      <w:r w:rsidRPr="008F7078">
        <w:rPr>
          <w:szCs w:val="18"/>
        </w:rPr>
        <w:t xml:space="preserve">In die brief zal ik </w:t>
      </w:r>
      <w:r>
        <w:rPr>
          <w:szCs w:val="18"/>
        </w:rPr>
        <w:t xml:space="preserve">ook </w:t>
      </w:r>
      <w:r w:rsidR="007E5CE8">
        <w:rPr>
          <w:szCs w:val="18"/>
        </w:rPr>
        <w:t xml:space="preserve">een overzicht bieden van de diverse economische veiligheidsinstrumenten, waaronder </w:t>
      </w:r>
      <w:r w:rsidRPr="00DD7E8E" w:rsidR="007E5CE8">
        <w:rPr>
          <w:szCs w:val="18"/>
        </w:rPr>
        <w:t xml:space="preserve">de </w:t>
      </w:r>
      <w:r w:rsidR="007E5CE8">
        <w:rPr>
          <w:szCs w:val="18"/>
        </w:rPr>
        <w:t>Wet veiligheidstoets investeringen, fusies en overnames (</w:t>
      </w:r>
      <w:proofErr w:type="spellStart"/>
      <w:r w:rsidR="007E5CE8">
        <w:rPr>
          <w:szCs w:val="18"/>
        </w:rPr>
        <w:t>vifo</w:t>
      </w:r>
      <w:proofErr w:type="spellEnd"/>
      <w:r w:rsidR="007E5CE8">
        <w:rPr>
          <w:szCs w:val="18"/>
        </w:rPr>
        <w:t>) en de</w:t>
      </w:r>
      <w:r w:rsidRPr="008F7078">
        <w:rPr>
          <w:szCs w:val="18"/>
        </w:rPr>
        <w:t xml:space="preserve"> </w:t>
      </w:r>
      <w:r>
        <w:rPr>
          <w:szCs w:val="18"/>
        </w:rPr>
        <w:t>Beschermingsvoorziening economische veiligheid.</w:t>
      </w:r>
      <w:r w:rsidR="000B5EAF">
        <w:rPr>
          <w:szCs w:val="18"/>
        </w:rPr>
        <w:t xml:space="preserve"> </w:t>
      </w:r>
      <w:bookmarkStart w:name="_Hlk183448957" w:id="4"/>
      <w:r w:rsidR="000B5EAF">
        <w:rPr>
          <w:szCs w:val="18"/>
        </w:rPr>
        <w:t>Daarnaast ben ik uiteraard ook graag bereid om</w:t>
      </w:r>
      <w:r w:rsidR="000602A3">
        <w:rPr>
          <w:szCs w:val="18"/>
        </w:rPr>
        <w:t xml:space="preserve"> op de hiervoor genoemde onderwerpen een</w:t>
      </w:r>
      <w:r w:rsidR="000B5EAF">
        <w:rPr>
          <w:szCs w:val="18"/>
        </w:rPr>
        <w:t xml:space="preserve"> (vertrouwelijke) technische briefing aan uw Kamer </w:t>
      </w:r>
      <w:r w:rsidR="000602A3">
        <w:rPr>
          <w:szCs w:val="18"/>
        </w:rPr>
        <w:t>te verzorgen</w:t>
      </w:r>
      <w:r w:rsidR="000B5EAF">
        <w:rPr>
          <w:szCs w:val="18"/>
        </w:rPr>
        <w:t>.</w:t>
      </w:r>
    </w:p>
    <w:bookmarkEnd w:id="4"/>
    <w:p w:rsidR="007C120E" w:rsidP="007C120E" w:rsidRDefault="007C120E" w14:paraId="3A6E4B16" w14:textId="756F209F">
      <w:pPr>
        <w:rPr>
          <w:szCs w:val="18"/>
        </w:rPr>
      </w:pPr>
    </w:p>
    <w:bookmarkEnd w:id="3"/>
    <w:p w:rsidR="007C120E" w:rsidP="007C120E" w:rsidRDefault="007C120E" w14:paraId="21581747" w14:textId="5510C2ED">
      <w:pPr>
        <w:rPr>
          <w:rFonts w:cstheme="minorHAnsi"/>
          <w:szCs w:val="18"/>
        </w:rPr>
      </w:pPr>
    </w:p>
    <w:p w:rsidR="00F907A9" w:rsidP="007C120E" w:rsidRDefault="00F907A9" w14:paraId="749DFD0A" w14:textId="0AAD5C63">
      <w:pPr>
        <w:rPr>
          <w:rFonts w:cstheme="minorHAnsi"/>
          <w:szCs w:val="18"/>
        </w:rPr>
      </w:pPr>
    </w:p>
    <w:p w:rsidR="00F907A9" w:rsidP="007C120E" w:rsidRDefault="00F907A9" w14:paraId="4DE7A551" w14:textId="77777777">
      <w:pPr>
        <w:rPr>
          <w:rFonts w:cstheme="minorHAnsi"/>
          <w:szCs w:val="18"/>
        </w:rPr>
      </w:pPr>
    </w:p>
    <w:p w:rsidRPr="00A36FC9" w:rsidR="00F907A9" w:rsidP="007C120E" w:rsidRDefault="00F907A9" w14:paraId="5F4C896F" w14:textId="77777777">
      <w:pPr>
        <w:rPr>
          <w:rFonts w:cstheme="minorHAnsi"/>
          <w:szCs w:val="18"/>
        </w:rPr>
      </w:pPr>
    </w:p>
    <w:p w:rsidRPr="00591E4A" w:rsidR="00C90702" w:rsidP="007F510A" w:rsidRDefault="00073B47" w14:paraId="3843CB82" w14:textId="2C707638">
      <w:pPr>
        <w:rPr>
          <w:szCs w:val="18"/>
        </w:rPr>
      </w:pPr>
      <w:r>
        <w:rPr>
          <w:szCs w:val="18"/>
        </w:rPr>
        <w:t>D</w:t>
      </w:r>
      <w:r w:rsidR="00F907A9">
        <w:rPr>
          <w:szCs w:val="18"/>
        </w:rPr>
        <w:t>irk</w:t>
      </w:r>
      <w:r>
        <w:rPr>
          <w:szCs w:val="18"/>
        </w:rPr>
        <w:t xml:space="preserve"> </w:t>
      </w:r>
      <w:proofErr w:type="spellStart"/>
      <w:r>
        <w:rPr>
          <w:szCs w:val="18"/>
        </w:rPr>
        <w:t>Beljaarts</w:t>
      </w:r>
      <w:proofErr w:type="spellEnd"/>
    </w:p>
    <w:p w:rsidR="00664678" w:rsidP="00810C93" w:rsidRDefault="00073B47" w14:paraId="6E89043F" w14:textId="3B28B84B">
      <w:r w:rsidRPr="005C65B5">
        <w:t>Minister van Economische Zaken</w:t>
      </w:r>
    </w:p>
    <w:sectPr w:rsidR="0066467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5B817" w14:textId="77777777" w:rsidR="006768C6" w:rsidRDefault="006768C6">
      <w:r>
        <w:separator/>
      </w:r>
    </w:p>
    <w:p w14:paraId="1BD40208" w14:textId="77777777" w:rsidR="006768C6" w:rsidRDefault="006768C6"/>
  </w:endnote>
  <w:endnote w:type="continuationSeparator" w:id="0">
    <w:p w14:paraId="5BFF43FD" w14:textId="77777777" w:rsidR="006768C6" w:rsidRDefault="006768C6">
      <w:r>
        <w:continuationSeparator/>
      </w:r>
    </w:p>
    <w:p w14:paraId="6AE0241D" w14:textId="77777777" w:rsidR="006768C6" w:rsidRDefault="00676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7CC7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C0F76" w14:paraId="6378696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C0AD8E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72FE531" w14:textId="3B4314A5" w:rsidR="00527BD4" w:rsidRPr="00645414" w:rsidRDefault="00073B4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B34984">
            <w:t>2</w:t>
          </w:r>
          <w:r w:rsidR="00721AE1">
            <w:fldChar w:fldCharType="end"/>
          </w:r>
        </w:p>
      </w:tc>
    </w:tr>
  </w:tbl>
  <w:p w14:paraId="1D6FB39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C0F76" w14:paraId="16786E4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FC2BFF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D4B8D4C" w14:textId="43A04454" w:rsidR="00527BD4" w:rsidRPr="00ED539E" w:rsidRDefault="00073B4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779BE">
            <w:fldChar w:fldCharType="begin"/>
          </w:r>
          <w:r>
            <w:instrText xml:space="preserve"> SECTIONPAGES   \* MERGEFORMAT </w:instrText>
          </w:r>
          <w:r w:rsidR="003779BE">
            <w:fldChar w:fldCharType="separate"/>
          </w:r>
          <w:r w:rsidR="00B34984">
            <w:t>2</w:t>
          </w:r>
          <w:r w:rsidR="003779BE">
            <w:fldChar w:fldCharType="end"/>
          </w:r>
        </w:p>
      </w:tc>
    </w:tr>
  </w:tbl>
  <w:p w14:paraId="252B998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4AE5E1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3516C" w14:textId="77777777" w:rsidR="006768C6" w:rsidRDefault="006768C6">
      <w:r>
        <w:separator/>
      </w:r>
    </w:p>
    <w:p w14:paraId="3EA7868F" w14:textId="77777777" w:rsidR="006768C6" w:rsidRDefault="006768C6"/>
  </w:footnote>
  <w:footnote w:type="continuationSeparator" w:id="0">
    <w:p w14:paraId="652C48BC" w14:textId="77777777" w:rsidR="006768C6" w:rsidRDefault="006768C6">
      <w:r>
        <w:continuationSeparator/>
      </w:r>
    </w:p>
    <w:p w14:paraId="6EEF4E94" w14:textId="77777777" w:rsidR="006768C6" w:rsidRDefault="006768C6"/>
  </w:footnote>
  <w:footnote w:id="1">
    <w:p w14:paraId="34435519" w14:textId="77777777" w:rsidR="007C120E" w:rsidRPr="00F907A9" w:rsidRDefault="007C120E" w:rsidP="007C120E">
      <w:pPr>
        <w:pStyle w:val="Voetnoottekst"/>
        <w:rPr>
          <w:szCs w:val="13"/>
        </w:rPr>
      </w:pPr>
      <w:r w:rsidRPr="00F907A9">
        <w:rPr>
          <w:rStyle w:val="Voetnootmarkering"/>
          <w:szCs w:val="13"/>
        </w:rPr>
        <w:footnoteRef/>
      </w:r>
      <w:r w:rsidRPr="00F907A9">
        <w:rPr>
          <w:szCs w:val="13"/>
        </w:rPr>
        <w:t xml:space="preserve"> De raffinageroute behelst de inzet van hernieuwbare waterstof in raffinaderijen voor de productie van conventionele transportbrandstoffen en biobrandstoffen; zie ook Kamerstuk 32 813, nr. 1383.</w:t>
      </w:r>
    </w:p>
  </w:footnote>
  <w:footnote w:id="2">
    <w:p w14:paraId="16246C36" w14:textId="77777777" w:rsidR="007C120E" w:rsidRPr="00F907A9" w:rsidRDefault="007C120E" w:rsidP="007C120E">
      <w:pPr>
        <w:pStyle w:val="Voetnoottekst"/>
        <w:rPr>
          <w:szCs w:val="13"/>
        </w:rPr>
      </w:pPr>
      <w:r w:rsidRPr="00F907A9">
        <w:rPr>
          <w:rStyle w:val="Voetnootmarkering"/>
          <w:szCs w:val="13"/>
        </w:rPr>
        <w:footnoteRef/>
      </w:r>
      <w:r w:rsidRPr="00F907A9">
        <w:rPr>
          <w:szCs w:val="13"/>
        </w:rPr>
        <w:t xml:space="preserve"> Kamerstuk 32 813, nr. 1419.</w:t>
      </w:r>
    </w:p>
  </w:footnote>
  <w:footnote w:id="3">
    <w:p w14:paraId="0E581C14" w14:textId="77777777" w:rsidR="007C120E" w:rsidRPr="00F907A9" w:rsidRDefault="007C120E" w:rsidP="007C120E">
      <w:pPr>
        <w:pStyle w:val="Voetnoottekst"/>
        <w:rPr>
          <w:szCs w:val="13"/>
        </w:rPr>
      </w:pPr>
      <w:r w:rsidRPr="00F907A9">
        <w:rPr>
          <w:rStyle w:val="Voetnootmarkering"/>
          <w:szCs w:val="13"/>
        </w:rPr>
        <w:footnoteRef/>
      </w:r>
      <w:r w:rsidRPr="00F907A9">
        <w:rPr>
          <w:szCs w:val="13"/>
        </w:rPr>
        <w:t xml:space="preserve"> Kamerstuk 32 813, nr. 1383.</w:t>
      </w:r>
    </w:p>
  </w:footnote>
  <w:footnote w:id="4">
    <w:p w14:paraId="6539D12D" w14:textId="7438B3C8" w:rsidR="007C120E" w:rsidRPr="00F907A9" w:rsidRDefault="007C120E" w:rsidP="007C120E">
      <w:pPr>
        <w:pStyle w:val="Voetnoottekst"/>
        <w:rPr>
          <w:szCs w:val="13"/>
        </w:rPr>
      </w:pPr>
      <w:r w:rsidRPr="00F907A9">
        <w:rPr>
          <w:rStyle w:val="Voetnootmarkering"/>
          <w:szCs w:val="13"/>
        </w:rPr>
        <w:footnoteRef/>
      </w:r>
      <w:r w:rsidRPr="00F907A9">
        <w:rPr>
          <w:szCs w:val="13"/>
        </w:rPr>
        <w:t xml:space="preserve"> Voor het overzicht van het instrumentarium Economische Veiligheid, zie Kamerstuk 30 821, nr. 199.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C0F76" w14:paraId="7E5E7AD3" w14:textId="77777777" w:rsidTr="00A50CF6">
      <w:tc>
        <w:tcPr>
          <w:tcW w:w="2156" w:type="dxa"/>
          <w:shd w:val="clear" w:color="auto" w:fill="auto"/>
        </w:tcPr>
        <w:p w14:paraId="50844BD8" w14:textId="77777777" w:rsidR="00527BD4" w:rsidRPr="005819CE" w:rsidRDefault="00073B4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Topsectoren en Industriebeleid</w:t>
          </w:r>
        </w:p>
      </w:tc>
    </w:tr>
    <w:tr w:rsidR="001C0F76" w14:paraId="19F3FDD7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99AFD4C" w14:textId="77777777" w:rsidR="00527BD4" w:rsidRPr="005819CE" w:rsidRDefault="00527BD4" w:rsidP="00A50CF6"/>
      </w:tc>
    </w:tr>
    <w:tr w:rsidR="001C0F76" w14:paraId="5377FDBD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05DE18B" w14:textId="77777777" w:rsidR="00527BD4" w:rsidRDefault="00073B47" w:rsidP="003A5290">
          <w:pPr>
            <w:pStyle w:val="Huisstijl-Kopje"/>
          </w:pPr>
          <w:r>
            <w:t>Ons kenmerk</w:t>
          </w:r>
        </w:p>
        <w:p w14:paraId="6CA2736D" w14:textId="79A27378" w:rsidR="00502512" w:rsidRPr="00502512" w:rsidRDefault="00073B47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DGBI-TOP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850414" w:rsidRPr="00850414">
                <w:rPr>
                  <w:b w:val="0"/>
                </w:rPr>
                <w:t>95925250</w:t>
              </w:r>
            </w:sdtContent>
          </w:sdt>
        </w:p>
        <w:p w14:paraId="2F3305F3" w14:textId="77777777" w:rsidR="00527BD4" w:rsidRPr="005819CE" w:rsidRDefault="00527BD4" w:rsidP="00361A56">
          <w:pPr>
            <w:pStyle w:val="Huisstijl-Kopje"/>
          </w:pPr>
        </w:p>
      </w:tc>
    </w:tr>
  </w:tbl>
  <w:p w14:paraId="3D4E19EC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845398A" w14:textId="77777777" w:rsidR="00527BD4" w:rsidRDefault="00527BD4" w:rsidP="008C356D"/>
  <w:p w14:paraId="12BD55ED" w14:textId="77777777" w:rsidR="00527BD4" w:rsidRPr="00740712" w:rsidRDefault="00527BD4" w:rsidP="008C356D"/>
  <w:p w14:paraId="0496231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ECBFEF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30147FC" w14:textId="77777777" w:rsidR="00527BD4" w:rsidRDefault="00527BD4" w:rsidP="004F44C2"/>
  <w:p w14:paraId="23336ADC" w14:textId="77777777" w:rsidR="00527BD4" w:rsidRPr="00740712" w:rsidRDefault="00527BD4" w:rsidP="004F44C2"/>
  <w:p w14:paraId="06974B5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C0F76" w14:paraId="673C580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A977B0D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05889CD" w14:textId="77777777" w:rsidR="00527BD4" w:rsidRDefault="00073B47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37D94AC" wp14:editId="03BD471B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AB3C7C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10A15D5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AF4479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C0F76" w14:paraId="2D0B2A55" w14:textId="77777777" w:rsidTr="00A50CF6">
      <w:tc>
        <w:tcPr>
          <w:tcW w:w="2160" w:type="dxa"/>
          <w:shd w:val="clear" w:color="auto" w:fill="auto"/>
        </w:tcPr>
        <w:p w14:paraId="186A98EA" w14:textId="77777777" w:rsidR="00527BD4" w:rsidRPr="005819CE" w:rsidRDefault="00073B4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Topsectoren en Industriebeleid</w:t>
          </w:r>
        </w:p>
        <w:p w14:paraId="4C78F990" w14:textId="77777777" w:rsidR="00527BD4" w:rsidRPr="00BE5ED9" w:rsidRDefault="00073B4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80AD7C3" w14:textId="77777777" w:rsidR="00EF495B" w:rsidRDefault="00073B4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3043480" w14:textId="77777777" w:rsidR="00EF495B" w:rsidRPr="005B3814" w:rsidRDefault="00073B4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37C9274" w14:textId="79B3353B" w:rsidR="00527BD4" w:rsidRPr="00F907A9" w:rsidRDefault="00073B4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1C0F76" w14:paraId="301F2C4B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063CF94" w14:textId="77777777" w:rsidR="00527BD4" w:rsidRPr="005819CE" w:rsidRDefault="00527BD4" w:rsidP="00A50CF6"/>
      </w:tc>
    </w:tr>
    <w:tr w:rsidR="001C0F76" w14:paraId="0F63CCD0" w14:textId="77777777" w:rsidTr="00A50CF6">
      <w:tc>
        <w:tcPr>
          <w:tcW w:w="2160" w:type="dxa"/>
          <w:shd w:val="clear" w:color="auto" w:fill="auto"/>
        </w:tcPr>
        <w:p w14:paraId="36F316AF" w14:textId="77777777" w:rsidR="000C0163" w:rsidRPr="005819CE" w:rsidRDefault="00073B4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6B9FE75" w14:textId="126A21F4" w:rsidR="000C0163" w:rsidRPr="005819CE" w:rsidRDefault="00073B47" w:rsidP="000C0163">
          <w:pPr>
            <w:pStyle w:val="Huisstijl-Gegeven"/>
          </w:pPr>
          <w:r>
            <w:t>DGBI-TOP</w:t>
          </w:r>
          <w:r w:rsidR="00926AE2">
            <w:t xml:space="preserve"> / </w:t>
          </w:r>
          <w:r w:rsidR="00850414">
            <w:t>95925250</w:t>
          </w:r>
        </w:p>
        <w:p w14:paraId="608953E1" w14:textId="77777777" w:rsidR="00527BD4" w:rsidRPr="005819CE" w:rsidRDefault="00527BD4" w:rsidP="00F907A9">
          <w:pPr>
            <w:pStyle w:val="Huisstijl-Kopje"/>
          </w:pPr>
        </w:p>
      </w:tc>
    </w:tr>
  </w:tbl>
  <w:p w14:paraId="02B4F48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C0F76" w14:paraId="17CC0D3E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3156B8E" w14:textId="77777777" w:rsidR="00527BD4" w:rsidRPr="00BC3B53" w:rsidRDefault="00073B4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C0F76" w14:paraId="40226EED" w14:textId="77777777" w:rsidTr="007610AA">
      <w:tc>
        <w:tcPr>
          <w:tcW w:w="7520" w:type="dxa"/>
          <w:gridSpan w:val="2"/>
          <w:shd w:val="clear" w:color="auto" w:fill="auto"/>
        </w:tcPr>
        <w:p w14:paraId="0A24C83C" w14:textId="77777777" w:rsidR="00527BD4" w:rsidRPr="00983E8F" w:rsidRDefault="00527BD4" w:rsidP="00A50CF6">
          <w:pPr>
            <w:pStyle w:val="Huisstijl-Rubricering"/>
          </w:pPr>
        </w:p>
      </w:tc>
    </w:tr>
    <w:tr w:rsidR="001C0F76" w14:paraId="036CDD3E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4065EBB" w14:textId="2AAF1FDD" w:rsidR="00527BD4" w:rsidRDefault="00F907A9" w:rsidP="00A50CF6">
          <w:pPr>
            <w:pStyle w:val="Huisstijl-NAW"/>
          </w:pPr>
          <w:r>
            <w:t>D</w:t>
          </w:r>
          <w:r w:rsidR="007C120E" w:rsidRPr="007C120E">
            <w:t xml:space="preserve">e Voorzitter van de Tweede Kamer </w:t>
          </w:r>
          <w:r w:rsidR="007C120E">
            <w:br/>
          </w:r>
          <w:r w:rsidR="007C120E" w:rsidRPr="007C120E">
            <w:t xml:space="preserve">der Staten-Generaal </w:t>
          </w:r>
          <w:r w:rsidR="007C120E">
            <w:br/>
          </w:r>
          <w:r w:rsidR="007C120E" w:rsidRPr="007C120E">
            <w:t xml:space="preserve">Prinses Irenestraat 6 </w:t>
          </w:r>
          <w:r w:rsidR="007C120E">
            <w:br/>
          </w:r>
          <w:r w:rsidR="007C120E" w:rsidRPr="007C120E">
            <w:t>2595 BD</w:t>
          </w:r>
          <w:r>
            <w:t xml:space="preserve"> </w:t>
          </w:r>
          <w:r w:rsidR="007C120E" w:rsidRPr="007C120E">
            <w:t xml:space="preserve"> DEN HAAG</w:t>
          </w:r>
        </w:p>
      </w:tc>
    </w:tr>
    <w:tr w:rsidR="001C0F76" w14:paraId="259D7C7D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270349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C0F76" w14:paraId="4F72C939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5BD8AC6" w14:textId="77777777" w:rsidR="00527BD4" w:rsidRPr="007709EF" w:rsidRDefault="00073B4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381A3B8" w14:textId="2401DFDC" w:rsidR="00527BD4" w:rsidRPr="007709EF" w:rsidRDefault="00BF0628" w:rsidP="00A50CF6">
          <w:r>
            <w:t>13 januari 2025</w:t>
          </w:r>
        </w:p>
      </w:tc>
    </w:tr>
    <w:tr w:rsidR="001C0F76" w14:paraId="04E11B9C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19E6175" w14:textId="77777777" w:rsidR="00527BD4" w:rsidRPr="007709EF" w:rsidRDefault="00073B4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40D7F80" w14:textId="77777777" w:rsidR="00527BD4" w:rsidRPr="007709EF" w:rsidRDefault="00073B47" w:rsidP="00A50CF6">
          <w:r>
            <w:t>Kamerbrief naar aanleiding van toezeggingen Commissiedebat Economische Veiligheid en Strategische Autonomie</w:t>
          </w:r>
        </w:p>
      </w:tc>
    </w:tr>
  </w:tbl>
  <w:p w14:paraId="4AECE0F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32EB49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E705D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B4F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4CB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EA3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82D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C7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CEE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9EC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B1AD71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EE47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42EC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084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56C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2EA9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68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6246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0AF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0009275">
    <w:abstractNumId w:val="10"/>
  </w:num>
  <w:num w:numId="2" w16cid:durableId="672494610">
    <w:abstractNumId w:val="7"/>
  </w:num>
  <w:num w:numId="3" w16cid:durableId="1817796606">
    <w:abstractNumId w:val="6"/>
  </w:num>
  <w:num w:numId="4" w16cid:durableId="358090734">
    <w:abstractNumId w:val="5"/>
  </w:num>
  <w:num w:numId="5" w16cid:durableId="654531494">
    <w:abstractNumId w:val="4"/>
  </w:num>
  <w:num w:numId="6" w16cid:durableId="185096644">
    <w:abstractNumId w:val="8"/>
  </w:num>
  <w:num w:numId="7" w16cid:durableId="1939950452">
    <w:abstractNumId w:val="3"/>
  </w:num>
  <w:num w:numId="8" w16cid:durableId="1827939475">
    <w:abstractNumId w:val="2"/>
  </w:num>
  <w:num w:numId="9" w16cid:durableId="905918373">
    <w:abstractNumId w:val="1"/>
  </w:num>
  <w:num w:numId="10" w16cid:durableId="654337917">
    <w:abstractNumId w:val="0"/>
  </w:num>
  <w:num w:numId="11" w16cid:durableId="1843860869">
    <w:abstractNumId w:val="9"/>
  </w:num>
  <w:num w:numId="12" w16cid:durableId="1698971142">
    <w:abstractNumId w:val="11"/>
  </w:num>
  <w:num w:numId="13" w16cid:durableId="2088915044">
    <w:abstractNumId w:val="13"/>
  </w:num>
  <w:num w:numId="14" w16cid:durableId="6945755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CC0"/>
    <w:rsid w:val="00023E9A"/>
    <w:rsid w:val="00031134"/>
    <w:rsid w:val="00033CDD"/>
    <w:rsid w:val="00034A84"/>
    <w:rsid w:val="00035E67"/>
    <w:rsid w:val="000366F3"/>
    <w:rsid w:val="00042A5B"/>
    <w:rsid w:val="0006024D"/>
    <w:rsid w:val="000602A3"/>
    <w:rsid w:val="00060762"/>
    <w:rsid w:val="00071F28"/>
    <w:rsid w:val="00073B47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5EAF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0F61A9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F76"/>
    <w:rsid w:val="001C32EC"/>
    <w:rsid w:val="001C38BD"/>
    <w:rsid w:val="001C4470"/>
    <w:rsid w:val="001C4D5A"/>
    <w:rsid w:val="001D0417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51600"/>
    <w:rsid w:val="00255AE0"/>
    <w:rsid w:val="00260BAF"/>
    <w:rsid w:val="002613FC"/>
    <w:rsid w:val="002650F7"/>
    <w:rsid w:val="002732F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5B54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6621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44CD"/>
    <w:rsid w:val="003B7EE7"/>
    <w:rsid w:val="003C2CCB"/>
    <w:rsid w:val="003D39EC"/>
    <w:rsid w:val="003D41FF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35F29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21CA"/>
    <w:rsid w:val="004C6314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4306"/>
    <w:rsid w:val="005F62D3"/>
    <w:rsid w:val="005F6D11"/>
    <w:rsid w:val="00600CF0"/>
    <w:rsid w:val="006048F4"/>
    <w:rsid w:val="0060660A"/>
    <w:rsid w:val="00613B1D"/>
    <w:rsid w:val="006143A3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768C6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67B2"/>
    <w:rsid w:val="006B775E"/>
    <w:rsid w:val="006B7BC7"/>
    <w:rsid w:val="006C2535"/>
    <w:rsid w:val="006C441E"/>
    <w:rsid w:val="006C4B90"/>
    <w:rsid w:val="006D1016"/>
    <w:rsid w:val="006D17F2"/>
    <w:rsid w:val="006E31D0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B6E93"/>
    <w:rsid w:val="007C120E"/>
    <w:rsid w:val="007C406E"/>
    <w:rsid w:val="007C5183"/>
    <w:rsid w:val="007C7573"/>
    <w:rsid w:val="007E2B20"/>
    <w:rsid w:val="007E5CE8"/>
    <w:rsid w:val="007F1FE4"/>
    <w:rsid w:val="007F439C"/>
    <w:rsid w:val="007F510A"/>
    <w:rsid w:val="007F5331"/>
    <w:rsid w:val="00800CCA"/>
    <w:rsid w:val="0080116F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041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085"/>
    <w:rsid w:val="008B1198"/>
    <w:rsid w:val="008B3471"/>
    <w:rsid w:val="008B3929"/>
    <w:rsid w:val="008B4125"/>
    <w:rsid w:val="008B4CB3"/>
    <w:rsid w:val="008B567B"/>
    <w:rsid w:val="008B7B24"/>
    <w:rsid w:val="008C356D"/>
    <w:rsid w:val="008D4091"/>
    <w:rsid w:val="008D43B5"/>
    <w:rsid w:val="008E0B3F"/>
    <w:rsid w:val="008E49AD"/>
    <w:rsid w:val="008E698E"/>
    <w:rsid w:val="008F2584"/>
    <w:rsid w:val="008F3246"/>
    <w:rsid w:val="008F3C1B"/>
    <w:rsid w:val="008F508C"/>
    <w:rsid w:val="008F69BB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95C79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1547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55FC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34984"/>
    <w:rsid w:val="00B425F0"/>
    <w:rsid w:val="00B42DFA"/>
    <w:rsid w:val="00B531DD"/>
    <w:rsid w:val="00B55014"/>
    <w:rsid w:val="00B62232"/>
    <w:rsid w:val="00B70BF3"/>
    <w:rsid w:val="00B71DC2"/>
    <w:rsid w:val="00B843E2"/>
    <w:rsid w:val="00B849F5"/>
    <w:rsid w:val="00B91CFC"/>
    <w:rsid w:val="00B93284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09EF"/>
    <w:rsid w:val="00BE3F88"/>
    <w:rsid w:val="00BE4756"/>
    <w:rsid w:val="00BE5ED9"/>
    <w:rsid w:val="00BE7B41"/>
    <w:rsid w:val="00BF0628"/>
    <w:rsid w:val="00C10FCF"/>
    <w:rsid w:val="00C15A91"/>
    <w:rsid w:val="00C206F1"/>
    <w:rsid w:val="00C217E1"/>
    <w:rsid w:val="00C219B1"/>
    <w:rsid w:val="00C4015B"/>
    <w:rsid w:val="00C40C60"/>
    <w:rsid w:val="00C43FE6"/>
    <w:rsid w:val="00C51C84"/>
    <w:rsid w:val="00C5258E"/>
    <w:rsid w:val="00C530C9"/>
    <w:rsid w:val="00C619A7"/>
    <w:rsid w:val="00C73D5F"/>
    <w:rsid w:val="00C77B79"/>
    <w:rsid w:val="00C82AFE"/>
    <w:rsid w:val="00C82FE3"/>
    <w:rsid w:val="00C83DBC"/>
    <w:rsid w:val="00C90702"/>
    <w:rsid w:val="00C97C80"/>
    <w:rsid w:val="00CA36C9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45D5"/>
    <w:rsid w:val="00D04F97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46FBD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3967"/>
    <w:rsid w:val="00D86EEA"/>
    <w:rsid w:val="00D87D03"/>
    <w:rsid w:val="00D9360B"/>
    <w:rsid w:val="00D95C88"/>
    <w:rsid w:val="00D97B2E"/>
    <w:rsid w:val="00DA241E"/>
    <w:rsid w:val="00DA7ACD"/>
    <w:rsid w:val="00DB36FE"/>
    <w:rsid w:val="00DB533A"/>
    <w:rsid w:val="00DB60AE"/>
    <w:rsid w:val="00DB6307"/>
    <w:rsid w:val="00DC47A9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D1B"/>
    <w:rsid w:val="00E11F8E"/>
    <w:rsid w:val="00E15881"/>
    <w:rsid w:val="00E16A8F"/>
    <w:rsid w:val="00E21DE3"/>
    <w:rsid w:val="00E273C5"/>
    <w:rsid w:val="00E307D1"/>
    <w:rsid w:val="00E3731D"/>
    <w:rsid w:val="00E51469"/>
    <w:rsid w:val="00E572C4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6EEA"/>
    <w:rsid w:val="00E876B9"/>
    <w:rsid w:val="00E91C7D"/>
    <w:rsid w:val="00EB6755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2E29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75952"/>
    <w:rsid w:val="00F845B4"/>
    <w:rsid w:val="00F8713B"/>
    <w:rsid w:val="00F907A9"/>
    <w:rsid w:val="00F93F9E"/>
    <w:rsid w:val="00FA2CD7"/>
    <w:rsid w:val="00FA31F5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4147B0"/>
  <w15:docId w15:val="{D48A9F07-96D1-4E24-92B0-530A157A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C120E"/>
    <w:rPr>
      <w:vertAlign w:val="superscript"/>
    </w:rPr>
  </w:style>
  <w:style w:type="paragraph" w:styleId="Revisie">
    <w:name w:val="Revision"/>
    <w:hidden/>
    <w:uiPriority w:val="99"/>
    <w:semiHidden/>
    <w:rsid w:val="002613FC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BC4DB3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95EC3"/>
    <w:rsid w:val="001D74F2"/>
    <w:rsid w:val="001E2F69"/>
    <w:rsid w:val="002369BF"/>
    <w:rsid w:val="00247DC2"/>
    <w:rsid w:val="00251600"/>
    <w:rsid w:val="002732FE"/>
    <w:rsid w:val="00305B54"/>
    <w:rsid w:val="003D41FF"/>
    <w:rsid w:val="004344BB"/>
    <w:rsid w:val="00435F29"/>
    <w:rsid w:val="004C6314"/>
    <w:rsid w:val="00501039"/>
    <w:rsid w:val="006B67B2"/>
    <w:rsid w:val="00711929"/>
    <w:rsid w:val="00A22FC5"/>
    <w:rsid w:val="00BC4DB3"/>
    <w:rsid w:val="00C10FCF"/>
    <w:rsid w:val="00C82FE3"/>
    <w:rsid w:val="00D045D5"/>
    <w:rsid w:val="00E11D1B"/>
    <w:rsid w:val="00E50AD2"/>
    <w:rsid w:val="00E91C7D"/>
    <w:rsid w:val="00EB6755"/>
    <w:rsid w:val="00ED7401"/>
    <w:rsid w:val="00F9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535</ap:Words>
  <ap:Characters>3434</ap:Characters>
  <ap:DocSecurity>0</ap:DocSecurity>
  <ap:Lines>163</ap:Lines>
  <ap:Paragraphs>68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3901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2025-01-13T12:26:00.0000000Z</lastPrinted>
  <dcterms:created xsi:type="dcterms:W3CDTF">2025-01-13T12:21:00.0000000Z</dcterms:created>
  <dcterms:modified xsi:type="dcterms:W3CDTF">2025-01-13T12:27:00.0000000Z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majitio</vt:lpwstr>
  </property>
  <property fmtid="{D5CDD505-2E9C-101B-9397-08002B2CF9AE}" pid="3" name="AUTHOR_ID">
    <vt:lpwstr>majitio</vt:lpwstr>
  </property>
  <property fmtid="{D5CDD505-2E9C-101B-9397-08002B2CF9AE}" pid="4" name="A_ADRES">
    <vt:lpwstr>Aan de Voorzitter van de Tweede Kamer der Staten-Generaal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Kamerbrief naar aanleiding van toezeggingen Commissiedebat Economische Veiligheid en Strategische Autonomie</vt:lpwstr>
  </property>
  <property fmtid="{D5CDD505-2E9C-101B-9397-08002B2CF9AE}" pid="9" name="documentId">
    <vt:lpwstr>documentId</vt:lpwstr>
  </property>
  <property fmtid="{D5CDD505-2E9C-101B-9397-08002B2CF9AE}" pid="10" name="Header">
    <vt:lpwstr>Brief - EZ</vt:lpwstr>
  </property>
  <property fmtid="{D5CDD505-2E9C-101B-9397-08002B2CF9AE}" pid="11" name="HeaderId">
    <vt:lpwstr>F47FC491B8054EF2BA2DA29E24BFB169</vt:lpwstr>
  </property>
  <property fmtid="{D5CDD505-2E9C-101B-9397-08002B2CF9AE}" pid="12" name="Template">
    <vt:lpwstr>Brief - EZ</vt:lpwstr>
  </property>
  <property fmtid="{D5CDD505-2E9C-101B-9397-08002B2CF9AE}" pid="13" name="TemplateId">
    <vt:lpwstr>EFDB1B21C0F949259FF82E4D6753CEAF</vt:lpwstr>
  </property>
  <property fmtid="{D5CDD505-2E9C-101B-9397-08002B2CF9AE}" pid="14" name="TYPE_ID">
    <vt:lpwstr>Brief</vt:lpwstr>
  </property>
  <property fmtid="{D5CDD505-2E9C-101B-9397-08002B2CF9AE}" pid="15" name="Typist">
    <vt:lpwstr>majitio</vt:lpwstr>
  </property>
</Properties>
</file>