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A5FB8" w:rsidP="004A5FB8" w:rsidRDefault="004A5FB8" w14:paraId="41093F74" w14:textId="77777777">
      <w:r>
        <w:t>Geachte Voorzitter,</w:t>
      </w:r>
    </w:p>
    <w:p w:rsidR="004A5FB8" w:rsidP="004A5FB8" w:rsidRDefault="004A5FB8" w14:paraId="1AD41B89" w14:textId="77777777"/>
    <w:p w:rsidR="004A5FB8" w:rsidP="004A5FB8" w:rsidRDefault="004A5FB8" w14:paraId="56311ACE" w14:textId="07C79EC0">
      <w:r>
        <w:t>Recente ontwikkelingen op de gasmarkt en meer in het bijzonder met betrekking tot de gasopslagen, roepen begrijpelijkerwijs de nodige vragen op. Gasleveringszekerheid is voor dit kabinet een belangrijke prioriteit en de recente ontwikkelingen hebben dan ook de volle de aandacht</w:t>
      </w:r>
      <w:r w:rsidR="00846602">
        <w:t>.</w:t>
      </w:r>
      <w:r>
        <w:t xml:space="preserve"> Gas is immers nog steeds nodig voor huishoudens, de industrie en om andere energie, zoals elektriciteit, te produceren. Een goed geborgde gasleveringszekerheid maakt Nederland ook weerbaar in een geopolitiek onrustige wereld. In deze brief gaat het kabinet nader in op de ontwikkelingen op de gasmarkt.  </w:t>
      </w:r>
    </w:p>
    <w:p w:rsidR="004A5FB8" w:rsidP="004A5FB8" w:rsidRDefault="004A5FB8" w14:paraId="34DE27FB" w14:textId="77777777"/>
    <w:p w:rsidRPr="00023D6A" w:rsidR="004A5FB8" w:rsidP="004A5FB8" w:rsidRDefault="004A5FB8" w14:paraId="49B0852D" w14:textId="77777777">
      <w:pPr>
        <w:pStyle w:val="Lijstalinea"/>
        <w:numPr>
          <w:ilvl w:val="0"/>
          <w:numId w:val="22"/>
        </w:numPr>
        <w:rPr>
          <w:b/>
          <w:bCs/>
        </w:rPr>
      </w:pPr>
      <w:r w:rsidRPr="00023D6A">
        <w:rPr>
          <w:b/>
          <w:bCs/>
        </w:rPr>
        <w:t>Duiding en impact van de huidige situatie</w:t>
      </w:r>
    </w:p>
    <w:p w:rsidR="004A5FB8" w:rsidP="004A5FB8" w:rsidRDefault="004A5FB8" w14:paraId="13F1E3A5" w14:textId="77777777"/>
    <w:p w:rsidR="004A5FB8" w:rsidP="004A5FB8" w:rsidRDefault="004A5FB8" w14:paraId="41B6F1AE" w14:textId="3E50D58E">
      <w:r>
        <w:t xml:space="preserve">De gasvraag in Nederland </w:t>
      </w:r>
      <w:r w:rsidR="005F12C4">
        <w:t>voor binnenlands verbruik bedraagt</w:t>
      </w:r>
      <w:r>
        <w:t xml:space="preserve"> op dit moment ca. 300 </w:t>
      </w:r>
      <w:proofErr w:type="spellStart"/>
      <w:r>
        <w:t>TWh</w:t>
      </w:r>
      <w:proofErr w:type="spellEnd"/>
      <w:r>
        <w:t xml:space="preserve"> per jaar. Daarin wordt voorzien met gas uit een breed scala aan bronnen: productie in Nederland, import via pijpleidingen en per schip (in de vorm van LNG), en in de winter wordt er ook gas gebruikt uit de gasopslagen. Deze gasopslagen worden door marktpartijen gevuld in de zomer (over het algemeen: de periode van 1 april tot 1 november). Dat noemen we het vulseizoen. Marktpartijen slaan gas op, om in de winter (over het algemeen: periode van 1</w:t>
      </w:r>
      <w:r w:rsidR="0023210E">
        <w:t> </w:t>
      </w:r>
      <w:r>
        <w:t xml:space="preserve">november tot 1 april) de mogelijkheid te hebben om ook met het opgeslagen gas te voorzien in hun leveringsverplichtingen aan klanten. Een leverancier zal gebruik maken van deze mogelijkheid op momenten dat de prijs hoog is; het is dan commercieel gunstiger om klanten te beleveren met </w:t>
      </w:r>
      <w:r w:rsidR="005F12C4">
        <w:t xml:space="preserve">door die leverancier opgeslagen </w:t>
      </w:r>
      <w:r>
        <w:t>gas dan met gas dat op dat moment op de groothandelsmarkt te koop is.</w:t>
      </w:r>
    </w:p>
    <w:p w:rsidRPr="00023D6A" w:rsidR="004A5FB8" w:rsidP="004A5FB8" w:rsidRDefault="004A5FB8" w14:paraId="36951A89" w14:textId="77777777">
      <w:pPr>
        <w:ind w:firstLine="709"/>
        <w:rPr>
          <w:u w:val="single"/>
        </w:rPr>
      </w:pPr>
      <w:r>
        <w:rPr>
          <w:u w:val="single"/>
        </w:rPr>
        <w:t>Gasopslagen: v</w:t>
      </w:r>
      <w:r w:rsidRPr="00023D6A">
        <w:rPr>
          <w:u w:val="single"/>
        </w:rPr>
        <w:t>ulgraden tot nu toe</w:t>
      </w:r>
    </w:p>
    <w:p w:rsidR="004A5FB8" w:rsidP="004A5FB8" w:rsidRDefault="004A5FB8" w14:paraId="1127BD95" w14:textId="77777777"/>
    <w:p w:rsidR="004A5FB8" w:rsidP="004A5FB8" w:rsidRDefault="004A5FB8" w14:paraId="3CA0BF5E" w14:textId="77777777">
      <w:r>
        <w:t xml:space="preserve">De </w:t>
      </w:r>
      <w:r w:rsidRPr="0075070B">
        <w:t>gasopslagen</w:t>
      </w:r>
      <w:r>
        <w:t xml:space="preserve"> in Nederland waren op 1 oktober 2024 voor bijna 93% gevuld. Dit was in lijn met de ambitie van het kabinet en het advies van GTS</w:t>
      </w:r>
      <w:r>
        <w:rPr>
          <w:rStyle w:val="Voetnootmarkering"/>
        </w:rPr>
        <w:footnoteReference w:id="2"/>
      </w:r>
      <w:r>
        <w:t xml:space="preserve"> en ruim boven de vulverplichting voor Nederland van 74% die op 1 november gold op grond van de EU-verordening gasleveringszekerheid</w:t>
      </w:r>
      <w:r>
        <w:rPr>
          <w:rStyle w:val="Voetnootmarkering"/>
        </w:rPr>
        <w:footnoteReference w:id="3"/>
      </w:r>
      <w:r>
        <w:t xml:space="preserve">. </w:t>
      </w:r>
    </w:p>
    <w:p w:rsidR="004A5FB8" w:rsidP="004A5FB8" w:rsidRDefault="004A5FB8" w14:paraId="7DDA4280" w14:textId="77777777"/>
    <w:p w:rsidR="004A5FB8" w:rsidP="004A5FB8" w:rsidRDefault="004A5FB8" w14:paraId="39362209" w14:textId="1373AC09">
      <w:r>
        <w:t xml:space="preserve">Op dit moment (peildatum 7 januari 2025) zijn de gasopslagen in Nederland voor bijna 53% gevuld. Dit komt neer op zo’n 76 </w:t>
      </w:r>
      <w:proofErr w:type="spellStart"/>
      <w:r>
        <w:t>TWh</w:t>
      </w:r>
      <w:proofErr w:type="spellEnd"/>
      <w:r>
        <w:t xml:space="preserve"> (ofwel: een kwart van het jaarlijks gasverbruik van Nederland)</w:t>
      </w:r>
      <w:r>
        <w:rPr>
          <w:rStyle w:val="Voetnootmarkering"/>
        </w:rPr>
        <w:footnoteReference w:id="4"/>
      </w:r>
      <w:r>
        <w:t>. Op grond van de EU-verordening gasleveringszekerheid geldt voor Nederland een vulverplichting van 39% op 1</w:t>
      </w:r>
      <w:r w:rsidR="0023210E">
        <w:t> </w:t>
      </w:r>
      <w:r>
        <w:t xml:space="preserve">februari 2025. Dit komt overeen met 56 </w:t>
      </w:r>
      <w:proofErr w:type="spellStart"/>
      <w:r>
        <w:t>TWh</w:t>
      </w:r>
      <w:proofErr w:type="spellEnd"/>
      <w:r>
        <w:t xml:space="preserve">. </w:t>
      </w:r>
    </w:p>
    <w:p w:rsidR="004A5FB8" w:rsidP="004A5FB8" w:rsidRDefault="004A5FB8" w14:paraId="6CC47EB8" w14:textId="77777777"/>
    <w:p w:rsidR="004A5FB8" w:rsidP="004A5FB8" w:rsidRDefault="004A5FB8" w14:paraId="493E55AD" w14:textId="77777777">
      <w:r>
        <w:t xml:space="preserve">De actuele vulgraad is lager dan in vrijwel alle voorgaande jaren (zie hierna). In combinatie met de geopolitieke onrust, leidt dit tot de vraag of er voldoende gas is om deze winter door te komen. Ondersteund door analyses van </w:t>
      </w:r>
      <w:proofErr w:type="spellStart"/>
      <w:r>
        <w:t>Gasunie</w:t>
      </w:r>
      <w:proofErr w:type="spellEnd"/>
      <w:r>
        <w:t xml:space="preserve"> Transport Services (GTS) verwacht het kabinet dat dit het geval is. Op 9 januari jl. is GTS in een persbericht op haar website ingegaan op de actuele vulgraden en heeft GTS bevestigd dat de leveringszekerheid gewaarborgd blijft deze winter. GTS geeft aan dat “er momenteel geen sprake is van een verminderde leveringszekerheid”. Wel plaatst GTS de kanttekening dat in een strenge winter een situatie met een krap aanbod kan ontstaan met een mogelijk effect op de prijzen op de groothandelsmarkt.</w:t>
      </w:r>
      <w:r>
        <w:rPr>
          <w:rStyle w:val="Voetnootmarkering"/>
        </w:rPr>
        <w:footnoteReference w:id="5"/>
      </w:r>
      <w:r>
        <w:t xml:space="preserve">  </w:t>
      </w:r>
    </w:p>
    <w:p w:rsidR="004A5FB8" w:rsidP="004A5FB8" w:rsidRDefault="004A5FB8" w14:paraId="776998FF" w14:textId="77777777"/>
    <w:p w:rsidR="004A5FB8" w:rsidP="004A5FB8" w:rsidRDefault="004A5FB8" w14:paraId="291F75F5" w14:textId="77777777">
      <w:r>
        <w:t xml:space="preserve">Ook in andere lidstaten, zoals Frankrijk en Denemarken, zien we dat de vulgraad dit jaar lager ligt dan in voorgaande jaren. </w:t>
      </w:r>
    </w:p>
    <w:p w:rsidR="004A5FB8" w:rsidP="004A5FB8" w:rsidRDefault="004A5FB8" w14:paraId="36FD13A4" w14:textId="77777777"/>
    <w:tbl>
      <w:tblPr>
        <w:tblStyle w:val="Tabelraster"/>
        <w:tblW w:w="0" w:type="auto"/>
        <w:tblLook w:val="04A0" w:firstRow="1" w:lastRow="0" w:firstColumn="1" w:lastColumn="0" w:noHBand="0" w:noVBand="1"/>
      </w:tblPr>
      <w:tblGrid>
        <w:gridCol w:w="1566"/>
        <w:gridCol w:w="1206"/>
        <w:gridCol w:w="1206"/>
        <w:gridCol w:w="1206"/>
        <w:gridCol w:w="1206"/>
        <w:gridCol w:w="1129"/>
      </w:tblGrid>
      <w:tr w:rsidR="004A5FB8" w:rsidTr="001B7AF4" w14:paraId="02AC8248" w14:textId="77777777">
        <w:tc>
          <w:tcPr>
            <w:tcW w:w="1689" w:type="dxa"/>
          </w:tcPr>
          <w:p w:rsidRPr="00574081" w:rsidR="004A5FB8" w:rsidP="001B7AF4" w:rsidRDefault="004A5FB8" w14:paraId="25E75A0A" w14:textId="77777777"/>
        </w:tc>
        <w:tc>
          <w:tcPr>
            <w:tcW w:w="1499" w:type="dxa"/>
          </w:tcPr>
          <w:p w:rsidR="004A5FB8" w:rsidP="001B7AF4" w:rsidRDefault="004A5FB8" w14:paraId="3775F4D8" w14:textId="77777777">
            <w:pPr>
              <w:rPr>
                <w:lang w:val="en-US"/>
              </w:rPr>
            </w:pPr>
            <w:r>
              <w:rPr>
                <w:lang w:val="en-US"/>
              </w:rPr>
              <w:t>7-1-2025</w:t>
            </w:r>
          </w:p>
        </w:tc>
        <w:tc>
          <w:tcPr>
            <w:tcW w:w="1499" w:type="dxa"/>
          </w:tcPr>
          <w:p w:rsidR="004A5FB8" w:rsidP="001B7AF4" w:rsidRDefault="004A5FB8" w14:paraId="433ED9AF" w14:textId="77777777">
            <w:pPr>
              <w:rPr>
                <w:lang w:val="en-US"/>
              </w:rPr>
            </w:pPr>
            <w:r>
              <w:rPr>
                <w:lang w:val="en-US"/>
              </w:rPr>
              <w:t>7-1-2024</w:t>
            </w:r>
          </w:p>
        </w:tc>
        <w:tc>
          <w:tcPr>
            <w:tcW w:w="1500" w:type="dxa"/>
          </w:tcPr>
          <w:p w:rsidR="004A5FB8" w:rsidP="001B7AF4" w:rsidRDefault="004A5FB8" w14:paraId="5D31F8E5" w14:textId="77777777">
            <w:pPr>
              <w:rPr>
                <w:lang w:val="en-US"/>
              </w:rPr>
            </w:pPr>
            <w:r>
              <w:rPr>
                <w:lang w:val="en-US"/>
              </w:rPr>
              <w:t>7-1-2023</w:t>
            </w:r>
          </w:p>
        </w:tc>
        <w:tc>
          <w:tcPr>
            <w:tcW w:w="1500" w:type="dxa"/>
          </w:tcPr>
          <w:p w:rsidR="004A5FB8" w:rsidP="001B7AF4" w:rsidRDefault="004A5FB8" w14:paraId="61265FBA" w14:textId="77777777">
            <w:pPr>
              <w:rPr>
                <w:lang w:val="en-US"/>
              </w:rPr>
            </w:pPr>
            <w:r>
              <w:rPr>
                <w:lang w:val="en-US"/>
              </w:rPr>
              <w:t>7-1-2022</w:t>
            </w:r>
          </w:p>
        </w:tc>
        <w:tc>
          <w:tcPr>
            <w:tcW w:w="1375" w:type="dxa"/>
          </w:tcPr>
          <w:p w:rsidR="004A5FB8" w:rsidP="001B7AF4" w:rsidRDefault="004A5FB8" w14:paraId="18334A0D" w14:textId="77777777">
            <w:pPr>
              <w:rPr>
                <w:lang w:val="en-US"/>
              </w:rPr>
            </w:pPr>
            <w:r>
              <w:rPr>
                <w:lang w:val="en-US"/>
              </w:rPr>
              <w:t>7-1-2021</w:t>
            </w:r>
          </w:p>
        </w:tc>
      </w:tr>
      <w:tr w:rsidR="004A5FB8" w:rsidTr="001B7AF4" w14:paraId="5DAB0005" w14:textId="77777777">
        <w:tc>
          <w:tcPr>
            <w:tcW w:w="1689" w:type="dxa"/>
          </w:tcPr>
          <w:p w:rsidR="004A5FB8" w:rsidP="001B7AF4" w:rsidRDefault="004A5FB8" w14:paraId="2F0EC86B" w14:textId="77777777">
            <w:pPr>
              <w:rPr>
                <w:lang w:val="en-US"/>
              </w:rPr>
            </w:pPr>
            <w:r>
              <w:rPr>
                <w:lang w:val="en-US"/>
              </w:rPr>
              <w:t>Nederland</w:t>
            </w:r>
          </w:p>
        </w:tc>
        <w:tc>
          <w:tcPr>
            <w:tcW w:w="1499" w:type="dxa"/>
          </w:tcPr>
          <w:p w:rsidR="004A5FB8" w:rsidP="001B7AF4" w:rsidRDefault="004A5FB8" w14:paraId="652B768E" w14:textId="77777777">
            <w:pPr>
              <w:jc w:val="right"/>
              <w:rPr>
                <w:lang w:val="en-US"/>
              </w:rPr>
            </w:pPr>
            <w:r>
              <w:rPr>
                <w:lang w:val="en-US"/>
              </w:rPr>
              <w:t>52,96</w:t>
            </w:r>
          </w:p>
        </w:tc>
        <w:tc>
          <w:tcPr>
            <w:tcW w:w="1499" w:type="dxa"/>
          </w:tcPr>
          <w:p w:rsidR="004A5FB8" w:rsidP="001B7AF4" w:rsidRDefault="004A5FB8" w14:paraId="4F701394" w14:textId="77777777">
            <w:pPr>
              <w:jc w:val="right"/>
              <w:rPr>
                <w:lang w:val="en-US"/>
              </w:rPr>
            </w:pPr>
            <w:r>
              <w:rPr>
                <w:lang w:val="en-US"/>
              </w:rPr>
              <w:t>79,30</w:t>
            </w:r>
          </w:p>
        </w:tc>
        <w:tc>
          <w:tcPr>
            <w:tcW w:w="1500" w:type="dxa"/>
          </w:tcPr>
          <w:p w:rsidR="004A5FB8" w:rsidP="001B7AF4" w:rsidRDefault="004A5FB8" w14:paraId="19AC077C" w14:textId="77777777">
            <w:pPr>
              <w:jc w:val="right"/>
              <w:rPr>
                <w:lang w:val="en-US"/>
              </w:rPr>
            </w:pPr>
            <w:r>
              <w:rPr>
                <w:lang w:val="en-US"/>
              </w:rPr>
              <w:t>76,75</w:t>
            </w:r>
          </w:p>
        </w:tc>
        <w:tc>
          <w:tcPr>
            <w:tcW w:w="1500" w:type="dxa"/>
          </w:tcPr>
          <w:p w:rsidR="004A5FB8" w:rsidP="001B7AF4" w:rsidRDefault="004A5FB8" w14:paraId="77A7D70B" w14:textId="77777777">
            <w:pPr>
              <w:jc w:val="right"/>
              <w:rPr>
                <w:lang w:val="en-US"/>
              </w:rPr>
            </w:pPr>
            <w:r>
              <w:rPr>
                <w:lang w:val="en-US"/>
              </w:rPr>
              <w:t>35,47</w:t>
            </w:r>
          </w:p>
        </w:tc>
        <w:tc>
          <w:tcPr>
            <w:tcW w:w="1375" w:type="dxa"/>
          </w:tcPr>
          <w:p w:rsidR="004A5FB8" w:rsidP="001B7AF4" w:rsidRDefault="004A5FB8" w14:paraId="7CF1A745" w14:textId="77777777">
            <w:pPr>
              <w:jc w:val="right"/>
              <w:rPr>
                <w:lang w:val="en-US"/>
              </w:rPr>
            </w:pPr>
            <w:r>
              <w:rPr>
                <w:lang w:val="en-US"/>
              </w:rPr>
              <w:t>63,85</w:t>
            </w:r>
          </w:p>
        </w:tc>
      </w:tr>
      <w:tr w:rsidR="004A5FB8" w:rsidTr="001B7AF4" w14:paraId="2D692487" w14:textId="77777777">
        <w:tc>
          <w:tcPr>
            <w:tcW w:w="1689" w:type="dxa"/>
          </w:tcPr>
          <w:p w:rsidR="004A5FB8" w:rsidP="001B7AF4" w:rsidRDefault="004A5FB8" w14:paraId="042CA6B2" w14:textId="77777777">
            <w:pPr>
              <w:rPr>
                <w:lang w:val="en-US"/>
              </w:rPr>
            </w:pPr>
            <w:proofErr w:type="spellStart"/>
            <w:r>
              <w:rPr>
                <w:lang w:val="en-US"/>
              </w:rPr>
              <w:t>België</w:t>
            </w:r>
            <w:proofErr w:type="spellEnd"/>
            <w:r>
              <w:rPr>
                <w:lang w:val="en-US"/>
              </w:rPr>
              <w:t xml:space="preserve"> </w:t>
            </w:r>
          </w:p>
        </w:tc>
        <w:tc>
          <w:tcPr>
            <w:tcW w:w="1499" w:type="dxa"/>
          </w:tcPr>
          <w:p w:rsidR="004A5FB8" w:rsidP="001B7AF4" w:rsidRDefault="004A5FB8" w14:paraId="4003BD33" w14:textId="77777777">
            <w:pPr>
              <w:jc w:val="right"/>
              <w:rPr>
                <w:lang w:val="en-US"/>
              </w:rPr>
            </w:pPr>
            <w:r>
              <w:rPr>
                <w:lang w:val="en-US"/>
              </w:rPr>
              <w:t>67,15</w:t>
            </w:r>
          </w:p>
        </w:tc>
        <w:tc>
          <w:tcPr>
            <w:tcW w:w="1499" w:type="dxa"/>
          </w:tcPr>
          <w:p w:rsidR="004A5FB8" w:rsidP="001B7AF4" w:rsidRDefault="004A5FB8" w14:paraId="6A7E32C1" w14:textId="77777777">
            <w:pPr>
              <w:jc w:val="right"/>
              <w:rPr>
                <w:lang w:val="en-US"/>
              </w:rPr>
            </w:pPr>
            <w:r>
              <w:rPr>
                <w:lang w:val="en-US"/>
              </w:rPr>
              <w:t>81,87</w:t>
            </w:r>
          </w:p>
        </w:tc>
        <w:tc>
          <w:tcPr>
            <w:tcW w:w="1500" w:type="dxa"/>
          </w:tcPr>
          <w:p w:rsidR="004A5FB8" w:rsidP="001B7AF4" w:rsidRDefault="004A5FB8" w14:paraId="066DFF2B" w14:textId="77777777">
            <w:pPr>
              <w:jc w:val="right"/>
              <w:rPr>
                <w:lang w:val="en-US"/>
              </w:rPr>
            </w:pPr>
            <w:r>
              <w:rPr>
                <w:lang w:val="en-US"/>
              </w:rPr>
              <w:t>89,13</w:t>
            </w:r>
          </w:p>
        </w:tc>
        <w:tc>
          <w:tcPr>
            <w:tcW w:w="1500" w:type="dxa"/>
          </w:tcPr>
          <w:p w:rsidR="004A5FB8" w:rsidP="001B7AF4" w:rsidRDefault="004A5FB8" w14:paraId="44E2BB0F" w14:textId="77777777">
            <w:pPr>
              <w:jc w:val="right"/>
              <w:rPr>
                <w:lang w:val="en-US"/>
              </w:rPr>
            </w:pPr>
            <w:r>
              <w:rPr>
                <w:lang w:val="en-US"/>
              </w:rPr>
              <w:t>57,24</w:t>
            </w:r>
          </w:p>
        </w:tc>
        <w:tc>
          <w:tcPr>
            <w:tcW w:w="1375" w:type="dxa"/>
          </w:tcPr>
          <w:p w:rsidR="004A5FB8" w:rsidP="001B7AF4" w:rsidRDefault="004A5FB8" w14:paraId="492F0F42" w14:textId="77777777">
            <w:pPr>
              <w:jc w:val="right"/>
              <w:rPr>
                <w:lang w:val="en-US"/>
              </w:rPr>
            </w:pPr>
            <w:r>
              <w:rPr>
                <w:lang w:val="en-US"/>
              </w:rPr>
              <w:t>68,29</w:t>
            </w:r>
          </w:p>
        </w:tc>
      </w:tr>
      <w:tr w:rsidR="004A5FB8" w:rsidTr="001B7AF4" w14:paraId="1387E299" w14:textId="77777777">
        <w:tc>
          <w:tcPr>
            <w:tcW w:w="1689" w:type="dxa"/>
          </w:tcPr>
          <w:p w:rsidR="004A5FB8" w:rsidP="001B7AF4" w:rsidRDefault="004A5FB8" w14:paraId="35AB28CF" w14:textId="77777777">
            <w:pPr>
              <w:rPr>
                <w:lang w:val="en-US"/>
              </w:rPr>
            </w:pPr>
            <w:proofErr w:type="spellStart"/>
            <w:r>
              <w:rPr>
                <w:lang w:val="en-US"/>
              </w:rPr>
              <w:t>Denemarken</w:t>
            </w:r>
            <w:proofErr w:type="spellEnd"/>
          </w:p>
        </w:tc>
        <w:tc>
          <w:tcPr>
            <w:tcW w:w="1499" w:type="dxa"/>
          </w:tcPr>
          <w:p w:rsidR="004A5FB8" w:rsidP="001B7AF4" w:rsidRDefault="004A5FB8" w14:paraId="024957E8" w14:textId="77777777">
            <w:pPr>
              <w:jc w:val="right"/>
              <w:rPr>
                <w:lang w:val="en-US"/>
              </w:rPr>
            </w:pPr>
            <w:r>
              <w:rPr>
                <w:lang w:val="en-US"/>
              </w:rPr>
              <w:t>58,99</w:t>
            </w:r>
          </w:p>
        </w:tc>
        <w:tc>
          <w:tcPr>
            <w:tcW w:w="1499" w:type="dxa"/>
          </w:tcPr>
          <w:p w:rsidR="004A5FB8" w:rsidP="001B7AF4" w:rsidRDefault="004A5FB8" w14:paraId="52BE166D" w14:textId="77777777">
            <w:pPr>
              <w:jc w:val="right"/>
              <w:rPr>
                <w:lang w:val="en-US"/>
              </w:rPr>
            </w:pPr>
            <w:r>
              <w:rPr>
                <w:lang w:val="en-US"/>
              </w:rPr>
              <w:t>88,16</w:t>
            </w:r>
          </w:p>
        </w:tc>
        <w:tc>
          <w:tcPr>
            <w:tcW w:w="1500" w:type="dxa"/>
          </w:tcPr>
          <w:p w:rsidR="004A5FB8" w:rsidP="001B7AF4" w:rsidRDefault="004A5FB8" w14:paraId="616F47D0" w14:textId="77777777">
            <w:pPr>
              <w:jc w:val="right"/>
              <w:rPr>
                <w:lang w:val="en-US"/>
              </w:rPr>
            </w:pPr>
            <w:r>
              <w:rPr>
                <w:lang w:val="en-US"/>
              </w:rPr>
              <w:t>91,49</w:t>
            </w:r>
          </w:p>
        </w:tc>
        <w:tc>
          <w:tcPr>
            <w:tcW w:w="1500" w:type="dxa"/>
          </w:tcPr>
          <w:p w:rsidR="004A5FB8" w:rsidP="001B7AF4" w:rsidRDefault="004A5FB8" w14:paraId="0522DCD8" w14:textId="77777777">
            <w:pPr>
              <w:jc w:val="right"/>
              <w:rPr>
                <w:lang w:val="en-US"/>
              </w:rPr>
            </w:pPr>
            <w:r>
              <w:rPr>
                <w:lang w:val="en-US"/>
              </w:rPr>
              <w:t>69,77</w:t>
            </w:r>
          </w:p>
        </w:tc>
        <w:tc>
          <w:tcPr>
            <w:tcW w:w="1375" w:type="dxa"/>
          </w:tcPr>
          <w:p w:rsidR="004A5FB8" w:rsidP="001B7AF4" w:rsidRDefault="004A5FB8" w14:paraId="257EFBA0" w14:textId="77777777">
            <w:pPr>
              <w:jc w:val="right"/>
              <w:rPr>
                <w:lang w:val="en-US"/>
              </w:rPr>
            </w:pPr>
            <w:r>
              <w:rPr>
                <w:lang w:val="en-US"/>
              </w:rPr>
              <w:t>84,68</w:t>
            </w:r>
          </w:p>
        </w:tc>
      </w:tr>
      <w:tr w:rsidR="004A5FB8" w:rsidTr="001B7AF4" w14:paraId="3B553FC7" w14:textId="77777777">
        <w:tc>
          <w:tcPr>
            <w:tcW w:w="1689" w:type="dxa"/>
          </w:tcPr>
          <w:p w:rsidR="004A5FB8" w:rsidP="001B7AF4" w:rsidRDefault="004A5FB8" w14:paraId="5F0CC745" w14:textId="77777777">
            <w:pPr>
              <w:rPr>
                <w:lang w:val="en-US"/>
              </w:rPr>
            </w:pPr>
            <w:proofErr w:type="spellStart"/>
            <w:r>
              <w:rPr>
                <w:lang w:val="en-US"/>
              </w:rPr>
              <w:t>Duitsland</w:t>
            </w:r>
            <w:proofErr w:type="spellEnd"/>
          </w:p>
        </w:tc>
        <w:tc>
          <w:tcPr>
            <w:tcW w:w="1499" w:type="dxa"/>
          </w:tcPr>
          <w:p w:rsidR="004A5FB8" w:rsidP="001B7AF4" w:rsidRDefault="004A5FB8" w14:paraId="08458B0B" w14:textId="77777777">
            <w:pPr>
              <w:jc w:val="right"/>
              <w:rPr>
                <w:lang w:val="en-US"/>
              </w:rPr>
            </w:pPr>
            <w:r>
              <w:rPr>
                <w:lang w:val="en-US"/>
              </w:rPr>
              <w:t>76,30</w:t>
            </w:r>
          </w:p>
        </w:tc>
        <w:tc>
          <w:tcPr>
            <w:tcW w:w="1499" w:type="dxa"/>
          </w:tcPr>
          <w:p w:rsidR="004A5FB8" w:rsidP="001B7AF4" w:rsidRDefault="004A5FB8" w14:paraId="6EF3EAD4" w14:textId="77777777">
            <w:pPr>
              <w:jc w:val="right"/>
              <w:rPr>
                <w:lang w:val="en-US"/>
              </w:rPr>
            </w:pPr>
            <w:r>
              <w:rPr>
                <w:lang w:val="en-US"/>
              </w:rPr>
              <w:t>89,70</w:t>
            </w:r>
          </w:p>
        </w:tc>
        <w:tc>
          <w:tcPr>
            <w:tcW w:w="1500" w:type="dxa"/>
          </w:tcPr>
          <w:p w:rsidR="004A5FB8" w:rsidP="001B7AF4" w:rsidRDefault="004A5FB8" w14:paraId="1E84ABF2" w14:textId="77777777">
            <w:pPr>
              <w:jc w:val="right"/>
              <w:rPr>
                <w:lang w:val="en-US"/>
              </w:rPr>
            </w:pPr>
            <w:r>
              <w:rPr>
                <w:lang w:val="en-US"/>
              </w:rPr>
              <w:t>91,06</w:t>
            </w:r>
          </w:p>
        </w:tc>
        <w:tc>
          <w:tcPr>
            <w:tcW w:w="1500" w:type="dxa"/>
          </w:tcPr>
          <w:p w:rsidR="004A5FB8" w:rsidP="001B7AF4" w:rsidRDefault="004A5FB8" w14:paraId="62C5302A" w14:textId="77777777">
            <w:pPr>
              <w:jc w:val="right"/>
              <w:rPr>
                <w:lang w:val="en-US"/>
              </w:rPr>
            </w:pPr>
            <w:r>
              <w:rPr>
                <w:lang w:val="en-US"/>
              </w:rPr>
              <w:t>52,97</w:t>
            </w:r>
          </w:p>
        </w:tc>
        <w:tc>
          <w:tcPr>
            <w:tcW w:w="1375" w:type="dxa"/>
          </w:tcPr>
          <w:p w:rsidR="004A5FB8" w:rsidP="001B7AF4" w:rsidRDefault="004A5FB8" w14:paraId="41D59F83" w14:textId="77777777">
            <w:pPr>
              <w:jc w:val="right"/>
              <w:rPr>
                <w:lang w:val="en-US"/>
              </w:rPr>
            </w:pPr>
            <w:r>
              <w:rPr>
                <w:lang w:val="en-US"/>
              </w:rPr>
              <w:t>68,08</w:t>
            </w:r>
          </w:p>
        </w:tc>
      </w:tr>
      <w:tr w:rsidR="004A5FB8" w:rsidTr="001B7AF4" w14:paraId="1092D0F0" w14:textId="77777777">
        <w:tc>
          <w:tcPr>
            <w:tcW w:w="1689" w:type="dxa"/>
          </w:tcPr>
          <w:p w:rsidR="004A5FB8" w:rsidP="001B7AF4" w:rsidRDefault="004A5FB8" w14:paraId="507C914E" w14:textId="77777777">
            <w:pPr>
              <w:rPr>
                <w:lang w:val="en-US"/>
              </w:rPr>
            </w:pPr>
            <w:proofErr w:type="spellStart"/>
            <w:r>
              <w:rPr>
                <w:lang w:val="en-US"/>
              </w:rPr>
              <w:t>Frankrijk</w:t>
            </w:r>
            <w:proofErr w:type="spellEnd"/>
          </w:p>
        </w:tc>
        <w:tc>
          <w:tcPr>
            <w:tcW w:w="1499" w:type="dxa"/>
          </w:tcPr>
          <w:p w:rsidR="004A5FB8" w:rsidP="001B7AF4" w:rsidRDefault="004A5FB8" w14:paraId="55DF3946" w14:textId="77777777">
            <w:pPr>
              <w:jc w:val="right"/>
              <w:rPr>
                <w:lang w:val="en-US"/>
              </w:rPr>
            </w:pPr>
            <w:r>
              <w:rPr>
                <w:lang w:val="en-US"/>
              </w:rPr>
              <w:t>55,80</w:t>
            </w:r>
          </w:p>
        </w:tc>
        <w:tc>
          <w:tcPr>
            <w:tcW w:w="1499" w:type="dxa"/>
          </w:tcPr>
          <w:p w:rsidR="004A5FB8" w:rsidP="001B7AF4" w:rsidRDefault="004A5FB8" w14:paraId="6FA50765" w14:textId="77777777">
            <w:pPr>
              <w:jc w:val="right"/>
              <w:rPr>
                <w:lang w:val="en-US"/>
              </w:rPr>
            </w:pPr>
            <w:r>
              <w:rPr>
                <w:lang w:val="en-US"/>
              </w:rPr>
              <w:t>79,77</w:t>
            </w:r>
          </w:p>
        </w:tc>
        <w:tc>
          <w:tcPr>
            <w:tcW w:w="1500" w:type="dxa"/>
          </w:tcPr>
          <w:p w:rsidR="004A5FB8" w:rsidP="001B7AF4" w:rsidRDefault="004A5FB8" w14:paraId="2919AD25" w14:textId="77777777">
            <w:pPr>
              <w:jc w:val="right"/>
              <w:rPr>
                <w:lang w:val="en-US"/>
              </w:rPr>
            </w:pPr>
            <w:r>
              <w:rPr>
                <w:lang w:val="en-US"/>
              </w:rPr>
              <w:t>82,77</w:t>
            </w:r>
          </w:p>
        </w:tc>
        <w:tc>
          <w:tcPr>
            <w:tcW w:w="1500" w:type="dxa"/>
          </w:tcPr>
          <w:p w:rsidR="004A5FB8" w:rsidP="001B7AF4" w:rsidRDefault="004A5FB8" w14:paraId="59143D3B" w14:textId="77777777">
            <w:pPr>
              <w:jc w:val="right"/>
              <w:rPr>
                <w:lang w:val="en-US"/>
              </w:rPr>
            </w:pPr>
            <w:r>
              <w:rPr>
                <w:lang w:val="en-US"/>
              </w:rPr>
              <w:t>55,84</w:t>
            </w:r>
          </w:p>
        </w:tc>
        <w:tc>
          <w:tcPr>
            <w:tcW w:w="1375" w:type="dxa"/>
          </w:tcPr>
          <w:p w:rsidR="004A5FB8" w:rsidP="001B7AF4" w:rsidRDefault="004A5FB8" w14:paraId="787DE3A3" w14:textId="77777777">
            <w:pPr>
              <w:jc w:val="right"/>
              <w:rPr>
                <w:lang w:val="en-US"/>
              </w:rPr>
            </w:pPr>
            <w:r>
              <w:rPr>
                <w:lang w:val="en-US"/>
              </w:rPr>
              <w:t>63,71</w:t>
            </w:r>
          </w:p>
        </w:tc>
      </w:tr>
      <w:tr w:rsidR="004A5FB8" w:rsidTr="001B7AF4" w14:paraId="2F64BE12" w14:textId="77777777">
        <w:tc>
          <w:tcPr>
            <w:tcW w:w="1689" w:type="dxa"/>
          </w:tcPr>
          <w:p w:rsidR="004A5FB8" w:rsidP="001B7AF4" w:rsidRDefault="004A5FB8" w14:paraId="6B66503E" w14:textId="77777777">
            <w:pPr>
              <w:rPr>
                <w:lang w:val="en-US"/>
              </w:rPr>
            </w:pPr>
            <w:r>
              <w:rPr>
                <w:lang w:val="en-US"/>
              </w:rPr>
              <w:t>EU</w:t>
            </w:r>
          </w:p>
        </w:tc>
        <w:tc>
          <w:tcPr>
            <w:tcW w:w="1499" w:type="dxa"/>
          </w:tcPr>
          <w:p w:rsidR="004A5FB8" w:rsidP="001B7AF4" w:rsidRDefault="004A5FB8" w14:paraId="4F21382F" w14:textId="77777777">
            <w:pPr>
              <w:jc w:val="right"/>
              <w:rPr>
                <w:lang w:val="en-US"/>
              </w:rPr>
            </w:pPr>
            <w:r>
              <w:rPr>
                <w:lang w:val="en-US"/>
              </w:rPr>
              <w:t>68,83</w:t>
            </w:r>
          </w:p>
        </w:tc>
        <w:tc>
          <w:tcPr>
            <w:tcW w:w="1499" w:type="dxa"/>
          </w:tcPr>
          <w:p w:rsidR="004A5FB8" w:rsidP="001B7AF4" w:rsidRDefault="004A5FB8" w14:paraId="48753F03" w14:textId="77777777">
            <w:pPr>
              <w:jc w:val="right"/>
              <w:rPr>
                <w:lang w:val="en-US"/>
              </w:rPr>
            </w:pPr>
            <w:r>
              <w:rPr>
                <w:lang w:val="en-US"/>
              </w:rPr>
              <w:t>84,14</w:t>
            </w:r>
          </w:p>
        </w:tc>
        <w:tc>
          <w:tcPr>
            <w:tcW w:w="1500" w:type="dxa"/>
          </w:tcPr>
          <w:p w:rsidR="004A5FB8" w:rsidP="001B7AF4" w:rsidRDefault="004A5FB8" w14:paraId="54FF2B0F" w14:textId="77777777">
            <w:pPr>
              <w:jc w:val="right"/>
              <w:rPr>
                <w:lang w:val="en-US"/>
              </w:rPr>
            </w:pPr>
            <w:r>
              <w:rPr>
                <w:lang w:val="en-US"/>
              </w:rPr>
              <w:t>83,15</w:t>
            </w:r>
          </w:p>
        </w:tc>
        <w:tc>
          <w:tcPr>
            <w:tcW w:w="1500" w:type="dxa"/>
          </w:tcPr>
          <w:p w:rsidR="004A5FB8" w:rsidP="001B7AF4" w:rsidRDefault="004A5FB8" w14:paraId="5C23B78A" w14:textId="77777777">
            <w:pPr>
              <w:jc w:val="right"/>
              <w:rPr>
                <w:lang w:val="en-US"/>
              </w:rPr>
            </w:pPr>
            <w:r>
              <w:rPr>
                <w:lang w:val="en-US"/>
              </w:rPr>
              <w:t>52,13</w:t>
            </w:r>
          </w:p>
        </w:tc>
        <w:tc>
          <w:tcPr>
            <w:tcW w:w="1375" w:type="dxa"/>
          </w:tcPr>
          <w:p w:rsidR="004A5FB8" w:rsidP="001B7AF4" w:rsidRDefault="004A5FB8" w14:paraId="614501D9" w14:textId="77777777">
            <w:pPr>
              <w:jc w:val="right"/>
              <w:rPr>
                <w:lang w:val="en-US"/>
              </w:rPr>
            </w:pPr>
            <w:r>
              <w:rPr>
                <w:lang w:val="en-US"/>
              </w:rPr>
              <w:t>69,43</w:t>
            </w:r>
          </w:p>
        </w:tc>
      </w:tr>
    </w:tbl>
    <w:p w:rsidR="004A5FB8" w:rsidP="004A5FB8" w:rsidRDefault="004A5FB8" w14:paraId="46DC8305" w14:textId="77777777"/>
    <w:p w:rsidR="004A5FB8" w:rsidP="004A5FB8" w:rsidRDefault="004A5FB8" w14:paraId="149B1F6D" w14:textId="60AD1454">
      <w:r>
        <w:t>De lagere vulgraad wordt deels veroorzaakt doordat er de afgelopen weken meer gas nodig was om elektriciteit op te wekken, vanwege periodes van zogenaamde ‘</w:t>
      </w:r>
      <w:proofErr w:type="spellStart"/>
      <w:r>
        <w:t>dunkelflaute</w:t>
      </w:r>
      <w:proofErr w:type="spellEnd"/>
      <w:r>
        <w:t>’ (weinig wind en zon) en doordat het eind 2024 kouder was dan</w:t>
      </w:r>
      <w:r w:rsidR="005F12C4">
        <w:t xml:space="preserve"> in</w:t>
      </w:r>
      <w:r>
        <w:t xml:space="preserve"> de </w:t>
      </w:r>
      <w:r w:rsidR="00C3254D">
        <w:t>voorgaande</w:t>
      </w:r>
      <w:r>
        <w:t xml:space="preserve"> jaren. Echter, er is de afgelopen tijd meer gas uit de opslagen geproduceerd dan </w:t>
      </w:r>
      <w:r w:rsidR="005F12C4">
        <w:t xml:space="preserve">enkel </w:t>
      </w:r>
      <w:r>
        <w:t>te verklaren is op basis van temperatuur en weersomstandigheden. Dit wil overigens niet zeggen dat er meer gas verbruikt is dan op basis van temperatuur en weer te verwachten viel: het laat zien dat</w:t>
      </w:r>
      <w:r w:rsidR="00846602">
        <w:t>, om te voorzien in de gasvraag,</w:t>
      </w:r>
      <w:r>
        <w:t xml:space="preserve"> er meer gas uit opslagen in Nederland is gebruikt</w:t>
      </w:r>
      <w:r w:rsidR="00846602">
        <w:t xml:space="preserve"> dan </w:t>
      </w:r>
      <w:r>
        <w:t xml:space="preserve">uit andere bronnen. </w:t>
      </w:r>
    </w:p>
    <w:p w:rsidR="004A5FB8" w:rsidP="004A5FB8" w:rsidRDefault="004A5FB8" w14:paraId="1E114C73" w14:textId="77777777">
      <w:r>
        <w:t xml:space="preserve"> </w:t>
      </w:r>
    </w:p>
    <w:p w:rsidR="004A5FB8" w:rsidP="004A5FB8" w:rsidRDefault="004A5FB8" w14:paraId="18AEA5EE" w14:textId="144C028B">
      <w:r>
        <w:t xml:space="preserve">Hierbij spelen marktontwikkelingen een grote rol. Gasopslagen in de </w:t>
      </w:r>
      <w:r w:rsidR="005F12C4">
        <w:t>Europese Unie (</w:t>
      </w:r>
      <w:r>
        <w:t>EU</w:t>
      </w:r>
      <w:r w:rsidR="005F12C4">
        <w:t>)</w:t>
      </w:r>
      <w:r>
        <w:t xml:space="preserve"> zijn onderdeel van de geliberaliseerde gasmarkt, waarop ook partijen uit derde landen kunnen handelen. Voor marktpartijen die afgelopen zomer gas hebben opgeslagen, is het op dit moment aantrekkelijker om dat in te zetten om te voldoen aan hun leveringsverplichtingen dan om aanvullend gas in te kopen op de groothandelsmarkt</w:t>
      </w:r>
      <w:r w:rsidR="0073562B">
        <w:t>,</w:t>
      </w:r>
      <w:r>
        <w:t xml:space="preserve"> want dan zijn zij duurder uit. </w:t>
      </w:r>
      <w:r w:rsidR="00D24904">
        <w:t>D</w:t>
      </w:r>
      <w:r w:rsidR="0073562B">
        <w:t>it effect van de prijzen op de mate waarin marktpartijen gas in de opslagen houden</w:t>
      </w:r>
      <w:r w:rsidR="005A54E1">
        <w:t>,</w:t>
      </w:r>
      <w:r w:rsidR="0073562B">
        <w:t xml:space="preserve"> speelt ook mee bij het vullen van de gasopslagen komend vulseizoen en wordt hieronder toegelicht. </w:t>
      </w:r>
      <w:r>
        <w:t xml:space="preserve">Ook </w:t>
      </w:r>
      <w:r w:rsidR="00846602">
        <w:t xml:space="preserve">kan gas </w:t>
      </w:r>
      <w:r>
        <w:t>uit de opslagen</w:t>
      </w:r>
      <w:r w:rsidR="00846602">
        <w:t xml:space="preserve"> </w:t>
      </w:r>
      <w:r>
        <w:t xml:space="preserve">worden onttrokken voor zowel nationaal als regionaal gebruik. Het in Nederland opgeslagen gas wordt dus ook gebruikt in de buurlanden en </w:t>
      </w:r>
      <w:proofErr w:type="spellStart"/>
      <w:r>
        <w:t>vice</w:t>
      </w:r>
      <w:proofErr w:type="spellEnd"/>
      <w:r>
        <w:t xml:space="preserve"> versa. We zien daar</w:t>
      </w:r>
      <w:r w:rsidR="005F12C4">
        <w:t>bij</w:t>
      </w:r>
      <w:r>
        <w:t>, ook in afgelopen jaren (zie bovenstaande tabel), dat de Nederlandse gasopslagen net iets intensiever worden gebruikt dan de opslagen in andere landen. Hier speelt mee dat Nederland relatief veel opslagcapaciteit heeft ten opzichte van het gebruik, ook in vergelijking met buurlanden.</w:t>
      </w:r>
      <w:r w:rsidRPr="006349EE">
        <w:rPr>
          <w:rStyle w:val="Voetnootmarkering"/>
        </w:rPr>
        <w:footnoteReference w:id="6"/>
      </w:r>
      <w:r>
        <w:t xml:space="preserve"> </w:t>
      </w:r>
    </w:p>
    <w:p w:rsidR="004A5FB8" w:rsidP="004A5FB8" w:rsidRDefault="004A5FB8" w14:paraId="7F20603E" w14:textId="77777777"/>
    <w:p w:rsidRPr="00023D6A" w:rsidR="004A5FB8" w:rsidP="004A5FB8" w:rsidRDefault="004A5FB8" w14:paraId="181920FD" w14:textId="77777777">
      <w:pPr>
        <w:ind w:firstLine="709"/>
        <w:rPr>
          <w:u w:val="single"/>
        </w:rPr>
      </w:pPr>
      <w:r w:rsidRPr="00023D6A">
        <w:rPr>
          <w:u w:val="single"/>
        </w:rPr>
        <w:t>Vooruitblik op aankomend vulseizoen vanaf 1 april</w:t>
      </w:r>
    </w:p>
    <w:p w:rsidR="004A5FB8" w:rsidP="004A5FB8" w:rsidRDefault="004A5FB8" w14:paraId="17134422" w14:textId="77777777"/>
    <w:p w:rsidR="004A5FB8" w:rsidP="004A5FB8" w:rsidRDefault="004A5FB8" w14:paraId="592984FF" w14:textId="77777777">
      <w:r>
        <w:t xml:space="preserve">Vanaf 1 april begint het vulseizoen waarin marktpartijen de gasopslagen weer kunnen gaan vullen. Een belangrijk aandachtspunt is of het gaat lukken om de gasopslagen in Nederland voldoende te vullen in aanloop naar de winter van 2025/2026, mochten de huidige ontwikkelingen leiden tot een (zeer) lage vulgraad aan het begin van het vulseizoen. </w:t>
      </w:r>
    </w:p>
    <w:p w:rsidR="004A5FB8" w:rsidP="004A5FB8" w:rsidRDefault="004A5FB8" w14:paraId="28E010C4" w14:textId="77777777"/>
    <w:p w:rsidR="004A5FB8" w:rsidP="004A5FB8" w:rsidRDefault="004A5FB8" w14:paraId="36EFF8C9" w14:textId="7B94CFE9">
      <w:r>
        <w:t xml:space="preserve">Een belangrijke prikkel voor marktpartijen om te vullen is de prijs; als de prijs bij het vullen (aankopen) lager is dan de prijs bij de verkoop aankomende winter, is dat gunstig voor de marktpartijen. Een opmerkelijke ontwikkeling met oog hierop is dat op de groothandelsmarkt de prijzen van gas in de toekomst juist lager zijn dan de gasprijzen van vandaag. Ook liggen de prijzen voor gas in het aankomende vulseizoen momenteel juist hoger dan de gasprijzen voor de volgende winter (2025/2026). Dit wordt ook wel een negatieve ‘spread’ genoemd. Dit maakt het voor marktpartijen </w:t>
      </w:r>
      <w:r w:rsidR="005F12C4">
        <w:t xml:space="preserve">verlieslatend </w:t>
      </w:r>
      <w:r>
        <w:t>om gas op te slaan of om gas in de opslag te houden: immers, partijen moeten het gas dan nu aankopen (of laten zitten) bij een hoge prijs, en een hogere prijs dan de prijs waartegen ze het gas volgende winter kunnen verkopen. Bovendien zijn er aan het opslaan van gas ook kosten verbonden.</w:t>
      </w:r>
      <w:r>
        <w:rPr>
          <w:rStyle w:val="Voetnootmarkering"/>
        </w:rPr>
        <w:footnoteReference w:id="7"/>
      </w:r>
      <w:r>
        <w:t xml:space="preserve"> Deze kosten kunnen marktpartijen in de huidige situatie niet afdekken. </w:t>
      </w:r>
    </w:p>
    <w:p w:rsidR="004A5FB8" w:rsidP="004A5FB8" w:rsidRDefault="004A5FB8" w14:paraId="2F27F8BC" w14:textId="77777777"/>
    <w:p w:rsidR="004A5FB8" w:rsidP="004A5FB8" w:rsidRDefault="004A5FB8" w14:paraId="2B7E033D" w14:textId="45FE3D2D">
      <w:r>
        <w:t xml:space="preserve">Er is een aantal </w:t>
      </w:r>
      <w:r w:rsidR="0078435A">
        <w:t xml:space="preserve">mogelijke </w:t>
      </w:r>
      <w:r>
        <w:t>verklaringen voor de negatieve spread. Ten eerste is</w:t>
      </w:r>
      <w:r w:rsidR="005F12C4">
        <w:t xml:space="preserve"> het</w:t>
      </w:r>
      <w:r>
        <w:t xml:space="preserve"> de verwachting dat het aanbod van LNG vanaf begin 2026 toeneemt. Waarschijnlijk anticiperen marktpartijen hierop en verwachten ze dat de gasprijzen te zijner tijd daarom zullen dalen. Met het toegenomen aanbod van LNG zijn er voor marktpartijen nieuwe manieren om ook in</w:t>
      </w:r>
      <w:r w:rsidR="00846602">
        <w:t xml:space="preserve"> </w:t>
      </w:r>
      <w:r w:rsidR="007F72A8">
        <w:t xml:space="preserve">de </w:t>
      </w:r>
      <w:r w:rsidR="00846602">
        <w:t>komende</w:t>
      </w:r>
      <w:r>
        <w:t xml:space="preserve"> winter voldoende gas te kunnen aankopen en te voorzien in de wintervraag van afnemers. </w:t>
      </w:r>
    </w:p>
    <w:p w:rsidR="004A5FB8" w:rsidP="004A5FB8" w:rsidRDefault="004A5FB8" w14:paraId="1C4F04D1" w14:textId="77777777"/>
    <w:p w:rsidR="004A5FB8" w:rsidP="004A5FB8" w:rsidRDefault="004A5FB8" w14:paraId="1E788E9C" w14:textId="1F9288E6">
      <w:r>
        <w:t xml:space="preserve">Een andere verklaring ligt </w:t>
      </w:r>
      <w:r w:rsidR="005F12C4">
        <w:t xml:space="preserve">mogelijk </w:t>
      </w:r>
      <w:r>
        <w:t>in de hoge vulambities- en verplichtingen die onder andere volgen uit de EU-verordening</w:t>
      </w:r>
      <w:r w:rsidR="005F12C4">
        <w:t xml:space="preserve"> gasleveringszekerheid</w:t>
      </w:r>
      <w:r>
        <w:t xml:space="preserve">. Normaal gesproken is de gasvraag in de winter hoger dan de gasvraag in de zomer, waardoor de gasprijs in de winter ook hoger is dan de gasprijs in de zomer. Door het aanvullende EU-beleid komt er steeds meer nadruk op het vullen van gasopslagen in de zomer, waardoor er extra vraag in de zomer wordt gecreëerd. Dit heeft in de zomer een prijsopdrijvend effect. </w:t>
      </w:r>
      <w:r w:rsidR="00ED70ED">
        <w:t xml:space="preserve">Dit effect bespreken we in EU-verband, ook met het oog op een mogelijke verlenging van de huidige tijdelijke gasopslagverplichtingen in de EU-verordening gasleveringszekerheid. </w:t>
      </w:r>
    </w:p>
    <w:p w:rsidR="004A5FB8" w:rsidP="004A5FB8" w:rsidRDefault="004A5FB8" w14:paraId="1203B17E" w14:textId="77777777"/>
    <w:p w:rsidRPr="00023D6A" w:rsidR="004A5FB8" w:rsidP="004A5FB8" w:rsidRDefault="004A5FB8" w14:paraId="32BCF8CE" w14:textId="77777777">
      <w:pPr>
        <w:rPr>
          <w:u w:val="single"/>
        </w:rPr>
      </w:pPr>
      <w:r>
        <w:tab/>
      </w:r>
      <w:r w:rsidRPr="00023D6A">
        <w:rPr>
          <w:u w:val="single"/>
        </w:rPr>
        <w:t>Geopolitieke ontwikkelingen</w:t>
      </w:r>
    </w:p>
    <w:p w:rsidR="004A5FB8" w:rsidP="004A5FB8" w:rsidRDefault="004A5FB8" w14:paraId="16A1BBFF" w14:textId="77777777"/>
    <w:p w:rsidR="004A5FB8" w:rsidP="004A5FB8" w:rsidRDefault="004A5FB8" w14:paraId="55B5F236" w14:textId="0B12F90B">
      <w:r>
        <w:t>Het kabinet volgt de geopolitieke ontwikkelingen op de voet. Hierover is</w:t>
      </w:r>
      <w:r w:rsidR="00846602">
        <w:t xml:space="preserve"> </w:t>
      </w:r>
      <w:r>
        <w:t xml:space="preserve">frequent overleg met de Europese Commissie en andere lidstaten vanwege (onder meer) de impact op de gastoevoer naar de EU. </w:t>
      </w:r>
    </w:p>
    <w:p w:rsidR="004A5FB8" w:rsidP="004A5FB8" w:rsidRDefault="004A5FB8" w14:paraId="4019F3E2" w14:textId="77777777"/>
    <w:p w:rsidR="004A5FB8" w:rsidP="004A5FB8" w:rsidRDefault="004A5FB8" w14:paraId="3EADFF04" w14:textId="7614E9E4">
      <w:r>
        <w:t>Op dit moment is de belangrijkste ontwikkeling dat per 1 januari 2025 de transit van Russisch gas door Oekraïne is beëindigd omdat de in 2019 gesloten transitovereenkomst op dat moment afliep. Dit leidde tot de vraag of de</w:t>
      </w:r>
      <w:r w:rsidR="005F12C4">
        <w:t xml:space="preserve"> EU</w:t>
      </w:r>
      <w:r>
        <w:t xml:space="preserve"> het wegvallen van deze bron van toevoer kan missen. </w:t>
      </w:r>
      <w:r w:rsidRPr="001033FB">
        <w:rPr>
          <w:rFonts w:eastAsia="SimSun"/>
          <w:szCs w:val="18"/>
        </w:rPr>
        <w:t xml:space="preserve">Volgens analyses van zowel </w:t>
      </w:r>
      <w:r>
        <w:rPr>
          <w:rFonts w:eastAsia="SimSun"/>
          <w:szCs w:val="18"/>
        </w:rPr>
        <w:t>het Europese netwerk van transmissiesysteembeheerders voor gas (</w:t>
      </w:r>
      <w:r w:rsidRPr="001033FB">
        <w:rPr>
          <w:rFonts w:eastAsia="SimSun"/>
          <w:szCs w:val="18"/>
        </w:rPr>
        <w:t>ENTSOG</w:t>
      </w:r>
      <w:r>
        <w:rPr>
          <w:rFonts w:eastAsia="SimSun"/>
          <w:szCs w:val="18"/>
        </w:rPr>
        <w:t>)</w:t>
      </w:r>
      <w:r w:rsidRPr="001033FB">
        <w:rPr>
          <w:rFonts w:eastAsia="SimSun"/>
          <w:szCs w:val="18"/>
        </w:rPr>
        <w:t xml:space="preserve"> als het </w:t>
      </w:r>
      <w:r>
        <w:rPr>
          <w:rFonts w:eastAsia="SimSun"/>
          <w:szCs w:val="18"/>
        </w:rPr>
        <w:t>Internationaal Energieagentschap (IEA)</w:t>
      </w:r>
      <w:r w:rsidRPr="001033FB">
        <w:rPr>
          <w:rFonts w:eastAsia="SimSun"/>
          <w:szCs w:val="18"/>
        </w:rPr>
        <w:t xml:space="preserve"> </w:t>
      </w:r>
      <w:r>
        <w:rPr>
          <w:rFonts w:eastAsia="SimSun"/>
          <w:szCs w:val="18"/>
        </w:rPr>
        <w:t xml:space="preserve">leidt </w:t>
      </w:r>
      <w:r w:rsidRPr="001033FB">
        <w:rPr>
          <w:rFonts w:eastAsia="SimSun"/>
          <w:szCs w:val="18"/>
        </w:rPr>
        <w:t>het wegvallen van de</w:t>
      </w:r>
      <w:r>
        <w:rPr>
          <w:rFonts w:eastAsia="SimSun"/>
          <w:szCs w:val="18"/>
        </w:rPr>
        <w:t>ze</w:t>
      </w:r>
      <w:r w:rsidRPr="001033FB">
        <w:rPr>
          <w:rFonts w:eastAsia="SimSun"/>
          <w:szCs w:val="18"/>
        </w:rPr>
        <w:t xml:space="preserve"> transit gedurende deze winter niet tot problemen in de EU. </w:t>
      </w:r>
      <w:r>
        <w:rPr>
          <w:rFonts w:eastAsia="SimSun"/>
          <w:szCs w:val="18"/>
        </w:rPr>
        <w:t>Ook de Europese C</w:t>
      </w:r>
      <w:r>
        <w:t>ommissie verwacht geen tekorten als gevolg hiervan</w:t>
      </w:r>
      <w:r>
        <w:rPr>
          <w:rStyle w:val="Voetnootmarkering"/>
        </w:rPr>
        <w:footnoteReference w:id="8"/>
      </w:r>
      <w:r>
        <w:t>.</w:t>
      </w:r>
    </w:p>
    <w:p w:rsidR="004A5FB8" w:rsidP="004A5FB8" w:rsidRDefault="004A5FB8" w14:paraId="341D1518" w14:textId="77777777"/>
    <w:p w:rsidR="004A5FB8" w:rsidP="004A5FB8" w:rsidRDefault="004A5FB8" w14:paraId="5ABF0EFC" w14:textId="6500FC73">
      <w:r>
        <w:t>Met het einde van de transit</w:t>
      </w:r>
      <w:r w:rsidR="005F12C4">
        <w:t xml:space="preserve"> door Oekraïne</w:t>
      </w:r>
      <w:r>
        <w:t xml:space="preserve"> is de toevoer van Russisch gas naar de EU gedaald </w:t>
      </w:r>
      <w:r w:rsidR="00846602">
        <w:t xml:space="preserve">met </w:t>
      </w:r>
      <w:r>
        <w:t>ca. 5% van de jaarlijkse EU-gasvraag.</w:t>
      </w:r>
      <w:r>
        <w:rPr>
          <w:rStyle w:val="Voetnootmarkering"/>
        </w:rPr>
        <w:footnoteReference w:id="9"/>
      </w:r>
      <w:r>
        <w:t xml:space="preserve"> Deze ontwikkeling werd verwacht, veel marktpartijen hielden hier al rekening mee.</w:t>
      </w:r>
      <w:r>
        <w:rPr>
          <w:rStyle w:val="Voetnootmarkering"/>
        </w:rPr>
        <w:footnoteReference w:id="10"/>
      </w:r>
      <w:r>
        <w:t xml:space="preserve"> Niettemin heeft </w:t>
      </w:r>
      <w:r w:rsidR="00290E5E">
        <w:t xml:space="preserve">het </w:t>
      </w:r>
      <w:r>
        <w:t xml:space="preserve">einde van de transit rond de jaarwisseling een (tijdelijk) effect gehad op de gasprijzen op de groothandelsmarkt (zie hierna). Inmiddels zijn deze weer gedaald nu duidelijk is dat het wegvallen van deze toevoer </w:t>
      </w:r>
      <w:r w:rsidR="005F12C4">
        <w:t xml:space="preserve">inderdaad </w:t>
      </w:r>
      <w:r>
        <w:t>kon worden opgevangen.</w:t>
      </w:r>
    </w:p>
    <w:p w:rsidR="004A5FB8" w:rsidP="004A5FB8" w:rsidRDefault="004A5FB8" w14:paraId="6EAECE82" w14:textId="77777777"/>
    <w:p w:rsidRPr="00023D6A" w:rsidR="004A5FB8" w:rsidP="004A5FB8" w:rsidRDefault="004A5FB8" w14:paraId="43353FD2" w14:textId="77777777">
      <w:pPr>
        <w:ind w:firstLine="709"/>
        <w:rPr>
          <w:u w:val="single"/>
        </w:rPr>
      </w:pPr>
      <w:r>
        <w:rPr>
          <w:u w:val="single"/>
        </w:rPr>
        <w:t>Ontwikkeling van g</w:t>
      </w:r>
      <w:r w:rsidRPr="00023D6A">
        <w:rPr>
          <w:u w:val="single"/>
        </w:rPr>
        <w:t>asprijzen op de groothandelsmarkt</w:t>
      </w:r>
    </w:p>
    <w:p w:rsidR="004A5FB8" w:rsidP="004A5FB8" w:rsidRDefault="004A5FB8" w14:paraId="6CDE3906" w14:textId="77777777"/>
    <w:p w:rsidR="004A5FB8" w:rsidP="004A5FB8" w:rsidRDefault="004A5FB8" w14:paraId="243E7DF0" w14:textId="77777777">
      <w:pPr>
        <w:rPr>
          <w:rFonts w:eastAsia="Aptos" w:cs="Aptos"/>
          <w:szCs w:val="18"/>
        </w:rPr>
      </w:pPr>
      <w:r>
        <w:rPr>
          <w:rFonts w:eastAsia="Aptos" w:cs="Aptos"/>
          <w:szCs w:val="18"/>
        </w:rPr>
        <w:t xml:space="preserve">De gasprijs, en met name de schommeling van de gasprijzen op de groothandelsmarkt, krijgt begrijpelijk ook de nodige aandacht. Analyses laten zien dat de (lange termijn) gasprijs op de groothandelsmarkt betrekkelijk stabiel is, maar sterke (korte termijn) reacties laat zien bij onzekerheden over de gasleveringen en –transport. </w:t>
      </w:r>
      <w:r w:rsidRPr="001033FB">
        <w:rPr>
          <w:rFonts w:eastAsia="Aptos" w:cs="Aptos"/>
          <w:szCs w:val="18"/>
        </w:rPr>
        <w:t xml:space="preserve">De </w:t>
      </w:r>
      <w:r w:rsidRPr="003D02D3">
        <w:rPr>
          <w:rFonts w:eastAsia="Aptos" w:cs="Aptos"/>
          <w:szCs w:val="18"/>
        </w:rPr>
        <w:t>gasprijs</w:t>
      </w:r>
      <w:r w:rsidRPr="001033FB">
        <w:rPr>
          <w:rFonts w:eastAsia="Aptos" w:cs="Aptos"/>
          <w:szCs w:val="18"/>
        </w:rPr>
        <w:t xml:space="preserve"> op</w:t>
      </w:r>
      <w:r>
        <w:rPr>
          <w:rFonts w:eastAsia="Aptos" w:cs="Aptos"/>
          <w:szCs w:val="18"/>
        </w:rPr>
        <w:t xml:space="preserve"> de </w:t>
      </w:r>
      <w:proofErr w:type="spellStart"/>
      <w:r>
        <w:rPr>
          <w:rFonts w:eastAsia="Aptos" w:cs="Aptos"/>
          <w:szCs w:val="18"/>
        </w:rPr>
        <w:t>Title</w:t>
      </w:r>
      <w:proofErr w:type="spellEnd"/>
      <w:r>
        <w:rPr>
          <w:rFonts w:eastAsia="Aptos" w:cs="Aptos"/>
          <w:szCs w:val="18"/>
        </w:rPr>
        <w:t xml:space="preserve"> Transfer Facility (</w:t>
      </w:r>
      <w:r w:rsidRPr="001033FB">
        <w:rPr>
          <w:rFonts w:eastAsia="Aptos" w:cs="Aptos"/>
          <w:szCs w:val="18"/>
        </w:rPr>
        <w:t>TTF</w:t>
      </w:r>
      <w:r>
        <w:rPr>
          <w:rFonts w:eastAsia="Aptos" w:cs="Aptos"/>
          <w:szCs w:val="18"/>
        </w:rPr>
        <w:t>)</w:t>
      </w:r>
      <w:r w:rsidRPr="001033FB">
        <w:rPr>
          <w:rFonts w:eastAsia="Aptos" w:cs="Aptos"/>
          <w:szCs w:val="18"/>
        </w:rPr>
        <w:t xml:space="preserve"> stond op </w:t>
      </w:r>
      <w:r>
        <w:rPr>
          <w:rFonts w:eastAsia="Aptos" w:cs="Aptos"/>
          <w:szCs w:val="18"/>
        </w:rPr>
        <w:t>9</w:t>
      </w:r>
      <w:r w:rsidRPr="001033FB">
        <w:rPr>
          <w:rFonts w:eastAsia="Aptos" w:cs="Aptos"/>
          <w:szCs w:val="18"/>
        </w:rPr>
        <w:t xml:space="preserve"> januari op </w:t>
      </w:r>
      <w:bookmarkStart w:name="_Hlk187310562" w:id="0"/>
      <w:r w:rsidRPr="001033FB">
        <w:rPr>
          <w:rFonts w:eastAsia="Aptos" w:cs="Aptos"/>
          <w:szCs w:val="18"/>
        </w:rPr>
        <w:t>€</w:t>
      </w:r>
      <w:bookmarkEnd w:id="0"/>
      <w:r w:rsidRPr="001033FB">
        <w:rPr>
          <w:rFonts w:eastAsia="Aptos" w:cs="Aptos"/>
          <w:szCs w:val="18"/>
        </w:rPr>
        <w:t xml:space="preserve"> </w:t>
      </w:r>
      <w:r>
        <w:rPr>
          <w:rFonts w:eastAsia="Aptos" w:cs="Aptos"/>
          <w:szCs w:val="18"/>
        </w:rPr>
        <w:t>44,905</w:t>
      </w:r>
      <w:r w:rsidRPr="001033FB">
        <w:rPr>
          <w:rFonts w:eastAsia="Aptos" w:cs="Aptos"/>
          <w:szCs w:val="18"/>
        </w:rPr>
        <w:t>/MWh.</w:t>
      </w:r>
      <w:r>
        <w:rPr>
          <w:rFonts w:eastAsia="Aptos" w:cs="Aptos"/>
          <w:szCs w:val="18"/>
        </w:rPr>
        <w:t xml:space="preserve"> Dit is alweer lager dan de gasprijs rond de jaarwisseling met het wegvallen van de transit via Oekraïne (toen lag de prijs rond de </w:t>
      </w:r>
      <w:r w:rsidRPr="001033FB">
        <w:rPr>
          <w:rFonts w:eastAsia="Aptos" w:cs="Aptos"/>
          <w:szCs w:val="18"/>
        </w:rPr>
        <w:t xml:space="preserve">€ </w:t>
      </w:r>
      <w:r>
        <w:rPr>
          <w:rFonts w:eastAsia="Aptos" w:cs="Aptos"/>
          <w:szCs w:val="18"/>
        </w:rPr>
        <w:t xml:space="preserve">50/MWh). Op de langere termijn laten de gasprijzen op de groothandelsmarkt een dalend verloop zien </w:t>
      </w:r>
      <w:r w:rsidRPr="001033FB">
        <w:rPr>
          <w:rFonts w:eastAsia="Aptos" w:cs="Aptos"/>
          <w:szCs w:val="18"/>
        </w:rPr>
        <w:t>(zomer 2025: € 4</w:t>
      </w:r>
      <w:r>
        <w:rPr>
          <w:rFonts w:eastAsia="Aptos" w:cs="Aptos"/>
          <w:szCs w:val="18"/>
        </w:rPr>
        <w:t>4,90</w:t>
      </w:r>
      <w:r w:rsidRPr="001033FB">
        <w:rPr>
          <w:rFonts w:eastAsia="Aptos" w:cs="Aptos"/>
          <w:szCs w:val="18"/>
        </w:rPr>
        <w:t>/MWh; winter 2025/26: € 4</w:t>
      </w:r>
      <w:r>
        <w:rPr>
          <w:rFonts w:eastAsia="Aptos" w:cs="Aptos"/>
          <w:szCs w:val="18"/>
        </w:rPr>
        <w:t>2,80</w:t>
      </w:r>
      <w:r w:rsidRPr="001033FB">
        <w:rPr>
          <w:rFonts w:eastAsia="Aptos" w:cs="Aptos"/>
          <w:szCs w:val="18"/>
        </w:rPr>
        <w:t xml:space="preserve">/MWh). </w:t>
      </w:r>
    </w:p>
    <w:p w:rsidR="004A5FB8" w:rsidP="004A5FB8" w:rsidRDefault="004A5FB8" w14:paraId="0C722340" w14:textId="77777777">
      <w:pPr>
        <w:rPr>
          <w:rFonts w:eastAsia="Aptos" w:cs="Aptos"/>
          <w:szCs w:val="18"/>
        </w:rPr>
      </w:pPr>
    </w:p>
    <w:p w:rsidRPr="001127DA" w:rsidR="001127DA" w:rsidP="001127DA" w:rsidRDefault="004A5FB8" w14:paraId="0E111357" w14:textId="0A03672F">
      <w:r w:rsidRPr="00290AC8">
        <w:t xml:space="preserve">Het gaat hier </w:t>
      </w:r>
      <w:r w:rsidR="00846602">
        <w:t>zo</w:t>
      </w:r>
      <w:r w:rsidRPr="00290AC8">
        <w:t xml:space="preserve">als gezegd om prijzen op de groothandelsmarkten. Voor huishoudens geldt over het algemeen dat prijsontwikkelingen pas na langere termijn gevolgen hebben voor de energierekening. Wanneer </w:t>
      </w:r>
      <w:r>
        <w:t xml:space="preserve">een effect optreedt, </w:t>
      </w:r>
      <w:r w:rsidRPr="00290AC8">
        <w:t xml:space="preserve">is afhankelijk van het type contract dat </w:t>
      </w:r>
      <w:r>
        <w:t>een huishouden heeft</w:t>
      </w:r>
      <w:r w:rsidRPr="00290AC8">
        <w:t>: meer dan de helft van de huishoudens heeft een vast contract met een vaste prijs voor een jaar of langer. Deze groep merkt pas iets van een hogere of lagere gasprijs op de groothandelsmarkt als zij een nieuw contract afsluit</w:t>
      </w:r>
      <w:r>
        <w:rPr>
          <w:rStyle w:val="Voetnootmarkering"/>
          <w:rFonts w:eastAsia="Aptos" w:cs="Aptos"/>
          <w:szCs w:val="18"/>
        </w:rPr>
        <w:footnoteReference w:id="11"/>
      </w:r>
      <w:r w:rsidRPr="00290AC8">
        <w:t xml:space="preserve">. </w:t>
      </w:r>
      <w:r w:rsidR="00846602">
        <w:t xml:space="preserve">Een </w:t>
      </w:r>
      <w:r>
        <w:t>belangrijk verschil met de situatie in 202</w:t>
      </w:r>
      <w:r w:rsidRPr="0078435A">
        <w:t>2</w:t>
      </w:r>
      <w:r w:rsidRPr="0078435A" w:rsidR="00846602">
        <w:t xml:space="preserve"> </w:t>
      </w:r>
      <w:r w:rsidRPr="002572A7" w:rsidR="001127DA">
        <w:t>en 2023 is dat er nu een ruim aanbod aan vaste contracten is, terwijl dat toen gedurende een lange periode niet het geval was. Hierdoor had</w:t>
      </w:r>
      <w:r w:rsidRPr="0078435A">
        <w:t xml:space="preserve"> </w:t>
      </w:r>
      <w:r w:rsidRPr="0078435A" w:rsidR="001127DA">
        <w:t xml:space="preserve">toen </w:t>
      </w:r>
      <w:r w:rsidRPr="0078435A">
        <w:t>een veel kleiner deel van de huishoudens een vast contract</w:t>
      </w:r>
      <w:r w:rsidRPr="0078435A" w:rsidR="001127DA">
        <w:t xml:space="preserve">, </w:t>
      </w:r>
      <w:r w:rsidRPr="002572A7" w:rsidR="001127DA">
        <w:t>met als laagste niveau 30% van de huishoudens (maart 2023)</w:t>
      </w:r>
      <w:r w:rsidRPr="0078435A" w:rsidR="001127DA">
        <w:t xml:space="preserve">. </w:t>
      </w:r>
    </w:p>
    <w:p w:rsidR="004A5FB8" w:rsidP="004A5FB8" w:rsidRDefault="004A5FB8" w14:paraId="6AF6889B" w14:textId="77777777"/>
    <w:p w:rsidRPr="00B819B2" w:rsidR="004A5FB8" w:rsidP="004A5FB8" w:rsidRDefault="004A5FB8" w14:paraId="0EE39819" w14:textId="77777777">
      <w:r w:rsidRPr="00290AC8">
        <w:t>Hoewel de tarieven voor nieuwe contracten voor huishoudens in november en december met 1-3% gestegen zijn ten opzichte van de maanden ervoor, lig</w:t>
      </w:r>
      <w:r>
        <w:t>t het prijsniveau in</w:t>
      </w:r>
      <w:r w:rsidRPr="00290AC8">
        <w:t xml:space="preserve"> de aangeboden contracten in januari 2025 nog altijd ruim onder het niveau van het prijsplafond</w:t>
      </w:r>
      <w:r>
        <w:t xml:space="preserve"> dat in 2023 gold</w:t>
      </w:r>
      <w:r w:rsidRPr="00290AC8">
        <w:t>. Een klein deel (ongeveer van 5%) van de huishoudelijke afnemers heeft bewust gekozen voor een dynamisch contract voor de levering van gas: deze groep krijgt een hogere (en in de toekomst ook een lagere) prijs meteen doorberekend.</w:t>
      </w:r>
    </w:p>
    <w:p w:rsidR="004A5FB8" w:rsidP="004A5FB8" w:rsidRDefault="004A5FB8" w14:paraId="4C4EBF3D" w14:textId="77777777">
      <w:pPr>
        <w:rPr>
          <w:u w:val="single"/>
        </w:rPr>
      </w:pPr>
    </w:p>
    <w:p w:rsidRPr="00023D6A" w:rsidR="004A5FB8" w:rsidP="004A5FB8" w:rsidRDefault="004A5FB8" w14:paraId="040B5DEE" w14:textId="77777777">
      <w:pPr>
        <w:pStyle w:val="Lijstalinea"/>
        <w:numPr>
          <w:ilvl w:val="0"/>
          <w:numId w:val="22"/>
        </w:numPr>
        <w:rPr>
          <w:b/>
          <w:bCs/>
        </w:rPr>
      </w:pPr>
      <w:r w:rsidRPr="00023D6A">
        <w:rPr>
          <w:b/>
          <w:bCs/>
        </w:rPr>
        <w:t xml:space="preserve">Wat doet het kabinet? </w:t>
      </w:r>
    </w:p>
    <w:p w:rsidR="004A5FB8" w:rsidP="004A5FB8" w:rsidRDefault="004A5FB8" w14:paraId="431F33F9" w14:textId="77777777"/>
    <w:p w:rsidR="004A5FB8" w:rsidP="004A5FB8" w:rsidRDefault="004A5FB8" w14:paraId="1F19C05C" w14:textId="20A64CEE">
      <w:r>
        <w:t>Het kabinet blijft waakzaam. Het kabinet ziet dat de situatie op de gasmarkt sinds de energiecrisis van 2022 sterk verbeterd is, maar dat er nog steeds krapte op de gasmarkt is en dat er gelijktijdig sprake is van de nodige geopolitieke onrust. Het kabinet heeft daarom afgelopen zomer besloten om het huidige crisisniveau van vroegtijdige waarschuwing in ieder geval nog gedurende deze winter te handhaven</w:t>
      </w:r>
      <w:r>
        <w:rPr>
          <w:rStyle w:val="Voetnootmarkering"/>
        </w:rPr>
        <w:footnoteReference w:id="12"/>
      </w:r>
      <w:r>
        <w:t>. Dit betekent dat er extra informatie tussen relevant</w:t>
      </w:r>
      <w:r w:rsidR="00846602">
        <w:t>e</w:t>
      </w:r>
      <w:r>
        <w:t xml:space="preserve"> betrokkenen wordt uitgewisseld. Zo volgt het kabinet de situatie op de gasmarkt nauwgezet in samenwerking met GTS. </w:t>
      </w:r>
    </w:p>
    <w:p w:rsidR="004A5FB8" w:rsidP="004A5FB8" w:rsidRDefault="004A5FB8" w14:paraId="39F5484A" w14:textId="77777777"/>
    <w:p w:rsidR="004A5FB8" w:rsidP="004A5FB8" w:rsidRDefault="004A5FB8" w14:paraId="11E30192" w14:textId="3FD8E774">
      <w:r>
        <w:t xml:space="preserve">Gas speelt nog steeds ook een belangrijke rol voor zowel de huishoudens als de industrie in Nederland, en bij zowel de warmtevoorziening als bij de productie van elektriciteit. Daarmee is Nederland, net als veel andere Europese landen, wat betreft energie zeer afhankelijk van de import van gas en daarmee gevoelig voor geopolitieke risico’s en prijsschommelingen op de internationale gasmarkt. Om de afhankelijkheid zoveel mogelijk te verkleinen, blijft het belangrijk om waar mogelijk energie, en gas in het bijzonder, te besparen en om vol te blijven inzetten op de energietransitie. </w:t>
      </w:r>
      <w:r w:rsidRPr="0019553A">
        <w:t xml:space="preserve">Ook </w:t>
      </w:r>
      <w:r>
        <w:t xml:space="preserve">betekent </w:t>
      </w:r>
      <w:r w:rsidRPr="0019553A">
        <w:t xml:space="preserve">dit dat Nederland alle bronnen van gas, zowel gaswinning in Nederland, als toevoer van gas via LNG-import en via pijpleidingen en </w:t>
      </w:r>
      <w:proofErr w:type="spellStart"/>
      <w:r w:rsidRPr="0019553A">
        <w:t>interconnecties</w:t>
      </w:r>
      <w:proofErr w:type="spellEnd"/>
      <w:r w:rsidRPr="0019553A">
        <w:t>, nodig heeft. Zo diversifiëren we het aanbod zoveel mogelijk</w:t>
      </w:r>
      <w:r>
        <w:t xml:space="preserve"> en</w:t>
      </w:r>
      <w:r w:rsidR="00846602">
        <w:t xml:space="preserve"> houden </w:t>
      </w:r>
      <w:r>
        <w:t>we het Nederlandse gassysteem zo robuust en weerbaar mogelijk.</w:t>
      </w:r>
    </w:p>
    <w:p w:rsidR="004A5FB8" w:rsidP="004A5FB8" w:rsidRDefault="004A5FB8" w14:paraId="4CC00AD7" w14:textId="77777777"/>
    <w:p w:rsidR="004A5FB8" w:rsidP="004A5FB8" w:rsidRDefault="004A5FB8" w14:paraId="7E6CBAE9" w14:textId="51C0A33B">
      <w:r>
        <w:t>Wat betreft gasopslag: GTS heeft in haar overzicht gasleveringszekerheid van 30</w:t>
      </w:r>
      <w:r w:rsidR="0023210E">
        <w:t> </w:t>
      </w:r>
      <w:r>
        <w:t xml:space="preserve">september 2024 aangegeven dat er voorafgaand aan de winter 2025/26 110 </w:t>
      </w:r>
      <w:proofErr w:type="spellStart"/>
      <w:r>
        <w:t>TWh</w:t>
      </w:r>
      <w:proofErr w:type="spellEnd"/>
      <w:r>
        <w:t xml:space="preserve"> in de seizoensopslagen in Nederland moet zijn opgeslagen, wat neerkomt op een vulgraad van 80%.</w:t>
      </w:r>
      <w:r>
        <w:rPr>
          <w:rStyle w:val="Voetnootmarkering"/>
        </w:rPr>
        <w:footnoteReference w:id="13"/>
      </w:r>
      <w:r>
        <w:t xml:space="preserve"> De ambitie van het kabinet sluit aan bij de analyse van GTS. Hierover heeft het kabinet de Kamer geïnformeerd in de update gasleveringszekerheid van 30 september 2024</w:t>
      </w:r>
      <w:r>
        <w:rPr>
          <w:rStyle w:val="Voetnootmarkering"/>
        </w:rPr>
        <w:footnoteReference w:id="14"/>
      </w:r>
      <w:r>
        <w:t>. De ambitie houdt rekening met de dalende vraag naar gas in zowel Nederland als buurlanden en met de gasinfrastructuur in Nederland, op een wijze die borgt dat in de gasvraag in de winter kan worden voorzien. Het kabinet komt dit kwartaal met een brief om deze vulambitie nader toe te lichten</w:t>
      </w:r>
      <w:r w:rsidR="004159B1">
        <w:t xml:space="preserve">, zoals toegezegd aan het lid Bontenbal tijdens het Commissiedebat Mijnbouw op 2 oktober 2024 </w:t>
      </w:r>
      <w:r>
        <w:rPr>
          <w:rStyle w:val="Voetnootmarkering"/>
        </w:rPr>
        <w:footnoteReference w:id="15"/>
      </w:r>
      <w:r w:rsidR="004159B1">
        <w:t>,</w:t>
      </w:r>
      <w:r w:rsidR="00290E5E">
        <w:t xml:space="preserve"> en zal daarbij ook ervaringen van deze winter betrekken</w:t>
      </w:r>
      <w:r>
        <w:t>.</w:t>
      </w:r>
    </w:p>
    <w:p w:rsidR="004A5FB8" w:rsidP="004A5FB8" w:rsidRDefault="004A5FB8" w14:paraId="2C4B708F" w14:textId="77777777"/>
    <w:p w:rsidR="004A5FB8" w:rsidP="004A5FB8" w:rsidRDefault="004A5FB8" w14:paraId="6529F7C9" w14:textId="77777777">
      <w:r>
        <w:t xml:space="preserve">Het opslaan van gas is in eerste instantie iets wat marktpartijen doen om aan hun wettelijke en contractuele leveringsverplichtingen te kunnen voldoen, om daarbij horende financiële risico’s af te dekken en om te profiteren van de zogenaamde spread. Het kabinet ziet het ook als de taak van marktpartijen om voldoende gas op te slaan: zij kunnen dit het meest efficiënt en hebben de benodigde kennis en kunde. </w:t>
      </w:r>
    </w:p>
    <w:p w:rsidR="004A5FB8" w:rsidP="004A5FB8" w:rsidRDefault="004A5FB8" w14:paraId="1613D20F" w14:textId="77777777"/>
    <w:p w:rsidR="004A5FB8" w:rsidP="004A5FB8" w:rsidRDefault="004A5FB8" w14:paraId="116E3C7B" w14:textId="77777777">
      <w:r>
        <w:t xml:space="preserve">Aanvullend heeft het kabinet Energie Beheer Nederland (EBN) de taak gegeven om in 2025 (net als in 2022, 2023 en 2024) tot 20 </w:t>
      </w:r>
      <w:proofErr w:type="spellStart"/>
      <w:r>
        <w:t>TWh</w:t>
      </w:r>
      <w:proofErr w:type="spellEnd"/>
      <w:r>
        <w:t xml:space="preserve"> aan gas op te slaan, voor het geval marktpartijen dat onvoldoende doen. Hierover heeft het kabinet de Kamer geïnformeerd in de update gasleveringszekerheid Q3</w:t>
      </w:r>
      <w:r>
        <w:rPr>
          <w:rStyle w:val="Voetnootmarkering"/>
        </w:rPr>
        <w:footnoteReference w:id="16"/>
      </w:r>
      <w:r>
        <w:t xml:space="preserve">. Dit doet EBN onder andere door gas in de opslagen te houden (doorrollen). De </w:t>
      </w:r>
      <w:proofErr w:type="spellStart"/>
      <w:r>
        <w:t>vultaak</w:t>
      </w:r>
      <w:proofErr w:type="spellEnd"/>
      <w:r>
        <w:t xml:space="preserve"> van EBN is bewust beperkt tot 20 </w:t>
      </w:r>
      <w:proofErr w:type="spellStart"/>
      <w:r>
        <w:t>TWh</w:t>
      </w:r>
      <w:proofErr w:type="spellEnd"/>
      <w:r>
        <w:t xml:space="preserve"> om te voorkomen dat EBN een te voorspelbare speler op de markt wordt. Ook is de inzet van EBN als vulagent niet gratis: de kosten die EBN maakt, komen – als deze niet gedekt kunnen worden door een verkoopprijs die hoger ligt dan de aankoopprijs van gas – terecht bij gasverbruikers via een heffing. Volgens de Europese Commissie is het in strijd met de spelregels van de EU-gasmarkt om dergelijke kosten ook aan buitenlandse afnemers door te belasten. Dit terwijl het gas dat door EBN wordt opgeslagen ook bij gasverbruikers in buurlanden terecht kan komen.</w:t>
      </w:r>
    </w:p>
    <w:p w:rsidR="004A5FB8" w:rsidP="004A5FB8" w:rsidRDefault="004A5FB8" w14:paraId="4D12E28C" w14:textId="77777777"/>
    <w:p w:rsidR="004A5FB8" w:rsidP="004A5FB8" w:rsidRDefault="004A5FB8" w14:paraId="6889E09C" w14:textId="77777777">
      <w:r>
        <w:t xml:space="preserve">Hoewel gasopslagen belangrijk zijn, zeker sinds het beëindigen van de gaswinning uit het Groningenveld en het wegvallen van de toevoer van Russisch gas, is het belangrijk om naar het bredere plaatje te kijken van een robuust werkende gasmarkt en gassysteem. Daarom zet het kabinet zich ervoor in om de gaswinning in Nederland, de LNG-importcapaciteit, de gastoevoer via pijpleidingen en </w:t>
      </w:r>
      <w:proofErr w:type="spellStart"/>
      <w:r>
        <w:t>interconnecties</w:t>
      </w:r>
      <w:proofErr w:type="spellEnd"/>
      <w:r>
        <w:t xml:space="preserve"> op zijn minst op peil te houden. En het blijft belangrijk om waar mogelijk energie te besparen. </w:t>
      </w:r>
    </w:p>
    <w:p w:rsidR="004A5FB8" w:rsidP="004A5FB8" w:rsidRDefault="004A5FB8" w14:paraId="0C7AB304" w14:textId="77777777"/>
    <w:p w:rsidR="004A5FB8" w:rsidP="004A5FB8" w:rsidRDefault="004A5FB8" w14:paraId="5A325AF9" w14:textId="77777777">
      <w:r>
        <w:t xml:space="preserve">Concluderend: het kabinet houdt de marktontwikkelingen, en met name de prijsontwikkeling richting de winter 2025/26 nauwgezet in de gaten. </w:t>
      </w:r>
      <w:r w:rsidRPr="00E064BF">
        <w:rPr>
          <w:bCs/>
        </w:rPr>
        <w:t>Het kabinet stuurt in dat kader dit kwartaal nog een Kamerbrief met nadere onderbouwing van de vulambitie van het kabinet voor de winter 2025/26.</w:t>
      </w:r>
      <w:r w:rsidRPr="00023D6A">
        <w:rPr>
          <w:b/>
          <w:bCs/>
        </w:rPr>
        <w:t xml:space="preserve"> </w:t>
      </w:r>
      <w:r>
        <w:t>Ook voorziet het kabinet de Kamer periodiek van een update over gasleveringszekerheid om een zo compleet mogelijk beeld te schetsen van de situatie op de gasmarkt.</w:t>
      </w:r>
      <w:r w:rsidRPr="00C82BF1">
        <w:rPr>
          <w:rStyle w:val="Voetnootmarkering"/>
        </w:rPr>
        <w:t xml:space="preserve"> </w:t>
      </w:r>
      <w:r>
        <w:rPr>
          <w:rStyle w:val="Voetnootmarkering"/>
        </w:rPr>
        <w:footnoteReference w:id="17"/>
      </w:r>
      <w:r>
        <w:t xml:space="preserve"> Gegeven de huidige ontwikkelingen, zal het kabinet de Kamer begin februari weer een update sturen. </w:t>
      </w:r>
    </w:p>
    <w:p w:rsidR="004A5FB8" w:rsidP="004A5FB8" w:rsidRDefault="004A5FB8" w14:paraId="58D8D6FA" w14:textId="77777777"/>
    <w:p w:rsidR="004A5FB8" w:rsidP="004A5FB8" w:rsidRDefault="004A5FB8" w14:paraId="11BC0A77" w14:textId="77777777">
      <w:pPr>
        <w:rPr>
          <w:rFonts w:eastAsia="Verdana" w:cs="Verdana"/>
          <w:color w:val="000000" w:themeColor="text1"/>
          <w:szCs w:val="18"/>
        </w:rPr>
      </w:pPr>
    </w:p>
    <w:p w:rsidR="004A5FB8" w:rsidP="004A5FB8" w:rsidRDefault="004A5FB8" w14:paraId="75EA424E" w14:textId="77777777"/>
    <w:p w:rsidR="0023210E" w:rsidP="004A5FB8" w:rsidRDefault="0023210E" w14:paraId="3FA8BC5E" w14:textId="77777777"/>
    <w:p w:rsidR="004A5FB8" w:rsidP="004A5FB8" w:rsidRDefault="004A5FB8" w14:paraId="36FEAAB0" w14:textId="77777777"/>
    <w:p w:rsidRPr="00230238" w:rsidR="004A5FB8" w:rsidP="004A5FB8" w:rsidRDefault="004A5FB8" w14:paraId="62E7019E" w14:textId="77777777">
      <w:pPr>
        <w:rPr>
          <w:szCs w:val="18"/>
        </w:rPr>
      </w:pPr>
      <w:r w:rsidRPr="005461DA">
        <w:rPr>
          <w:szCs w:val="18"/>
        </w:rPr>
        <w:t>Sophie Hermans</w:t>
      </w:r>
    </w:p>
    <w:p w:rsidR="004A5FB8" w:rsidP="004A5FB8" w:rsidRDefault="004A5FB8" w14:paraId="5AFF6A97" w14:textId="4812A630">
      <w:pPr>
        <w:rPr>
          <w:szCs w:val="18"/>
        </w:rPr>
      </w:pPr>
      <w:r>
        <w:rPr>
          <w:szCs w:val="18"/>
        </w:rPr>
        <w:t>Minister van Klimaat en Groene Groei</w:t>
      </w:r>
    </w:p>
    <w:sectPr w:rsidR="004A5FB8" w:rsidSect="00D604B3">
      <w:headerReference w:type="default"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46687" w14:textId="77777777" w:rsidR="00CF342A" w:rsidRDefault="00CF342A">
      <w:r>
        <w:separator/>
      </w:r>
    </w:p>
    <w:p w14:paraId="410E29C7" w14:textId="77777777" w:rsidR="00CF342A" w:rsidRDefault="00CF342A"/>
  </w:endnote>
  <w:endnote w:type="continuationSeparator" w:id="0">
    <w:p w14:paraId="6B9AD842" w14:textId="77777777" w:rsidR="00CF342A" w:rsidRDefault="00CF342A">
      <w:r>
        <w:continuationSeparator/>
      </w:r>
    </w:p>
    <w:p w14:paraId="2E674CAC" w14:textId="77777777" w:rsidR="00CF342A" w:rsidRDefault="00CF342A"/>
  </w:endnote>
  <w:endnote w:type="continuationNotice" w:id="1">
    <w:p w14:paraId="156C43A0" w14:textId="77777777" w:rsidR="00CF342A" w:rsidRDefault="00CF34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3CDFC" w14:textId="7DE12DBE"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B62404" w14:paraId="72CEDC87" w14:textId="77777777" w:rsidTr="006D1737">
      <w:trPr>
        <w:trHeight w:hRule="exact" w:val="240"/>
      </w:trPr>
      <w:tc>
        <w:tcPr>
          <w:tcW w:w="7601" w:type="dxa"/>
          <w:shd w:val="clear" w:color="auto" w:fill="auto"/>
        </w:tcPr>
        <w:p w14:paraId="1631F053" w14:textId="77777777" w:rsidR="006D1737" w:rsidRDefault="006D1737" w:rsidP="006D1737">
          <w:pPr>
            <w:pStyle w:val="Huisstijl-Rubricering"/>
          </w:pPr>
        </w:p>
      </w:tc>
      <w:tc>
        <w:tcPr>
          <w:tcW w:w="2156" w:type="dxa"/>
        </w:tcPr>
        <w:p w14:paraId="14DD6756" w14:textId="023BCB0B" w:rsidR="006D1737" w:rsidRPr="00645414" w:rsidRDefault="00F03484"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SECTIONPAGES   \* MERGEFORMAT">
            <w:r w:rsidR="00935552">
              <w:t>7</w:t>
            </w:r>
          </w:fldSimple>
          <w:r w:rsidRPr="00ED539E">
            <w:rPr>
              <w:rStyle w:val="Huisstijl-GegevenCharChar"/>
            </w:rPr>
            <w:t xml:space="preserve"> </w:t>
          </w:r>
          <w:r w:rsidRPr="00ED539E">
            <w:t xml:space="preserve"> </w:t>
          </w:r>
        </w:p>
      </w:tc>
      <w:tc>
        <w:tcPr>
          <w:tcW w:w="2156" w:type="dxa"/>
        </w:tcPr>
        <w:p w14:paraId="0CD21727" w14:textId="77777777" w:rsidR="006D1737" w:rsidRPr="00645414" w:rsidRDefault="00F03484" w:rsidP="006D1737">
          <w:pPr>
            <w:pStyle w:val="Huisstijl-Paginanummering"/>
          </w:pPr>
          <w:r w:rsidRPr="00645414">
            <w:t xml:space="preserve"> </w:t>
          </w:r>
        </w:p>
      </w:tc>
    </w:tr>
  </w:tbl>
  <w:p w14:paraId="04EF0B1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62404" w14:paraId="5FE52E86" w14:textId="77777777" w:rsidTr="00CA6A25">
      <w:trPr>
        <w:trHeight w:hRule="exact" w:val="240"/>
      </w:trPr>
      <w:tc>
        <w:tcPr>
          <w:tcW w:w="7601" w:type="dxa"/>
          <w:shd w:val="clear" w:color="auto" w:fill="auto"/>
        </w:tcPr>
        <w:p w14:paraId="38A028C8" w14:textId="7E3CCF14" w:rsidR="00527BD4" w:rsidRDefault="00527BD4" w:rsidP="008C356D">
          <w:pPr>
            <w:pStyle w:val="Huisstijl-Rubricering"/>
          </w:pPr>
        </w:p>
      </w:tc>
      <w:tc>
        <w:tcPr>
          <w:tcW w:w="2170" w:type="dxa"/>
        </w:tcPr>
        <w:p w14:paraId="734958EB" w14:textId="59442A89" w:rsidR="00527BD4" w:rsidRPr="00ED539E" w:rsidRDefault="00F03484"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SECTIONPAGES   \* MERGEFORMAT">
            <w:r w:rsidR="00935552">
              <w:t>7</w:t>
            </w:r>
          </w:fldSimple>
        </w:p>
      </w:tc>
    </w:tr>
  </w:tbl>
  <w:p w14:paraId="7636ADF5" w14:textId="77777777" w:rsidR="00527BD4" w:rsidRPr="00BC3B53" w:rsidRDefault="00527BD4" w:rsidP="008C356D">
    <w:pPr>
      <w:pStyle w:val="Voettekst"/>
      <w:spacing w:line="240" w:lineRule="auto"/>
      <w:rPr>
        <w:sz w:val="2"/>
        <w:szCs w:val="2"/>
      </w:rPr>
    </w:pPr>
  </w:p>
  <w:p w14:paraId="2ABC83B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EAE7B" w14:textId="77777777" w:rsidR="00CF342A" w:rsidRDefault="00CF342A">
      <w:r>
        <w:separator/>
      </w:r>
    </w:p>
    <w:p w14:paraId="63989393" w14:textId="77777777" w:rsidR="00CF342A" w:rsidRDefault="00CF342A"/>
  </w:footnote>
  <w:footnote w:type="continuationSeparator" w:id="0">
    <w:p w14:paraId="2D3D0D5D" w14:textId="77777777" w:rsidR="00CF342A" w:rsidRDefault="00CF342A">
      <w:r>
        <w:continuationSeparator/>
      </w:r>
    </w:p>
    <w:p w14:paraId="1A366D59" w14:textId="77777777" w:rsidR="00CF342A" w:rsidRDefault="00CF342A"/>
  </w:footnote>
  <w:footnote w:type="continuationNotice" w:id="1">
    <w:p w14:paraId="6853C38C" w14:textId="77777777" w:rsidR="00CF342A" w:rsidRDefault="00CF342A">
      <w:pPr>
        <w:spacing w:line="240" w:lineRule="auto"/>
      </w:pPr>
    </w:p>
  </w:footnote>
  <w:footnote w:id="2">
    <w:p w14:paraId="63A8DABA" w14:textId="77777777" w:rsidR="004A5FB8" w:rsidRPr="00903E95" w:rsidRDefault="004A5FB8" w:rsidP="0023210E">
      <w:pPr>
        <w:pStyle w:val="Voetnoottekst"/>
        <w:spacing w:line="130" w:lineRule="atLeast"/>
        <w:rPr>
          <w:szCs w:val="13"/>
        </w:rPr>
      </w:pPr>
      <w:r w:rsidRPr="00903E95">
        <w:rPr>
          <w:rStyle w:val="Voetnootmarkering"/>
          <w:szCs w:val="13"/>
        </w:rPr>
        <w:footnoteRef/>
      </w:r>
      <w:r w:rsidRPr="00903E95">
        <w:rPr>
          <w:szCs w:val="13"/>
        </w:rPr>
        <w:t xml:space="preserve"> Visie gasleveringszekerheid, Kamerstukken II 2022/23, 29023, 442.</w:t>
      </w:r>
    </w:p>
  </w:footnote>
  <w:footnote w:id="3">
    <w:p w14:paraId="5FDBEDBB" w14:textId="77777777" w:rsidR="004A5FB8" w:rsidRPr="00903E95" w:rsidRDefault="004A5FB8" w:rsidP="0023210E">
      <w:pPr>
        <w:pStyle w:val="Voetnoottekst"/>
        <w:spacing w:line="130" w:lineRule="atLeast"/>
        <w:rPr>
          <w:szCs w:val="13"/>
        </w:rPr>
      </w:pPr>
      <w:r w:rsidRPr="00903E95">
        <w:rPr>
          <w:rStyle w:val="Voetnootmarkering"/>
          <w:szCs w:val="13"/>
        </w:rPr>
        <w:footnoteRef/>
      </w:r>
      <w:r w:rsidRPr="00903E95">
        <w:rPr>
          <w:szCs w:val="13"/>
        </w:rPr>
        <w:t xml:space="preserve"> Bijlage bij Uitvoeringsverordening (EU) 2024/2995 van de Commissie van 29 november 2024 tot vaststelling van het vultraject met tussentijdse streefdoelen voor 2025 voor elke lidstaat met ondergrondse gasopslaginstallaties op zijn grondgebied die een rechtstreekse </w:t>
      </w:r>
      <w:proofErr w:type="spellStart"/>
      <w:r w:rsidRPr="00903E95">
        <w:rPr>
          <w:szCs w:val="13"/>
        </w:rPr>
        <w:t>interconnectie</w:t>
      </w:r>
      <w:proofErr w:type="spellEnd"/>
      <w:r w:rsidRPr="00903E95">
        <w:rPr>
          <w:szCs w:val="13"/>
        </w:rPr>
        <w:t xml:space="preserve"> met zijn afzetgebied hebben. Hierbij moet worden opgemerkt dat de in deze verordening opgenomen percentages voor de vulverplichting en tussentijdse vuldoelen van Nederland op grond van artikel 6 bis, derde lid, van Verordening (EU) 2017/1938 moeten worden gecorrigeerd voor de export naar het Verenigd Koninkrijk in de gasjaren 2017/17 t/m 2020/21. </w:t>
      </w:r>
    </w:p>
  </w:footnote>
  <w:footnote w:id="4">
    <w:p w14:paraId="133C08CF" w14:textId="77777777" w:rsidR="004A5FB8" w:rsidRPr="00903E95" w:rsidRDefault="004A5FB8" w:rsidP="0023210E">
      <w:pPr>
        <w:pStyle w:val="Voetnoottekst"/>
        <w:spacing w:line="130" w:lineRule="atLeast"/>
        <w:rPr>
          <w:szCs w:val="13"/>
        </w:rPr>
      </w:pPr>
      <w:r w:rsidRPr="00903E95">
        <w:rPr>
          <w:rStyle w:val="Voetnootmarkering"/>
          <w:szCs w:val="13"/>
        </w:rPr>
        <w:footnoteRef/>
      </w:r>
      <w:r w:rsidRPr="00903E95">
        <w:rPr>
          <w:szCs w:val="13"/>
        </w:rPr>
        <w:t xml:space="preserve"> Agsi.gie.eu</w:t>
      </w:r>
    </w:p>
  </w:footnote>
  <w:footnote w:id="5">
    <w:p w14:paraId="012AB9EE" w14:textId="77777777" w:rsidR="004A5FB8" w:rsidRPr="00903E95" w:rsidRDefault="004A5FB8" w:rsidP="0023210E">
      <w:pPr>
        <w:pStyle w:val="Voetnoottekst"/>
        <w:spacing w:line="130" w:lineRule="atLeast"/>
        <w:rPr>
          <w:szCs w:val="13"/>
        </w:rPr>
      </w:pPr>
      <w:r w:rsidRPr="00903E95">
        <w:rPr>
          <w:rStyle w:val="Voetnootmarkering"/>
          <w:szCs w:val="13"/>
        </w:rPr>
        <w:footnoteRef/>
      </w:r>
      <w:r w:rsidRPr="00903E95">
        <w:rPr>
          <w:szCs w:val="13"/>
        </w:rPr>
        <w:t xml:space="preserve"> https://www.gasunietransportservices.nl/nieuws/lage-vulgraad-nederlandse-gasbergingen-leidt-niet-direct-tot-gevaar-voor-leveringszekerheid</w:t>
      </w:r>
    </w:p>
  </w:footnote>
  <w:footnote w:id="6">
    <w:p w14:paraId="5F2B92EF" w14:textId="491A2A5D" w:rsidR="004A5FB8" w:rsidRPr="00903E95" w:rsidRDefault="004A5FB8" w:rsidP="0023210E">
      <w:pPr>
        <w:pStyle w:val="Voetnoottekst"/>
        <w:spacing w:line="130" w:lineRule="atLeast"/>
        <w:rPr>
          <w:szCs w:val="13"/>
        </w:rPr>
      </w:pPr>
      <w:r w:rsidRPr="00903E95">
        <w:rPr>
          <w:rStyle w:val="Voetnootmarkering"/>
          <w:szCs w:val="13"/>
        </w:rPr>
        <w:footnoteRef/>
      </w:r>
      <w:r w:rsidRPr="00903E95">
        <w:rPr>
          <w:szCs w:val="13"/>
        </w:rPr>
        <w:t xml:space="preserve"> Zie de antwoorden van 10 december 2024 op Kamervragen van het lid </w:t>
      </w:r>
      <w:proofErr w:type="spellStart"/>
      <w:r w:rsidRPr="00903E95">
        <w:rPr>
          <w:szCs w:val="13"/>
        </w:rPr>
        <w:t>Roode</w:t>
      </w:r>
      <w:r w:rsidR="00C3254D" w:rsidRPr="00903E95">
        <w:rPr>
          <w:szCs w:val="13"/>
        </w:rPr>
        <w:t>r</w:t>
      </w:r>
      <w:r w:rsidRPr="00903E95">
        <w:rPr>
          <w:szCs w:val="13"/>
        </w:rPr>
        <w:t>kerk</w:t>
      </w:r>
      <w:proofErr w:type="spellEnd"/>
      <w:r w:rsidRPr="00903E95">
        <w:rPr>
          <w:szCs w:val="13"/>
        </w:rPr>
        <w:t xml:space="preserve"> (D66), Aanhangsel Handelingen II, nr. 781.</w:t>
      </w:r>
    </w:p>
  </w:footnote>
  <w:footnote w:id="7">
    <w:p w14:paraId="25B0D2DD" w14:textId="77777777" w:rsidR="004A5FB8" w:rsidRPr="00903E95" w:rsidRDefault="004A5FB8" w:rsidP="0023210E">
      <w:pPr>
        <w:pStyle w:val="Voetnoottekst"/>
        <w:spacing w:line="130" w:lineRule="atLeast"/>
        <w:rPr>
          <w:szCs w:val="13"/>
        </w:rPr>
      </w:pPr>
      <w:r w:rsidRPr="00903E95">
        <w:rPr>
          <w:rStyle w:val="Voetnootmarkering"/>
          <w:szCs w:val="13"/>
        </w:rPr>
        <w:footnoteRef/>
      </w:r>
      <w:r w:rsidRPr="00903E95">
        <w:rPr>
          <w:szCs w:val="13"/>
        </w:rPr>
        <w:t xml:space="preserve"> Dit betreft kosten voor het opslaan zelf, voor het transport naar en van de opslagen en kosten voor de financiering van de aankoop van het gas. </w:t>
      </w:r>
    </w:p>
  </w:footnote>
  <w:footnote w:id="8">
    <w:p w14:paraId="0B9626C7" w14:textId="77777777" w:rsidR="004A5FB8" w:rsidRPr="00903E95" w:rsidRDefault="004A5FB8" w:rsidP="0023210E">
      <w:pPr>
        <w:pStyle w:val="Voetnoottekst"/>
        <w:spacing w:line="130" w:lineRule="atLeast"/>
        <w:rPr>
          <w:szCs w:val="13"/>
        </w:rPr>
      </w:pPr>
      <w:r w:rsidRPr="00903E95">
        <w:rPr>
          <w:rStyle w:val="Voetnootmarkering"/>
          <w:szCs w:val="13"/>
        </w:rPr>
        <w:footnoteRef/>
      </w:r>
      <w:r w:rsidRPr="00903E95">
        <w:rPr>
          <w:szCs w:val="13"/>
        </w:rPr>
        <w:t xml:space="preserve"> https://energy.ec.europa.eu/news/commission-and-member-states-confirm-no-gas-supply-concerns-new-year-2025-01-02_en</w:t>
      </w:r>
    </w:p>
  </w:footnote>
  <w:footnote w:id="9">
    <w:p w14:paraId="1A5A6681" w14:textId="77777777" w:rsidR="004A5FB8" w:rsidRPr="00903E95" w:rsidRDefault="004A5FB8" w:rsidP="0023210E">
      <w:pPr>
        <w:pStyle w:val="Voetnoottekst"/>
        <w:spacing w:line="130" w:lineRule="atLeast"/>
        <w:rPr>
          <w:szCs w:val="13"/>
        </w:rPr>
      </w:pPr>
      <w:r w:rsidRPr="00903E95">
        <w:rPr>
          <w:rStyle w:val="Voetnootmarkering"/>
          <w:szCs w:val="13"/>
        </w:rPr>
        <w:footnoteRef/>
      </w:r>
      <w:r w:rsidRPr="00903E95">
        <w:rPr>
          <w:szCs w:val="13"/>
        </w:rPr>
        <w:t xml:space="preserve"> Het gas dat via deze transitroute naar de EU kwam was overigens de afgelopen jaren al flink gedaald (van ca. 780 </w:t>
      </w:r>
      <w:proofErr w:type="spellStart"/>
      <w:r w:rsidRPr="00903E95">
        <w:rPr>
          <w:szCs w:val="13"/>
        </w:rPr>
        <w:t>TWh</w:t>
      </w:r>
      <w:proofErr w:type="spellEnd"/>
      <w:r w:rsidRPr="00903E95">
        <w:rPr>
          <w:szCs w:val="13"/>
        </w:rPr>
        <w:t xml:space="preserve"> in 2019 naar ca. 146 </w:t>
      </w:r>
      <w:proofErr w:type="spellStart"/>
      <w:r w:rsidRPr="00903E95">
        <w:rPr>
          <w:szCs w:val="13"/>
        </w:rPr>
        <w:t>TWh</w:t>
      </w:r>
      <w:proofErr w:type="spellEnd"/>
      <w:r w:rsidRPr="00903E95">
        <w:rPr>
          <w:szCs w:val="13"/>
        </w:rPr>
        <w:t xml:space="preserve"> in 2024).</w:t>
      </w:r>
    </w:p>
  </w:footnote>
  <w:footnote w:id="10">
    <w:p w14:paraId="191B1DE9" w14:textId="77777777" w:rsidR="004A5FB8" w:rsidRPr="00903E95" w:rsidRDefault="004A5FB8" w:rsidP="0023210E">
      <w:pPr>
        <w:pStyle w:val="Voetnoottekst"/>
        <w:spacing w:line="130" w:lineRule="atLeast"/>
        <w:rPr>
          <w:szCs w:val="13"/>
        </w:rPr>
      </w:pPr>
      <w:r w:rsidRPr="00903E95">
        <w:rPr>
          <w:rStyle w:val="Voetnootmarkering"/>
          <w:szCs w:val="13"/>
        </w:rPr>
        <w:footnoteRef/>
      </w:r>
      <w:r w:rsidRPr="00903E95">
        <w:rPr>
          <w:szCs w:val="13"/>
        </w:rPr>
        <w:t xml:space="preserve"> Kamerstukken II 2024/25, 29023, nr. 519.</w:t>
      </w:r>
    </w:p>
  </w:footnote>
  <w:footnote w:id="11">
    <w:p w14:paraId="40572C37" w14:textId="76173AB1" w:rsidR="004A5FB8" w:rsidRPr="00903E95" w:rsidRDefault="004A5FB8" w:rsidP="0023210E">
      <w:pPr>
        <w:pStyle w:val="Voetnoottekst"/>
        <w:spacing w:line="130" w:lineRule="atLeast"/>
        <w:rPr>
          <w:szCs w:val="13"/>
        </w:rPr>
      </w:pPr>
      <w:r w:rsidRPr="00903E95">
        <w:rPr>
          <w:rStyle w:val="Voetnootmarkering"/>
          <w:szCs w:val="13"/>
        </w:rPr>
        <w:footnoteRef/>
      </w:r>
      <w:r w:rsidRPr="00903E95">
        <w:rPr>
          <w:szCs w:val="13"/>
        </w:rPr>
        <w:t xml:space="preserve"> </w:t>
      </w:r>
      <w:r w:rsidRPr="00903E95">
        <w:rPr>
          <w:rFonts w:cs="Calibri"/>
          <w:szCs w:val="13"/>
        </w:rPr>
        <w:t xml:space="preserve">Het meest recente cijfer </w:t>
      </w:r>
      <w:r w:rsidR="0078435A" w:rsidRPr="00903E95">
        <w:rPr>
          <w:rFonts w:cs="Calibri"/>
          <w:szCs w:val="13"/>
        </w:rPr>
        <w:t xml:space="preserve">(november 2024) </w:t>
      </w:r>
      <w:r w:rsidRPr="00903E95">
        <w:rPr>
          <w:rFonts w:cs="Calibri"/>
          <w:szCs w:val="13"/>
        </w:rPr>
        <w:t xml:space="preserve">voor het percentage afnemers met vaste contracten voor gas is 54% (Bron: </w:t>
      </w:r>
      <w:r w:rsidRPr="00903E95">
        <w:rPr>
          <w:szCs w:val="13"/>
        </w:rPr>
        <w:t>(</w:t>
      </w:r>
      <w:proofErr w:type="spellStart"/>
      <w:r w:rsidRPr="00903E95">
        <w:rPr>
          <w:szCs w:val="13"/>
        </w:rPr>
        <w:fldChar w:fldCharType="begin"/>
      </w:r>
      <w:r w:rsidRPr="00903E95">
        <w:rPr>
          <w:szCs w:val="13"/>
        </w:rPr>
        <w:instrText>HYPERLINK "https://eur01.safelinks.protection.outlook.com/?url=https%3A%2F%2Fpublic.tableau.com%2Fviews%2FMonitorConsumentenmarktEnergie%2FAantalcontractenpercontracttype%3F%253Alanguage%3Den-US%26publish-yes%26%253Asid%3D%26%253Adisplay_count%3Dviz_share_link%26publish%3Dyes%26%253AshowVizHome%3Dno%231&amp;data=05%7C02%7Cw.r.j.l.vanthof%40minezk.nl%7C31dc09bbac96460e1a4b08dd3084399a%7C1321633ef6b944e2a44f59b9d264ecb7%7C0%7C0%7C638720066633796813%7CUnknown%7CTWFpbGZsb3d8eyJFbXB0eU1hcGkiOnRydWUsIlYiOiIwLjAuMDAwMCIsIlAiOiJXaW4zMiIsIkFOIjoiTWFpbCIsIldUIjoyfQ%3D%3D%7C0%7C%7C%7C&amp;sdata=mjngUVqvv1uY0mMPm8g5WT9Lirg2IkOU3EgpWZaMq%2Fc%3D&amp;reserved=0"</w:instrText>
      </w:r>
      <w:r w:rsidRPr="00903E95">
        <w:rPr>
          <w:szCs w:val="13"/>
        </w:rPr>
      </w:r>
      <w:r w:rsidRPr="00903E95">
        <w:rPr>
          <w:szCs w:val="13"/>
        </w:rPr>
        <w:fldChar w:fldCharType="separate"/>
      </w:r>
      <w:r w:rsidRPr="00903E95">
        <w:rPr>
          <w:color w:val="467886"/>
          <w:szCs w:val="13"/>
          <w:u w:val="single"/>
        </w:rPr>
        <w:t>Workbook</w:t>
      </w:r>
      <w:proofErr w:type="spellEnd"/>
      <w:r w:rsidRPr="00903E95">
        <w:rPr>
          <w:color w:val="467886"/>
          <w:szCs w:val="13"/>
          <w:u w:val="single"/>
        </w:rPr>
        <w:t>: Monitor Consumentenmarkt Energie</w:t>
      </w:r>
      <w:r w:rsidRPr="00903E95">
        <w:rPr>
          <w:color w:val="467886"/>
          <w:szCs w:val="13"/>
          <w:u w:val="single"/>
        </w:rPr>
        <w:fldChar w:fldCharType="end"/>
      </w:r>
      <w:r w:rsidRPr="00903E95">
        <w:rPr>
          <w:szCs w:val="13"/>
        </w:rPr>
        <w:t>).</w:t>
      </w:r>
    </w:p>
  </w:footnote>
  <w:footnote w:id="12">
    <w:p w14:paraId="6B481923" w14:textId="77777777" w:rsidR="004A5FB8" w:rsidRPr="00903E95" w:rsidRDefault="004A5FB8" w:rsidP="0023210E">
      <w:pPr>
        <w:pStyle w:val="Voetnoottekst"/>
        <w:spacing w:line="130" w:lineRule="atLeast"/>
        <w:rPr>
          <w:szCs w:val="13"/>
        </w:rPr>
      </w:pPr>
      <w:r w:rsidRPr="00903E95">
        <w:rPr>
          <w:rStyle w:val="Voetnootmarkering"/>
          <w:szCs w:val="13"/>
        </w:rPr>
        <w:footnoteRef/>
      </w:r>
      <w:r w:rsidRPr="00903E95">
        <w:rPr>
          <w:szCs w:val="13"/>
        </w:rPr>
        <w:t xml:space="preserve"> Kamerstukken II 2024/25, 29023, nr. 519. </w:t>
      </w:r>
    </w:p>
  </w:footnote>
  <w:footnote w:id="13">
    <w:p w14:paraId="47F947C7" w14:textId="77777777" w:rsidR="004A5FB8" w:rsidRPr="00903E95" w:rsidRDefault="004A5FB8" w:rsidP="0023210E">
      <w:pPr>
        <w:pStyle w:val="Voetnoottekst"/>
        <w:spacing w:line="130" w:lineRule="atLeast"/>
        <w:rPr>
          <w:szCs w:val="13"/>
        </w:rPr>
      </w:pPr>
      <w:r w:rsidRPr="00903E95">
        <w:rPr>
          <w:rStyle w:val="Voetnootmarkering"/>
          <w:szCs w:val="13"/>
        </w:rPr>
        <w:footnoteRef/>
      </w:r>
      <w:r w:rsidRPr="00903E95">
        <w:rPr>
          <w:szCs w:val="13"/>
        </w:rPr>
        <w:t xml:space="preserve"> Bijlage bij Kamerstukken II 2024/25, 29023, nr. 519.</w:t>
      </w:r>
    </w:p>
  </w:footnote>
  <w:footnote w:id="14">
    <w:p w14:paraId="41438512" w14:textId="77777777" w:rsidR="004A5FB8" w:rsidRPr="00903E95" w:rsidRDefault="004A5FB8" w:rsidP="0023210E">
      <w:pPr>
        <w:pStyle w:val="Voetnoottekst"/>
        <w:spacing w:line="130" w:lineRule="atLeast"/>
        <w:rPr>
          <w:szCs w:val="13"/>
        </w:rPr>
      </w:pPr>
      <w:r w:rsidRPr="00903E95">
        <w:rPr>
          <w:rStyle w:val="Voetnootmarkering"/>
          <w:szCs w:val="13"/>
        </w:rPr>
        <w:footnoteRef/>
      </w:r>
      <w:r w:rsidRPr="00903E95">
        <w:rPr>
          <w:szCs w:val="13"/>
        </w:rPr>
        <w:t xml:space="preserve"> Kamerstukken II 2024/25, 29023, nr. 519.</w:t>
      </w:r>
    </w:p>
  </w:footnote>
  <w:footnote w:id="15">
    <w:p w14:paraId="5654CCF8" w14:textId="77777777" w:rsidR="004A5FB8" w:rsidRPr="00903E95" w:rsidRDefault="004A5FB8" w:rsidP="0023210E">
      <w:pPr>
        <w:pStyle w:val="Voetnoottekst"/>
        <w:spacing w:line="130" w:lineRule="atLeast"/>
        <w:rPr>
          <w:szCs w:val="13"/>
        </w:rPr>
      </w:pPr>
      <w:r w:rsidRPr="00903E95">
        <w:rPr>
          <w:rStyle w:val="Voetnootmarkering"/>
          <w:szCs w:val="13"/>
        </w:rPr>
        <w:footnoteRef/>
      </w:r>
      <w:r w:rsidRPr="00903E95">
        <w:rPr>
          <w:szCs w:val="13"/>
        </w:rPr>
        <w:t xml:space="preserve"> Conform toezegging TZ202410-018. </w:t>
      </w:r>
    </w:p>
  </w:footnote>
  <w:footnote w:id="16">
    <w:p w14:paraId="0E48203C" w14:textId="77777777" w:rsidR="004A5FB8" w:rsidRPr="00903E95" w:rsidRDefault="004A5FB8" w:rsidP="0023210E">
      <w:pPr>
        <w:pStyle w:val="Voetnoottekst"/>
        <w:spacing w:line="130" w:lineRule="atLeast"/>
        <w:rPr>
          <w:szCs w:val="13"/>
        </w:rPr>
      </w:pPr>
      <w:r w:rsidRPr="00903E95">
        <w:rPr>
          <w:rStyle w:val="Voetnootmarkering"/>
          <w:szCs w:val="13"/>
        </w:rPr>
        <w:footnoteRef/>
      </w:r>
      <w:r w:rsidRPr="00903E95">
        <w:rPr>
          <w:szCs w:val="13"/>
        </w:rPr>
        <w:t xml:space="preserve"> Kamerstukken II 2024/25, 29023, nr. 519.</w:t>
      </w:r>
    </w:p>
  </w:footnote>
  <w:footnote w:id="17">
    <w:p w14:paraId="000964FC" w14:textId="77777777" w:rsidR="004A5FB8" w:rsidRPr="00903E95" w:rsidRDefault="004A5FB8" w:rsidP="0023210E">
      <w:pPr>
        <w:pStyle w:val="Voetnoottekst"/>
        <w:spacing w:line="130" w:lineRule="atLeast"/>
        <w:rPr>
          <w:szCs w:val="13"/>
        </w:rPr>
      </w:pPr>
      <w:r w:rsidRPr="00903E95">
        <w:rPr>
          <w:rStyle w:val="Voetnootmarkering"/>
          <w:szCs w:val="13"/>
        </w:rPr>
        <w:footnoteRef/>
      </w:r>
      <w:r w:rsidRPr="00903E95">
        <w:rPr>
          <w:szCs w:val="13"/>
        </w:rPr>
        <w:t xml:space="preserve"> o.a. Kamerstukken II 2024/25, 29023, nr. 519; en Kamerstukken II 2023/24, 29023 nr. 494.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62404" w14:paraId="2D5D95FA" w14:textId="77777777" w:rsidTr="00A50CF6">
      <w:tc>
        <w:tcPr>
          <w:tcW w:w="2156" w:type="dxa"/>
          <w:shd w:val="clear" w:color="auto" w:fill="auto"/>
        </w:tcPr>
        <w:p w14:paraId="773452E8" w14:textId="77777777" w:rsidR="00527BD4" w:rsidRPr="00624D22" w:rsidRDefault="00F03484" w:rsidP="00A50CF6">
          <w:pPr>
            <w:pStyle w:val="Huisstijl-Adres"/>
            <w:rPr>
              <w:b/>
            </w:rPr>
          </w:pPr>
          <w:r>
            <w:rPr>
              <w:b/>
            </w:rPr>
            <w:t>Klimaat en groene Groei</w:t>
          </w:r>
        </w:p>
      </w:tc>
    </w:tr>
    <w:tr w:rsidR="00B62404" w14:paraId="5483352B" w14:textId="77777777" w:rsidTr="00A50CF6">
      <w:trPr>
        <w:trHeight w:hRule="exact" w:val="200"/>
      </w:trPr>
      <w:tc>
        <w:tcPr>
          <w:tcW w:w="2156" w:type="dxa"/>
          <w:shd w:val="clear" w:color="auto" w:fill="auto"/>
        </w:tcPr>
        <w:p w14:paraId="7A4F6FDC" w14:textId="77777777" w:rsidR="00527BD4" w:rsidRPr="005819CE" w:rsidRDefault="00527BD4" w:rsidP="00A50CF6"/>
      </w:tc>
    </w:tr>
    <w:tr w:rsidR="00B62404" w14:paraId="5740A51D" w14:textId="77777777" w:rsidTr="00502512">
      <w:trPr>
        <w:trHeight w:hRule="exact" w:val="774"/>
      </w:trPr>
      <w:tc>
        <w:tcPr>
          <w:tcW w:w="2156" w:type="dxa"/>
          <w:shd w:val="clear" w:color="auto" w:fill="auto"/>
        </w:tcPr>
        <w:p w14:paraId="489BA257" w14:textId="77777777" w:rsidR="00527BD4" w:rsidRDefault="00527BD4" w:rsidP="003A5290">
          <w:pPr>
            <w:pStyle w:val="Huisstijl-Kopje"/>
          </w:pPr>
        </w:p>
        <w:p w14:paraId="15AFB6C7" w14:textId="77777777" w:rsidR="00502512" w:rsidRPr="00502512" w:rsidRDefault="00F03484" w:rsidP="003A5290">
          <w:pPr>
            <w:pStyle w:val="Huisstijl-Kopje"/>
            <w:rPr>
              <w:b w:val="0"/>
            </w:rPr>
          </w:pPr>
          <w:r>
            <w:rPr>
              <w:b w:val="0"/>
            </w:rPr>
            <w:t>KGG</w:t>
          </w:r>
          <w:r w:rsidRPr="00502512">
            <w:rPr>
              <w:b w:val="0"/>
            </w:rPr>
            <w:t xml:space="preserve"> / </w:t>
          </w:r>
          <w:r>
            <w:rPr>
              <w:b w:val="0"/>
            </w:rPr>
            <w:t>96434931</w:t>
          </w:r>
        </w:p>
        <w:p w14:paraId="1103BB99" w14:textId="77777777" w:rsidR="00527BD4" w:rsidRPr="005819CE" w:rsidRDefault="00527BD4" w:rsidP="00361A56">
          <w:pPr>
            <w:pStyle w:val="Huisstijl-Kopje"/>
          </w:pPr>
        </w:p>
      </w:tc>
    </w:tr>
  </w:tbl>
  <w:p w14:paraId="660B1CC7" w14:textId="77777777" w:rsidR="00527BD4" w:rsidRDefault="00527BD4" w:rsidP="008C356D">
    <w:pPr>
      <w:pStyle w:val="Koptekst"/>
      <w:rPr>
        <w:rFonts w:cs="Verdana-Bold"/>
        <w:b/>
        <w:bCs/>
        <w:smallCaps/>
        <w:szCs w:val="18"/>
      </w:rPr>
    </w:pPr>
  </w:p>
  <w:p w14:paraId="535BF6ED" w14:textId="77777777" w:rsidR="00527BD4" w:rsidRDefault="00527BD4" w:rsidP="008C356D"/>
  <w:p w14:paraId="0A1CCCE0" w14:textId="77777777" w:rsidR="00527BD4" w:rsidRPr="00740712" w:rsidRDefault="00527BD4" w:rsidP="008C356D"/>
  <w:p w14:paraId="0DEC5AA3" w14:textId="77777777" w:rsidR="00527BD4" w:rsidRPr="00217880" w:rsidRDefault="00527BD4" w:rsidP="008C356D">
    <w:pPr>
      <w:spacing w:line="0" w:lineRule="atLeast"/>
      <w:rPr>
        <w:sz w:val="2"/>
        <w:szCs w:val="2"/>
      </w:rPr>
    </w:pPr>
  </w:p>
  <w:p w14:paraId="3F5DC79A" w14:textId="77777777" w:rsidR="00527BD4" w:rsidRDefault="00527BD4" w:rsidP="004F44C2">
    <w:pPr>
      <w:pStyle w:val="Koptekst"/>
      <w:rPr>
        <w:rFonts w:cs="Verdana-Bold"/>
        <w:b/>
        <w:bCs/>
        <w:smallCaps/>
        <w:szCs w:val="18"/>
      </w:rPr>
    </w:pPr>
  </w:p>
  <w:p w14:paraId="0BBF351E" w14:textId="77777777" w:rsidR="00527BD4" w:rsidRDefault="00527BD4" w:rsidP="004F44C2"/>
  <w:p w14:paraId="41656F07" w14:textId="77777777" w:rsidR="00624D22" w:rsidRDefault="00624D22" w:rsidP="004F44C2"/>
  <w:p w14:paraId="6B61430C" w14:textId="77777777" w:rsidR="00624D22" w:rsidRDefault="00624D22" w:rsidP="004F44C2"/>
  <w:p w14:paraId="0D560598" w14:textId="77777777" w:rsidR="00527BD4" w:rsidRPr="00740712" w:rsidRDefault="00527BD4" w:rsidP="004F44C2"/>
  <w:p w14:paraId="382150C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62404" w14:paraId="16CDAF98" w14:textId="77777777" w:rsidTr="00751A6A">
      <w:trPr>
        <w:trHeight w:val="2636"/>
      </w:trPr>
      <w:tc>
        <w:tcPr>
          <w:tcW w:w="737" w:type="dxa"/>
          <w:shd w:val="clear" w:color="auto" w:fill="auto"/>
        </w:tcPr>
        <w:p w14:paraId="512C395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89FD57C" w14:textId="77777777" w:rsidR="00527BD4" w:rsidRDefault="00F03484"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2C2E8E99" wp14:editId="11214586">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6BD620E0" w14:textId="77777777" w:rsidR="00527BD4" w:rsidRDefault="00527BD4" w:rsidP="00D0609E">
    <w:pPr>
      <w:framePr w:w="6340" w:h="2750" w:hRule="exact" w:hSpace="180" w:wrap="around" w:vAnchor="page" w:hAnchor="text" w:x="3873" w:y="-140"/>
    </w:pPr>
  </w:p>
  <w:p w14:paraId="10B8163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62404" w:rsidRPr="0023210E" w14:paraId="0E6AE03B" w14:textId="77777777" w:rsidTr="00A50CF6">
      <w:tc>
        <w:tcPr>
          <w:tcW w:w="2160" w:type="dxa"/>
          <w:shd w:val="clear" w:color="auto" w:fill="auto"/>
        </w:tcPr>
        <w:p w14:paraId="01399BCC" w14:textId="77777777" w:rsidR="00527BD4" w:rsidRPr="00781DCA" w:rsidRDefault="00F03484" w:rsidP="00A50CF6">
          <w:pPr>
            <w:pStyle w:val="Huisstijl-Adres"/>
            <w:rPr>
              <w:b/>
            </w:rPr>
          </w:pPr>
          <w:r>
            <w:rPr>
              <w:b/>
            </w:rPr>
            <w:t>Klimaat en groene Groei</w:t>
          </w:r>
          <w:r w:rsidRPr="005819CE">
            <w:rPr>
              <w:b/>
            </w:rPr>
            <w:br/>
          </w:r>
        </w:p>
        <w:p w14:paraId="1A1A83BB" w14:textId="77777777" w:rsidR="00527BD4" w:rsidRPr="00BE5ED9" w:rsidRDefault="00F03484" w:rsidP="00A50CF6">
          <w:pPr>
            <w:pStyle w:val="Huisstijl-Adres"/>
          </w:pPr>
          <w:r>
            <w:rPr>
              <w:b/>
            </w:rPr>
            <w:t>Bezoekadres</w:t>
          </w:r>
          <w:r>
            <w:rPr>
              <w:b/>
            </w:rPr>
            <w:br/>
          </w:r>
          <w:r>
            <w:t>Bezuidenhoutseweg 73</w:t>
          </w:r>
          <w:r w:rsidRPr="005819CE">
            <w:br/>
          </w:r>
          <w:r>
            <w:t>2594 AC Den Haag</w:t>
          </w:r>
        </w:p>
        <w:p w14:paraId="063C4D44" w14:textId="77777777" w:rsidR="00EF495B" w:rsidRDefault="00F03484" w:rsidP="0098788A">
          <w:pPr>
            <w:pStyle w:val="Huisstijl-Adres"/>
          </w:pPr>
          <w:r>
            <w:rPr>
              <w:b/>
            </w:rPr>
            <w:t>Postadres</w:t>
          </w:r>
          <w:r>
            <w:rPr>
              <w:b/>
            </w:rPr>
            <w:br/>
          </w:r>
          <w:r>
            <w:t>Postbus 20401</w:t>
          </w:r>
          <w:r w:rsidRPr="005819CE">
            <w:br/>
            <w:t>2500 E</w:t>
          </w:r>
          <w:r>
            <w:t>K</w:t>
          </w:r>
          <w:r w:rsidRPr="005819CE">
            <w:t xml:space="preserve"> Den Haag</w:t>
          </w:r>
        </w:p>
        <w:p w14:paraId="526CEEC0" w14:textId="77777777" w:rsidR="00EF495B" w:rsidRPr="005B3814" w:rsidRDefault="00F03484" w:rsidP="0098788A">
          <w:pPr>
            <w:pStyle w:val="Huisstijl-Adres"/>
          </w:pPr>
          <w:r>
            <w:rPr>
              <w:b/>
            </w:rPr>
            <w:t>Overheidsidentificatienr</w:t>
          </w:r>
          <w:r>
            <w:rPr>
              <w:b/>
            </w:rPr>
            <w:br/>
          </w:r>
          <w:r w:rsidR="00F323ED" w:rsidRPr="00F323ED">
            <w:t>00000001003214369000</w:t>
          </w:r>
        </w:p>
        <w:p w14:paraId="396C64FC" w14:textId="324E1875" w:rsidR="00527BD4" w:rsidRPr="0023210E" w:rsidRDefault="00F03484"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r w:rsidRPr="002572A7">
            <w:t>l</w:t>
          </w:r>
        </w:p>
      </w:tc>
    </w:tr>
    <w:tr w:rsidR="00B62404" w:rsidRPr="0023210E" w14:paraId="7EE271A4" w14:textId="77777777" w:rsidTr="00A50CF6">
      <w:trPr>
        <w:trHeight w:hRule="exact" w:val="200"/>
      </w:trPr>
      <w:tc>
        <w:tcPr>
          <w:tcW w:w="2160" w:type="dxa"/>
          <w:shd w:val="clear" w:color="auto" w:fill="auto"/>
        </w:tcPr>
        <w:p w14:paraId="3528F241" w14:textId="77777777" w:rsidR="00527BD4" w:rsidRPr="00D71182" w:rsidRDefault="00527BD4" w:rsidP="00A50CF6">
          <w:pPr>
            <w:rPr>
              <w:lang w:val="fr-FR"/>
            </w:rPr>
          </w:pPr>
        </w:p>
      </w:tc>
    </w:tr>
    <w:tr w:rsidR="00B62404" w14:paraId="60F25420" w14:textId="77777777" w:rsidTr="00A50CF6">
      <w:tc>
        <w:tcPr>
          <w:tcW w:w="2160" w:type="dxa"/>
          <w:shd w:val="clear" w:color="auto" w:fill="auto"/>
        </w:tcPr>
        <w:p w14:paraId="502E8C19" w14:textId="77777777" w:rsidR="000C0163" w:rsidRPr="005819CE" w:rsidRDefault="00F03484" w:rsidP="000C0163">
          <w:pPr>
            <w:pStyle w:val="Huisstijl-Kopje"/>
          </w:pPr>
          <w:r>
            <w:t>Ons kenmerk</w:t>
          </w:r>
        </w:p>
        <w:p w14:paraId="5EEA635A" w14:textId="297CC7CE" w:rsidR="00527BD4" w:rsidRPr="005819CE" w:rsidRDefault="00F03484" w:rsidP="0023210E">
          <w:pPr>
            <w:pStyle w:val="Huisstijl-Gegeven"/>
          </w:pPr>
          <w:r>
            <w:t>KGG</w:t>
          </w:r>
          <w:r w:rsidR="00926AE2">
            <w:t xml:space="preserve"> </w:t>
          </w:r>
          <w:r w:rsidR="0023210E">
            <w:t xml:space="preserve">-DEM </w:t>
          </w:r>
          <w:r w:rsidR="00926AE2">
            <w:t xml:space="preserve">/ </w:t>
          </w:r>
          <w:r>
            <w:t>96434931</w:t>
          </w:r>
        </w:p>
      </w:tc>
    </w:tr>
  </w:tbl>
  <w:p w14:paraId="4B92470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B62404" w:rsidRPr="002572A7" w14:paraId="7DA2591E" w14:textId="77777777" w:rsidTr="00C37826">
      <w:trPr>
        <w:trHeight w:val="400"/>
      </w:trPr>
      <w:tc>
        <w:tcPr>
          <w:tcW w:w="7371" w:type="dxa"/>
          <w:gridSpan w:val="2"/>
          <w:shd w:val="clear" w:color="auto" w:fill="auto"/>
        </w:tcPr>
        <w:p w14:paraId="45BCF8D2" w14:textId="77777777" w:rsidR="00527BD4" w:rsidRPr="006B7E83" w:rsidRDefault="00F03484" w:rsidP="00A50CF6">
          <w:pPr>
            <w:pStyle w:val="Huisstijl-Retouradres"/>
            <w:rPr>
              <w:lang w:val="de-DE"/>
            </w:rPr>
          </w:pPr>
          <w:r w:rsidRPr="006B7E83">
            <w:rPr>
              <w:lang w:val="de-DE"/>
            </w:rPr>
            <w:t xml:space="preserve">&gt; </w:t>
          </w:r>
          <w:r w:rsidR="00C37826" w:rsidRPr="006B7E83">
            <w:rPr>
              <w:lang w:val="de-DE"/>
            </w:rPr>
            <w:t xml:space="preserve">Retouradres Postbus </w:t>
          </w:r>
          <w:r w:rsidRPr="006B7E83">
            <w:rPr>
              <w:lang w:val="de-DE"/>
            </w:rPr>
            <w:t>20401</w:t>
          </w:r>
          <w:r w:rsidR="00C37826" w:rsidRPr="006B7E83">
            <w:rPr>
              <w:lang w:val="de-DE"/>
            </w:rPr>
            <w:t xml:space="preserve"> </w:t>
          </w:r>
          <w:r w:rsidRPr="006B7E83">
            <w:rPr>
              <w:lang w:val="de-DE"/>
            </w:rPr>
            <w:t>2500 EK</w:t>
          </w:r>
          <w:r w:rsidR="00C37826" w:rsidRPr="006B7E83">
            <w:rPr>
              <w:lang w:val="de-DE"/>
            </w:rPr>
            <w:t xml:space="preserve"> </w:t>
          </w:r>
          <w:r w:rsidRPr="006B7E83">
            <w:rPr>
              <w:lang w:val="de-DE"/>
            </w:rPr>
            <w:t>Den Haag</w:t>
          </w:r>
        </w:p>
      </w:tc>
    </w:tr>
    <w:tr w:rsidR="00B62404" w:rsidRPr="002572A7" w14:paraId="6DE358AD" w14:textId="77777777" w:rsidTr="00C37826">
      <w:tc>
        <w:tcPr>
          <w:tcW w:w="7371" w:type="dxa"/>
          <w:gridSpan w:val="2"/>
          <w:shd w:val="clear" w:color="auto" w:fill="auto"/>
        </w:tcPr>
        <w:p w14:paraId="5841C304" w14:textId="77777777" w:rsidR="00527BD4" w:rsidRPr="006B7E83" w:rsidRDefault="00527BD4" w:rsidP="00A50CF6">
          <w:pPr>
            <w:pStyle w:val="Huisstijl-Rubricering"/>
            <w:rPr>
              <w:lang w:val="de-DE"/>
            </w:rPr>
          </w:pPr>
        </w:p>
      </w:tc>
    </w:tr>
    <w:tr w:rsidR="00B62404" w14:paraId="609B9EE1" w14:textId="77777777" w:rsidTr="00C37826">
      <w:trPr>
        <w:trHeight w:hRule="exact" w:val="2440"/>
      </w:trPr>
      <w:tc>
        <w:tcPr>
          <w:tcW w:w="7371" w:type="dxa"/>
          <w:gridSpan w:val="2"/>
          <w:shd w:val="clear" w:color="auto" w:fill="auto"/>
        </w:tcPr>
        <w:p w14:paraId="45CDD816" w14:textId="77777777" w:rsidR="00527BD4" w:rsidRDefault="00F03484" w:rsidP="00A50CF6">
          <w:pPr>
            <w:pStyle w:val="Huisstijl-NAW"/>
          </w:pPr>
          <w:r>
            <w:t xml:space="preserve">De Voorzitter van de Tweede Kamer </w:t>
          </w:r>
        </w:p>
        <w:p w14:paraId="04E7ABEC" w14:textId="77777777" w:rsidR="00D87195" w:rsidRDefault="00F03484" w:rsidP="00D87195">
          <w:pPr>
            <w:pStyle w:val="Huisstijl-NAW"/>
          </w:pPr>
          <w:r>
            <w:t>der Staten-Generaal</w:t>
          </w:r>
        </w:p>
        <w:p w14:paraId="46BB2DBD" w14:textId="77777777" w:rsidR="00EA0F13" w:rsidRDefault="00F03484" w:rsidP="00EA0F13">
          <w:pPr>
            <w:rPr>
              <w:szCs w:val="18"/>
            </w:rPr>
          </w:pPr>
          <w:r>
            <w:rPr>
              <w:szCs w:val="18"/>
            </w:rPr>
            <w:t>Prinses Irenestraat 6</w:t>
          </w:r>
        </w:p>
        <w:p w14:paraId="15D67D8F" w14:textId="77777777" w:rsidR="00985E56" w:rsidRDefault="00F03484" w:rsidP="00EA0F13">
          <w:r>
            <w:rPr>
              <w:szCs w:val="18"/>
            </w:rPr>
            <w:t>2595 BD  DEN HAAG</w:t>
          </w:r>
        </w:p>
      </w:tc>
    </w:tr>
    <w:tr w:rsidR="00B62404" w14:paraId="0690A19C" w14:textId="77777777" w:rsidTr="00C37826">
      <w:trPr>
        <w:trHeight w:hRule="exact" w:val="400"/>
      </w:trPr>
      <w:tc>
        <w:tcPr>
          <w:tcW w:w="7371" w:type="dxa"/>
          <w:gridSpan w:val="2"/>
          <w:shd w:val="clear" w:color="auto" w:fill="auto"/>
        </w:tcPr>
        <w:p w14:paraId="4D2B05F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62404" w14:paraId="7F26815F" w14:textId="77777777" w:rsidTr="00C37826">
      <w:trPr>
        <w:trHeight w:val="240"/>
      </w:trPr>
      <w:tc>
        <w:tcPr>
          <w:tcW w:w="709" w:type="dxa"/>
          <w:shd w:val="clear" w:color="auto" w:fill="auto"/>
        </w:tcPr>
        <w:p w14:paraId="75949F15" w14:textId="77777777" w:rsidR="00527BD4" w:rsidRPr="00C37826" w:rsidRDefault="00F03484" w:rsidP="00A50CF6">
          <w:pPr>
            <w:rPr>
              <w:szCs w:val="18"/>
            </w:rPr>
          </w:pPr>
          <w:r>
            <w:rPr>
              <w:szCs w:val="18"/>
            </w:rPr>
            <w:t>Datum</w:t>
          </w:r>
        </w:p>
      </w:tc>
      <w:tc>
        <w:tcPr>
          <w:tcW w:w="6662" w:type="dxa"/>
          <w:shd w:val="clear" w:color="auto" w:fill="auto"/>
        </w:tcPr>
        <w:p w14:paraId="61A7D86C" w14:textId="55210DF5" w:rsidR="00527BD4" w:rsidRPr="007709EF" w:rsidRDefault="00695382" w:rsidP="00A50CF6">
          <w:r>
            <w:t>14 januari 2025</w:t>
          </w:r>
        </w:p>
      </w:tc>
    </w:tr>
    <w:tr w:rsidR="00B62404" w14:paraId="3AA49987" w14:textId="77777777" w:rsidTr="00C37826">
      <w:trPr>
        <w:trHeight w:val="240"/>
      </w:trPr>
      <w:tc>
        <w:tcPr>
          <w:tcW w:w="709" w:type="dxa"/>
          <w:shd w:val="clear" w:color="auto" w:fill="auto"/>
        </w:tcPr>
        <w:p w14:paraId="033E0710" w14:textId="77777777" w:rsidR="00527BD4" w:rsidRPr="00C37826" w:rsidRDefault="00F03484" w:rsidP="00A50CF6">
          <w:pPr>
            <w:rPr>
              <w:szCs w:val="18"/>
            </w:rPr>
          </w:pPr>
          <w:r>
            <w:rPr>
              <w:szCs w:val="18"/>
            </w:rPr>
            <w:t>Betreft</w:t>
          </w:r>
        </w:p>
      </w:tc>
      <w:tc>
        <w:tcPr>
          <w:tcW w:w="6662" w:type="dxa"/>
          <w:shd w:val="clear" w:color="auto" w:fill="auto"/>
        </w:tcPr>
        <w:p w14:paraId="7DA19380" w14:textId="2250F414" w:rsidR="00527BD4" w:rsidRPr="007709EF" w:rsidRDefault="00F03484" w:rsidP="00A50CF6">
          <w:r>
            <w:t>Stand van zaken gasmarkt en vulgraden</w:t>
          </w:r>
          <w:r w:rsidR="008475BF">
            <w:t xml:space="preserve"> gasopslagen </w:t>
          </w:r>
        </w:p>
      </w:tc>
    </w:tr>
  </w:tbl>
  <w:p w14:paraId="57A29C8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4B89BDA">
      <w:start w:val="1"/>
      <w:numFmt w:val="bullet"/>
      <w:pStyle w:val="Lijstopsomteken"/>
      <w:lvlText w:val="•"/>
      <w:lvlJc w:val="left"/>
      <w:pPr>
        <w:tabs>
          <w:tab w:val="num" w:pos="227"/>
        </w:tabs>
        <w:ind w:left="227" w:hanging="227"/>
      </w:pPr>
      <w:rPr>
        <w:rFonts w:ascii="Verdana" w:hAnsi="Verdana" w:hint="default"/>
        <w:sz w:val="18"/>
        <w:szCs w:val="18"/>
      </w:rPr>
    </w:lvl>
    <w:lvl w:ilvl="1" w:tplc="7830583E" w:tentative="1">
      <w:start w:val="1"/>
      <w:numFmt w:val="bullet"/>
      <w:lvlText w:val="o"/>
      <w:lvlJc w:val="left"/>
      <w:pPr>
        <w:tabs>
          <w:tab w:val="num" w:pos="1440"/>
        </w:tabs>
        <w:ind w:left="1440" w:hanging="360"/>
      </w:pPr>
      <w:rPr>
        <w:rFonts w:ascii="Courier New" w:hAnsi="Courier New" w:cs="Courier New" w:hint="default"/>
      </w:rPr>
    </w:lvl>
    <w:lvl w:ilvl="2" w:tplc="C5FC014E" w:tentative="1">
      <w:start w:val="1"/>
      <w:numFmt w:val="bullet"/>
      <w:lvlText w:val=""/>
      <w:lvlJc w:val="left"/>
      <w:pPr>
        <w:tabs>
          <w:tab w:val="num" w:pos="2160"/>
        </w:tabs>
        <w:ind w:left="2160" w:hanging="360"/>
      </w:pPr>
      <w:rPr>
        <w:rFonts w:ascii="Wingdings" w:hAnsi="Wingdings" w:hint="default"/>
      </w:rPr>
    </w:lvl>
    <w:lvl w:ilvl="3" w:tplc="878ED85C" w:tentative="1">
      <w:start w:val="1"/>
      <w:numFmt w:val="bullet"/>
      <w:lvlText w:val=""/>
      <w:lvlJc w:val="left"/>
      <w:pPr>
        <w:tabs>
          <w:tab w:val="num" w:pos="2880"/>
        </w:tabs>
        <w:ind w:left="2880" w:hanging="360"/>
      </w:pPr>
      <w:rPr>
        <w:rFonts w:ascii="Symbol" w:hAnsi="Symbol" w:hint="default"/>
      </w:rPr>
    </w:lvl>
    <w:lvl w:ilvl="4" w:tplc="E06AFCC4" w:tentative="1">
      <w:start w:val="1"/>
      <w:numFmt w:val="bullet"/>
      <w:lvlText w:val="o"/>
      <w:lvlJc w:val="left"/>
      <w:pPr>
        <w:tabs>
          <w:tab w:val="num" w:pos="3600"/>
        </w:tabs>
        <w:ind w:left="3600" w:hanging="360"/>
      </w:pPr>
      <w:rPr>
        <w:rFonts w:ascii="Courier New" w:hAnsi="Courier New" w:cs="Courier New" w:hint="default"/>
      </w:rPr>
    </w:lvl>
    <w:lvl w:ilvl="5" w:tplc="9864B6F2" w:tentative="1">
      <w:start w:val="1"/>
      <w:numFmt w:val="bullet"/>
      <w:lvlText w:val=""/>
      <w:lvlJc w:val="left"/>
      <w:pPr>
        <w:tabs>
          <w:tab w:val="num" w:pos="4320"/>
        </w:tabs>
        <w:ind w:left="4320" w:hanging="360"/>
      </w:pPr>
      <w:rPr>
        <w:rFonts w:ascii="Wingdings" w:hAnsi="Wingdings" w:hint="default"/>
      </w:rPr>
    </w:lvl>
    <w:lvl w:ilvl="6" w:tplc="E8326882" w:tentative="1">
      <w:start w:val="1"/>
      <w:numFmt w:val="bullet"/>
      <w:lvlText w:val=""/>
      <w:lvlJc w:val="left"/>
      <w:pPr>
        <w:tabs>
          <w:tab w:val="num" w:pos="5040"/>
        </w:tabs>
        <w:ind w:left="5040" w:hanging="360"/>
      </w:pPr>
      <w:rPr>
        <w:rFonts w:ascii="Symbol" w:hAnsi="Symbol" w:hint="default"/>
      </w:rPr>
    </w:lvl>
    <w:lvl w:ilvl="7" w:tplc="BF5CB8A4" w:tentative="1">
      <w:start w:val="1"/>
      <w:numFmt w:val="bullet"/>
      <w:lvlText w:val="o"/>
      <w:lvlJc w:val="left"/>
      <w:pPr>
        <w:tabs>
          <w:tab w:val="num" w:pos="5760"/>
        </w:tabs>
        <w:ind w:left="5760" w:hanging="360"/>
      </w:pPr>
      <w:rPr>
        <w:rFonts w:ascii="Courier New" w:hAnsi="Courier New" w:cs="Courier New" w:hint="default"/>
      </w:rPr>
    </w:lvl>
    <w:lvl w:ilvl="8" w:tplc="F654BF3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7603EB"/>
    <w:multiLevelType w:val="hybridMultilevel"/>
    <w:tmpl w:val="06868F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555FEF"/>
    <w:multiLevelType w:val="hybridMultilevel"/>
    <w:tmpl w:val="50F0923E"/>
    <w:lvl w:ilvl="0" w:tplc="4972EDA8">
      <w:start w:val="1"/>
      <w:numFmt w:val="bullet"/>
      <w:pStyle w:val="Lijstopsomteken2"/>
      <w:lvlText w:val="–"/>
      <w:lvlJc w:val="left"/>
      <w:pPr>
        <w:tabs>
          <w:tab w:val="num" w:pos="227"/>
        </w:tabs>
        <w:ind w:left="227" w:firstLine="0"/>
      </w:pPr>
      <w:rPr>
        <w:rFonts w:ascii="Verdana" w:hAnsi="Verdana" w:hint="default"/>
      </w:rPr>
    </w:lvl>
    <w:lvl w:ilvl="1" w:tplc="E3C0BB4C" w:tentative="1">
      <w:start w:val="1"/>
      <w:numFmt w:val="bullet"/>
      <w:lvlText w:val="o"/>
      <w:lvlJc w:val="left"/>
      <w:pPr>
        <w:tabs>
          <w:tab w:val="num" w:pos="1440"/>
        </w:tabs>
        <w:ind w:left="1440" w:hanging="360"/>
      </w:pPr>
      <w:rPr>
        <w:rFonts w:ascii="Courier New" w:hAnsi="Courier New" w:cs="Courier New" w:hint="default"/>
      </w:rPr>
    </w:lvl>
    <w:lvl w:ilvl="2" w:tplc="CA7ED822" w:tentative="1">
      <w:start w:val="1"/>
      <w:numFmt w:val="bullet"/>
      <w:lvlText w:val=""/>
      <w:lvlJc w:val="left"/>
      <w:pPr>
        <w:tabs>
          <w:tab w:val="num" w:pos="2160"/>
        </w:tabs>
        <w:ind w:left="2160" w:hanging="360"/>
      </w:pPr>
      <w:rPr>
        <w:rFonts w:ascii="Wingdings" w:hAnsi="Wingdings" w:hint="default"/>
      </w:rPr>
    </w:lvl>
    <w:lvl w:ilvl="3" w:tplc="2EEEBD3A" w:tentative="1">
      <w:start w:val="1"/>
      <w:numFmt w:val="bullet"/>
      <w:lvlText w:val=""/>
      <w:lvlJc w:val="left"/>
      <w:pPr>
        <w:tabs>
          <w:tab w:val="num" w:pos="2880"/>
        </w:tabs>
        <w:ind w:left="2880" w:hanging="360"/>
      </w:pPr>
      <w:rPr>
        <w:rFonts w:ascii="Symbol" w:hAnsi="Symbol" w:hint="default"/>
      </w:rPr>
    </w:lvl>
    <w:lvl w:ilvl="4" w:tplc="03DC4998" w:tentative="1">
      <w:start w:val="1"/>
      <w:numFmt w:val="bullet"/>
      <w:lvlText w:val="o"/>
      <w:lvlJc w:val="left"/>
      <w:pPr>
        <w:tabs>
          <w:tab w:val="num" w:pos="3600"/>
        </w:tabs>
        <w:ind w:left="3600" w:hanging="360"/>
      </w:pPr>
      <w:rPr>
        <w:rFonts w:ascii="Courier New" w:hAnsi="Courier New" w:cs="Courier New" w:hint="default"/>
      </w:rPr>
    </w:lvl>
    <w:lvl w:ilvl="5" w:tplc="B01008B2" w:tentative="1">
      <w:start w:val="1"/>
      <w:numFmt w:val="bullet"/>
      <w:lvlText w:val=""/>
      <w:lvlJc w:val="left"/>
      <w:pPr>
        <w:tabs>
          <w:tab w:val="num" w:pos="4320"/>
        </w:tabs>
        <w:ind w:left="4320" w:hanging="360"/>
      </w:pPr>
      <w:rPr>
        <w:rFonts w:ascii="Wingdings" w:hAnsi="Wingdings" w:hint="default"/>
      </w:rPr>
    </w:lvl>
    <w:lvl w:ilvl="6" w:tplc="F6581D16" w:tentative="1">
      <w:start w:val="1"/>
      <w:numFmt w:val="bullet"/>
      <w:lvlText w:val=""/>
      <w:lvlJc w:val="left"/>
      <w:pPr>
        <w:tabs>
          <w:tab w:val="num" w:pos="5040"/>
        </w:tabs>
        <w:ind w:left="5040" w:hanging="360"/>
      </w:pPr>
      <w:rPr>
        <w:rFonts w:ascii="Symbol" w:hAnsi="Symbol" w:hint="default"/>
      </w:rPr>
    </w:lvl>
    <w:lvl w:ilvl="7" w:tplc="1EECCA78" w:tentative="1">
      <w:start w:val="1"/>
      <w:numFmt w:val="bullet"/>
      <w:lvlText w:val="o"/>
      <w:lvlJc w:val="left"/>
      <w:pPr>
        <w:tabs>
          <w:tab w:val="num" w:pos="5760"/>
        </w:tabs>
        <w:ind w:left="5760" w:hanging="360"/>
      </w:pPr>
      <w:rPr>
        <w:rFonts w:ascii="Courier New" w:hAnsi="Courier New" w:cs="Courier New" w:hint="default"/>
      </w:rPr>
    </w:lvl>
    <w:lvl w:ilvl="8" w:tplc="F180484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FB3F6D"/>
    <w:multiLevelType w:val="hybridMultilevel"/>
    <w:tmpl w:val="75525BBC"/>
    <w:lvl w:ilvl="0" w:tplc="04130001">
      <w:numFmt w:val="bullet"/>
      <w:lvlText w:val=""/>
      <w:lvlJc w:val="left"/>
      <w:pPr>
        <w:ind w:left="720" w:hanging="360"/>
      </w:pPr>
      <w:rPr>
        <w:rFonts w:ascii="Symbol" w:eastAsia="Times New Roman" w:hAnsi="Symbol" w:cs="Times New Roman" w:hint="default"/>
      </w:rPr>
    </w:lvl>
    <w:lvl w:ilvl="1" w:tplc="CF987CAC">
      <w:start w:val="1"/>
      <w:numFmt w:val="decimal"/>
      <w:lvlText w:val="%2."/>
      <w:lvlJc w:val="left"/>
      <w:pPr>
        <w:ind w:left="1440" w:hanging="360"/>
      </w:pPr>
      <w:rPr>
        <w:rFonts w:ascii="Verdana" w:eastAsia="Times New Roman" w:hAnsi="Verdana" w:cs="Times New Roman"/>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EA94267"/>
    <w:multiLevelType w:val="hybridMultilevel"/>
    <w:tmpl w:val="EC5C0560"/>
    <w:lvl w:ilvl="0" w:tplc="6628A07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CE908F5"/>
    <w:multiLevelType w:val="hybridMultilevel"/>
    <w:tmpl w:val="2BDACAD4"/>
    <w:lvl w:ilvl="0" w:tplc="D188EBEA">
      <w:numFmt w:val="bullet"/>
      <w:lvlText w:val="-"/>
      <w:lvlJc w:val="left"/>
      <w:pPr>
        <w:ind w:left="720" w:hanging="360"/>
      </w:pPr>
      <w:rPr>
        <w:rFonts w:ascii="Calibri" w:eastAsia="Times New Roman" w:hAnsi="Calibri" w:cs="Calibri" w:hint="default"/>
      </w:rPr>
    </w:lvl>
    <w:lvl w:ilvl="1" w:tplc="FCF4A03C">
      <w:start w:val="1"/>
      <w:numFmt w:val="bullet"/>
      <w:lvlText w:val="o"/>
      <w:lvlJc w:val="left"/>
      <w:pPr>
        <w:ind w:left="1440" w:hanging="360"/>
      </w:pPr>
      <w:rPr>
        <w:rFonts w:ascii="Courier New" w:hAnsi="Courier New" w:cs="Courier New" w:hint="default"/>
      </w:rPr>
    </w:lvl>
    <w:lvl w:ilvl="2" w:tplc="C396E3E2">
      <w:start w:val="1"/>
      <w:numFmt w:val="bullet"/>
      <w:lvlText w:val=""/>
      <w:lvlJc w:val="left"/>
      <w:pPr>
        <w:ind w:left="2160" w:hanging="360"/>
      </w:pPr>
      <w:rPr>
        <w:rFonts w:ascii="Wingdings" w:hAnsi="Wingdings" w:hint="default"/>
      </w:rPr>
    </w:lvl>
    <w:lvl w:ilvl="3" w:tplc="FB06AE38">
      <w:start w:val="1"/>
      <w:numFmt w:val="bullet"/>
      <w:lvlText w:val=""/>
      <w:lvlJc w:val="left"/>
      <w:pPr>
        <w:ind w:left="2880" w:hanging="360"/>
      </w:pPr>
      <w:rPr>
        <w:rFonts w:ascii="Symbol" w:hAnsi="Symbol" w:hint="default"/>
      </w:rPr>
    </w:lvl>
    <w:lvl w:ilvl="4" w:tplc="076AC022">
      <w:start w:val="1"/>
      <w:numFmt w:val="bullet"/>
      <w:lvlText w:val="o"/>
      <w:lvlJc w:val="left"/>
      <w:pPr>
        <w:ind w:left="3600" w:hanging="360"/>
      </w:pPr>
      <w:rPr>
        <w:rFonts w:ascii="Courier New" w:hAnsi="Courier New" w:cs="Courier New" w:hint="default"/>
      </w:rPr>
    </w:lvl>
    <w:lvl w:ilvl="5" w:tplc="776841CC">
      <w:start w:val="1"/>
      <w:numFmt w:val="bullet"/>
      <w:lvlText w:val=""/>
      <w:lvlJc w:val="left"/>
      <w:pPr>
        <w:ind w:left="4320" w:hanging="360"/>
      </w:pPr>
      <w:rPr>
        <w:rFonts w:ascii="Wingdings" w:hAnsi="Wingdings" w:hint="default"/>
      </w:rPr>
    </w:lvl>
    <w:lvl w:ilvl="6" w:tplc="8CD4198C">
      <w:start w:val="1"/>
      <w:numFmt w:val="bullet"/>
      <w:lvlText w:val=""/>
      <w:lvlJc w:val="left"/>
      <w:pPr>
        <w:ind w:left="5040" w:hanging="360"/>
      </w:pPr>
      <w:rPr>
        <w:rFonts w:ascii="Symbol" w:hAnsi="Symbol" w:hint="default"/>
      </w:rPr>
    </w:lvl>
    <w:lvl w:ilvl="7" w:tplc="73B2FBE8">
      <w:start w:val="1"/>
      <w:numFmt w:val="bullet"/>
      <w:lvlText w:val="o"/>
      <w:lvlJc w:val="left"/>
      <w:pPr>
        <w:ind w:left="5760" w:hanging="360"/>
      </w:pPr>
      <w:rPr>
        <w:rFonts w:ascii="Courier New" w:hAnsi="Courier New" w:cs="Courier New" w:hint="default"/>
      </w:rPr>
    </w:lvl>
    <w:lvl w:ilvl="8" w:tplc="9F669F9C">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E23D31"/>
    <w:multiLevelType w:val="hybridMultilevel"/>
    <w:tmpl w:val="6772F488"/>
    <w:lvl w:ilvl="0" w:tplc="58E83EE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ABB4C95"/>
    <w:multiLevelType w:val="hybridMultilevel"/>
    <w:tmpl w:val="0D7A76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47509A3"/>
    <w:multiLevelType w:val="hybridMultilevel"/>
    <w:tmpl w:val="16B45ABE"/>
    <w:lvl w:ilvl="0" w:tplc="35B2553C">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76B8424E"/>
    <w:multiLevelType w:val="hybridMultilevel"/>
    <w:tmpl w:val="84D0C572"/>
    <w:lvl w:ilvl="0" w:tplc="6D20EDAA">
      <w:numFmt w:val="bullet"/>
      <w:lvlText w:val="•"/>
      <w:lvlJc w:val="left"/>
      <w:pPr>
        <w:ind w:left="1349" w:hanging="705"/>
      </w:pPr>
      <w:rPr>
        <w:rFonts w:ascii="Verdana" w:eastAsiaTheme="minorHAnsi" w:hAnsi="Verdana" w:cstheme="minorBidi" w:hint="default"/>
      </w:rPr>
    </w:lvl>
    <w:lvl w:ilvl="1" w:tplc="FFFFFFFF">
      <w:start w:val="1"/>
      <w:numFmt w:val="bullet"/>
      <w:lvlText w:val="o"/>
      <w:lvlJc w:val="left"/>
      <w:pPr>
        <w:ind w:left="1724" w:hanging="360"/>
      </w:pPr>
      <w:rPr>
        <w:rFonts w:ascii="Courier New" w:hAnsi="Courier New" w:cs="Courier New" w:hint="default"/>
      </w:rPr>
    </w:lvl>
    <w:lvl w:ilvl="2" w:tplc="FFFFFFFF">
      <w:start w:val="1"/>
      <w:numFmt w:val="bullet"/>
      <w:lvlText w:val=""/>
      <w:lvlJc w:val="left"/>
      <w:pPr>
        <w:ind w:left="2444" w:hanging="360"/>
      </w:pPr>
      <w:rPr>
        <w:rFonts w:ascii="Wingdings" w:hAnsi="Wingdings" w:hint="default"/>
      </w:rPr>
    </w:lvl>
    <w:lvl w:ilvl="3" w:tplc="FFFFFFFF">
      <w:start w:val="1"/>
      <w:numFmt w:val="bullet"/>
      <w:lvlText w:val=""/>
      <w:lvlJc w:val="left"/>
      <w:pPr>
        <w:ind w:left="3164" w:hanging="360"/>
      </w:pPr>
      <w:rPr>
        <w:rFonts w:ascii="Symbol" w:hAnsi="Symbol" w:hint="default"/>
      </w:rPr>
    </w:lvl>
    <w:lvl w:ilvl="4" w:tplc="FFFFFFFF">
      <w:start w:val="1"/>
      <w:numFmt w:val="bullet"/>
      <w:lvlText w:val="o"/>
      <w:lvlJc w:val="left"/>
      <w:pPr>
        <w:ind w:left="3884" w:hanging="360"/>
      </w:pPr>
      <w:rPr>
        <w:rFonts w:ascii="Courier New" w:hAnsi="Courier New" w:cs="Courier New" w:hint="default"/>
      </w:rPr>
    </w:lvl>
    <w:lvl w:ilvl="5" w:tplc="FFFFFFFF">
      <w:start w:val="1"/>
      <w:numFmt w:val="bullet"/>
      <w:lvlText w:val=""/>
      <w:lvlJc w:val="left"/>
      <w:pPr>
        <w:ind w:left="4604" w:hanging="360"/>
      </w:pPr>
      <w:rPr>
        <w:rFonts w:ascii="Wingdings" w:hAnsi="Wingdings" w:hint="default"/>
      </w:rPr>
    </w:lvl>
    <w:lvl w:ilvl="6" w:tplc="FFFFFFFF">
      <w:start w:val="1"/>
      <w:numFmt w:val="bullet"/>
      <w:lvlText w:val=""/>
      <w:lvlJc w:val="left"/>
      <w:pPr>
        <w:ind w:left="5324" w:hanging="360"/>
      </w:pPr>
      <w:rPr>
        <w:rFonts w:ascii="Symbol" w:hAnsi="Symbol" w:hint="default"/>
      </w:rPr>
    </w:lvl>
    <w:lvl w:ilvl="7" w:tplc="FFFFFFFF">
      <w:start w:val="1"/>
      <w:numFmt w:val="bullet"/>
      <w:lvlText w:val="o"/>
      <w:lvlJc w:val="left"/>
      <w:pPr>
        <w:ind w:left="6044" w:hanging="360"/>
      </w:pPr>
      <w:rPr>
        <w:rFonts w:ascii="Courier New" w:hAnsi="Courier New" w:cs="Courier New" w:hint="default"/>
      </w:rPr>
    </w:lvl>
    <w:lvl w:ilvl="8" w:tplc="FFFFFFFF">
      <w:start w:val="1"/>
      <w:numFmt w:val="bullet"/>
      <w:lvlText w:val=""/>
      <w:lvlJc w:val="left"/>
      <w:pPr>
        <w:ind w:left="6764" w:hanging="360"/>
      </w:pPr>
      <w:rPr>
        <w:rFonts w:ascii="Wingdings" w:hAnsi="Wingdings" w:hint="default"/>
      </w:rPr>
    </w:lvl>
  </w:abstractNum>
  <w:num w:numId="1" w16cid:durableId="65105610">
    <w:abstractNumId w:val="10"/>
  </w:num>
  <w:num w:numId="2" w16cid:durableId="159543661">
    <w:abstractNumId w:val="7"/>
  </w:num>
  <w:num w:numId="3" w16cid:durableId="99761078">
    <w:abstractNumId w:val="6"/>
  </w:num>
  <w:num w:numId="4" w16cid:durableId="548300570">
    <w:abstractNumId w:val="5"/>
  </w:num>
  <w:num w:numId="5" w16cid:durableId="430855066">
    <w:abstractNumId w:val="4"/>
  </w:num>
  <w:num w:numId="6" w16cid:durableId="1071191751">
    <w:abstractNumId w:val="8"/>
  </w:num>
  <w:num w:numId="7" w16cid:durableId="1701969956">
    <w:abstractNumId w:val="3"/>
  </w:num>
  <w:num w:numId="8" w16cid:durableId="1767652199">
    <w:abstractNumId w:val="2"/>
  </w:num>
  <w:num w:numId="9" w16cid:durableId="810900863">
    <w:abstractNumId w:val="1"/>
  </w:num>
  <w:num w:numId="10" w16cid:durableId="2115586924">
    <w:abstractNumId w:val="0"/>
  </w:num>
  <w:num w:numId="11" w16cid:durableId="2003001468">
    <w:abstractNumId w:val="9"/>
  </w:num>
  <w:num w:numId="12" w16cid:durableId="855076378">
    <w:abstractNumId w:val="11"/>
  </w:num>
  <w:num w:numId="13" w16cid:durableId="886259774">
    <w:abstractNumId w:val="17"/>
  </w:num>
  <w:num w:numId="14" w16cid:durableId="678852371">
    <w:abstractNumId w:val="13"/>
  </w:num>
  <w:num w:numId="15" w16cid:durableId="1954634872">
    <w:abstractNumId w:val="16"/>
  </w:num>
  <w:num w:numId="16" w16cid:durableId="1751537101">
    <w:abstractNumId w:val="14"/>
  </w:num>
  <w:num w:numId="17" w16cid:durableId="596864558">
    <w:abstractNumId w:val="15"/>
  </w:num>
  <w:num w:numId="18" w16cid:durableId="278999670">
    <w:abstractNumId w:val="21"/>
  </w:num>
  <w:num w:numId="19" w16cid:durableId="685134511">
    <w:abstractNumId w:val="20"/>
  </w:num>
  <w:num w:numId="20" w16cid:durableId="783382445">
    <w:abstractNumId w:val="19"/>
  </w:num>
  <w:num w:numId="21" w16cid:durableId="104347632">
    <w:abstractNumId w:val="18"/>
  </w:num>
  <w:num w:numId="22" w16cid:durableId="56985157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7E5C"/>
    <w:rsid w:val="0001094F"/>
    <w:rsid w:val="00013862"/>
    <w:rsid w:val="00014475"/>
    <w:rsid w:val="00016012"/>
    <w:rsid w:val="00020189"/>
    <w:rsid w:val="00020EE4"/>
    <w:rsid w:val="00020EED"/>
    <w:rsid w:val="00023E9A"/>
    <w:rsid w:val="00025175"/>
    <w:rsid w:val="00025B6E"/>
    <w:rsid w:val="00026A00"/>
    <w:rsid w:val="00026FA9"/>
    <w:rsid w:val="000274E0"/>
    <w:rsid w:val="00030BC0"/>
    <w:rsid w:val="000310F1"/>
    <w:rsid w:val="000319E6"/>
    <w:rsid w:val="00032272"/>
    <w:rsid w:val="00033CDD"/>
    <w:rsid w:val="00034A84"/>
    <w:rsid w:val="00035E67"/>
    <w:rsid w:val="000366F3"/>
    <w:rsid w:val="000426E0"/>
    <w:rsid w:val="000432ED"/>
    <w:rsid w:val="000432F0"/>
    <w:rsid w:val="000462E5"/>
    <w:rsid w:val="00046988"/>
    <w:rsid w:val="0005442A"/>
    <w:rsid w:val="000563BC"/>
    <w:rsid w:val="000576D4"/>
    <w:rsid w:val="0006024D"/>
    <w:rsid w:val="000605AF"/>
    <w:rsid w:val="00065E99"/>
    <w:rsid w:val="00071F28"/>
    <w:rsid w:val="0007278C"/>
    <w:rsid w:val="00074079"/>
    <w:rsid w:val="00081C90"/>
    <w:rsid w:val="00082517"/>
    <w:rsid w:val="00085D9E"/>
    <w:rsid w:val="00086226"/>
    <w:rsid w:val="000864D2"/>
    <w:rsid w:val="00086FA3"/>
    <w:rsid w:val="00091275"/>
    <w:rsid w:val="000926D3"/>
    <w:rsid w:val="00092799"/>
    <w:rsid w:val="00092C5F"/>
    <w:rsid w:val="00094DA4"/>
    <w:rsid w:val="00096680"/>
    <w:rsid w:val="000A074A"/>
    <w:rsid w:val="000A0F36"/>
    <w:rsid w:val="000A174A"/>
    <w:rsid w:val="000A2899"/>
    <w:rsid w:val="000A2BC9"/>
    <w:rsid w:val="000A3DF6"/>
    <w:rsid w:val="000A3E0A"/>
    <w:rsid w:val="000A4056"/>
    <w:rsid w:val="000A65AC"/>
    <w:rsid w:val="000B024B"/>
    <w:rsid w:val="000B1A32"/>
    <w:rsid w:val="000B3350"/>
    <w:rsid w:val="000B4E4C"/>
    <w:rsid w:val="000B4F5B"/>
    <w:rsid w:val="000B69B3"/>
    <w:rsid w:val="000B7281"/>
    <w:rsid w:val="000B7FAB"/>
    <w:rsid w:val="000C0163"/>
    <w:rsid w:val="000C1BA1"/>
    <w:rsid w:val="000C3EA9"/>
    <w:rsid w:val="000C4850"/>
    <w:rsid w:val="000C5E66"/>
    <w:rsid w:val="000C61E0"/>
    <w:rsid w:val="000D0225"/>
    <w:rsid w:val="000D0602"/>
    <w:rsid w:val="000D44A9"/>
    <w:rsid w:val="000D4BCF"/>
    <w:rsid w:val="000D56BA"/>
    <w:rsid w:val="000D5E42"/>
    <w:rsid w:val="000D6CCE"/>
    <w:rsid w:val="000E04FB"/>
    <w:rsid w:val="000E1BF2"/>
    <w:rsid w:val="000E45A7"/>
    <w:rsid w:val="000E553C"/>
    <w:rsid w:val="000E7589"/>
    <w:rsid w:val="000E7895"/>
    <w:rsid w:val="000E7CBA"/>
    <w:rsid w:val="000F161D"/>
    <w:rsid w:val="000F3AA4"/>
    <w:rsid w:val="000F3CAA"/>
    <w:rsid w:val="000F63B4"/>
    <w:rsid w:val="000F769C"/>
    <w:rsid w:val="001033FB"/>
    <w:rsid w:val="00104AD0"/>
    <w:rsid w:val="00106EEA"/>
    <w:rsid w:val="001127DA"/>
    <w:rsid w:val="00112A60"/>
    <w:rsid w:val="0011508F"/>
    <w:rsid w:val="001151FE"/>
    <w:rsid w:val="001219A2"/>
    <w:rsid w:val="00121BF0"/>
    <w:rsid w:val="00123312"/>
    <w:rsid w:val="00123704"/>
    <w:rsid w:val="001270C7"/>
    <w:rsid w:val="0013001D"/>
    <w:rsid w:val="00132540"/>
    <w:rsid w:val="00134015"/>
    <w:rsid w:val="0013467B"/>
    <w:rsid w:val="00135195"/>
    <w:rsid w:val="00135E6E"/>
    <w:rsid w:val="001420D9"/>
    <w:rsid w:val="0014786A"/>
    <w:rsid w:val="001516A4"/>
    <w:rsid w:val="00151D47"/>
    <w:rsid w:val="00151E5F"/>
    <w:rsid w:val="00153E28"/>
    <w:rsid w:val="00154908"/>
    <w:rsid w:val="00154FD2"/>
    <w:rsid w:val="00155834"/>
    <w:rsid w:val="001569AB"/>
    <w:rsid w:val="00160EF0"/>
    <w:rsid w:val="00164D63"/>
    <w:rsid w:val="0016725C"/>
    <w:rsid w:val="001703B3"/>
    <w:rsid w:val="0017148C"/>
    <w:rsid w:val="00171B02"/>
    <w:rsid w:val="001726F3"/>
    <w:rsid w:val="00172A8F"/>
    <w:rsid w:val="00172E99"/>
    <w:rsid w:val="00173C51"/>
    <w:rsid w:val="00174CC2"/>
    <w:rsid w:val="00176CC6"/>
    <w:rsid w:val="001815DC"/>
    <w:rsid w:val="00181BE4"/>
    <w:rsid w:val="00181CA4"/>
    <w:rsid w:val="00183B68"/>
    <w:rsid w:val="00185576"/>
    <w:rsid w:val="00185951"/>
    <w:rsid w:val="0019170A"/>
    <w:rsid w:val="00191714"/>
    <w:rsid w:val="001922AD"/>
    <w:rsid w:val="0019553A"/>
    <w:rsid w:val="00196B8B"/>
    <w:rsid w:val="001A124A"/>
    <w:rsid w:val="001A2BEA"/>
    <w:rsid w:val="001A3585"/>
    <w:rsid w:val="001A3EC4"/>
    <w:rsid w:val="001A6D93"/>
    <w:rsid w:val="001A7B73"/>
    <w:rsid w:val="001A7E8B"/>
    <w:rsid w:val="001B025E"/>
    <w:rsid w:val="001B1502"/>
    <w:rsid w:val="001B27ED"/>
    <w:rsid w:val="001B2E63"/>
    <w:rsid w:val="001B524E"/>
    <w:rsid w:val="001B7BAE"/>
    <w:rsid w:val="001C32EC"/>
    <w:rsid w:val="001C34BB"/>
    <w:rsid w:val="001C3669"/>
    <w:rsid w:val="001C38BD"/>
    <w:rsid w:val="001C4D5A"/>
    <w:rsid w:val="001D2AA8"/>
    <w:rsid w:val="001D315B"/>
    <w:rsid w:val="001D4029"/>
    <w:rsid w:val="001D6948"/>
    <w:rsid w:val="001E25EA"/>
    <w:rsid w:val="001E34C6"/>
    <w:rsid w:val="001E5581"/>
    <w:rsid w:val="001E5794"/>
    <w:rsid w:val="001E5BFD"/>
    <w:rsid w:val="001F3C70"/>
    <w:rsid w:val="001F5432"/>
    <w:rsid w:val="00200D88"/>
    <w:rsid w:val="00201F68"/>
    <w:rsid w:val="00212F2A"/>
    <w:rsid w:val="00212FDA"/>
    <w:rsid w:val="00214F2B"/>
    <w:rsid w:val="002153A3"/>
    <w:rsid w:val="00216F89"/>
    <w:rsid w:val="00217238"/>
    <w:rsid w:val="00217880"/>
    <w:rsid w:val="00217E2A"/>
    <w:rsid w:val="00222D66"/>
    <w:rsid w:val="00224A8A"/>
    <w:rsid w:val="00227B4C"/>
    <w:rsid w:val="00230238"/>
    <w:rsid w:val="002309A8"/>
    <w:rsid w:val="00231909"/>
    <w:rsid w:val="0023210E"/>
    <w:rsid w:val="00233DAB"/>
    <w:rsid w:val="00234714"/>
    <w:rsid w:val="00234A71"/>
    <w:rsid w:val="00236CFE"/>
    <w:rsid w:val="0024169F"/>
    <w:rsid w:val="002428E3"/>
    <w:rsid w:val="00243031"/>
    <w:rsid w:val="002506D5"/>
    <w:rsid w:val="00252F2F"/>
    <w:rsid w:val="00254DD4"/>
    <w:rsid w:val="002566EB"/>
    <w:rsid w:val="002569D9"/>
    <w:rsid w:val="00256D2D"/>
    <w:rsid w:val="002570B4"/>
    <w:rsid w:val="002572A7"/>
    <w:rsid w:val="002573DB"/>
    <w:rsid w:val="00260BAF"/>
    <w:rsid w:val="00260CB3"/>
    <w:rsid w:val="00263AC3"/>
    <w:rsid w:val="002642B8"/>
    <w:rsid w:val="002650F7"/>
    <w:rsid w:val="002702F6"/>
    <w:rsid w:val="00272A7A"/>
    <w:rsid w:val="00273F3B"/>
    <w:rsid w:val="00274B2F"/>
    <w:rsid w:val="00274DB7"/>
    <w:rsid w:val="00275984"/>
    <w:rsid w:val="00275A10"/>
    <w:rsid w:val="00275DDF"/>
    <w:rsid w:val="00280DF9"/>
    <w:rsid w:val="00280F74"/>
    <w:rsid w:val="002822CA"/>
    <w:rsid w:val="00284A9D"/>
    <w:rsid w:val="00285876"/>
    <w:rsid w:val="002859D4"/>
    <w:rsid w:val="00286998"/>
    <w:rsid w:val="0028710D"/>
    <w:rsid w:val="00287119"/>
    <w:rsid w:val="00287FCD"/>
    <w:rsid w:val="00290AC8"/>
    <w:rsid w:val="00290E5E"/>
    <w:rsid w:val="002918B0"/>
    <w:rsid w:val="00291AB7"/>
    <w:rsid w:val="00292EB2"/>
    <w:rsid w:val="0029422B"/>
    <w:rsid w:val="00294E01"/>
    <w:rsid w:val="00296A6D"/>
    <w:rsid w:val="00296CF2"/>
    <w:rsid w:val="002A0938"/>
    <w:rsid w:val="002B153C"/>
    <w:rsid w:val="002B2D0D"/>
    <w:rsid w:val="002B4608"/>
    <w:rsid w:val="002B52FC"/>
    <w:rsid w:val="002B563B"/>
    <w:rsid w:val="002B577D"/>
    <w:rsid w:val="002B7E44"/>
    <w:rsid w:val="002C2830"/>
    <w:rsid w:val="002C3CAD"/>
    <w:rsid w:val="002C4E2C"/>
    <w:rsid w:val="002D001A"/>
    <w:rsid w:val="002D073C"/>
    <w:rsid w:val="002D1B3C"/>
    <w:rsid w:val="002D28E2"/>
    <w:rsid w:val="002D317B"/>
    <w:rsid w:val="002D3587"/>
    <w:rsid w:val="002D35AE"/>
    <w:rsid w:val="002D3C3B"/>
    <w:rsid w:val="002D502D"/>
    <w:rsid w:val="002D64C9"/>
    <w:rsid w:val="002D7A21"/>
    <w:rsid w:val="002E0F69"/>
    <w:rsid w:val="002E10E8"/>
    <w:rsid w:val="002E19CE"/>
    <w:rsid w:val="002E324C"/>
    <w:rsid w:val="002E46D9"/>
    <w:rsid w:val="002E671B"/>
    <w:rsid w:val="002F2DC1"/>
    <w:rsid w:val="002F43D7"/>
    <w:rsid w:val="002F5147"/>
    <w:rsid w:val="002F562A"/>
    <w:rsid w:val="002F7ABD"/>
    <w:rsid w:val="0030029B"/>
    <w:rsid w:val="00301F3A"/>
    <w:rsid w:val="003068AD"/>
    <w:rsid w:val="00306D39"/>
    <w:rsid w:val="00310DDE"/>
    <w:rsid w:val="00312597"/>
    <w:rsid w:val="00312A43"/>
    <w:rsid w:val="00312C8E"/>
    <w:rsid w:val="0031321A"/>
    <w:rsid w:val="003157DC"/>
    <w:rsid w:val="0031709A"/>
    <w:rsid w:val="00317514"/>
    <w:rsid w:val="00317B12"/>
    <w:rsid w:val="00321A80"/>
    <w:rsid w:val="00327BA5"/>
    <w:rsid w:val="00330F6F"/>
    <w:rsid w:val="00331237"/>
    <w:rsid w:val="0033310B"/>
    <w:rsid w:val="0033386C"/>
    <w:rsid w:val="00334154"/>
    <w:rsid w:val="003372C4"/>
    <w:rsid w:val="00340ECA"/>
    <w:rsid w:val="00341FA0"/>
    <w:rsid w:val="00344771"/>
    <w:rsid w:val="00344F3D"/>
    <w:rsid w:val="00345299"/>
    <w:rsid w:val="00351A8D"/>
    <w:rsid w:val="003526BB"/>
    <w:rsid w:val="00352BCF"/>
    <w:rsid w:val="00352DFB"/>
    <w:rsid w:val="00353932"/>
    <w:rsid w:val="0035464B"/>
    <w:rsid w:val="00354928"/>
    <w:rsid w:val="00355FB3"/>
    <w:rsid w:val="00357CEB"/>
    <w:rsid w:val="00361A56"/>
    <w:rsid w:val="0036252A"/>
    <w:rsid w:val="00364D9D"/>
    <w:rsid w:val="0036550B"/>
    <w:rsid w:val="00366054"/>
    <w:rsid w:val="00370ACB"/>
    <w:rsid w:val="00370AE3"/>
    <w:rsid w:val="00371048"/>
    <w:rsid w:val="00371ED4"/>
    <w:rsid w:val="0037396C"/>
    <w:rsid w:val="0037421D"/>
    <w:rsid w:val="00376093"/>
    <w:rsid w:val="00380900"/>
    <w:rsid w:val="00383DA1"/>
    <w:rsid w:val="00385F30"/>
    <w:rsid w:val="0038699F"/>
    <w:rsid w:val="0038781D"/>
    <w:rsid w:val="0039115C"/>
    <w:rsid w:val="00391EBE"/>
    <w:rsid w:val="00392B2E"/>
    <w:rsid w:val="00392E59"/>
    <w:rsid w:val="00393696"/>
    <w:rsid w:val="00393963"/>
    <w:rsid w:val="00394182"/>
    <w:rsid w:val="00395292"/>
    <w:rsid w:val="00395575"/>
    <w:rsid w:val="00395672"/>
    <w:rsid w:val="003A06C8"/>
    <w:rsid w:val="003A0D7C"/>
    <w:rsid w:val="003A19A2"/>
    <w:rsid w:val="003A2A12"/>
    <w:rsid w:val="003A5290"/>
    <w:rsid w:val="003A5B74"/>
    <w:rsid w:val="003A5E04"/>
    <w:rsid w:val="003A6146"/>
    <w:rsid w:val="003B0155"/>
    <w:rsid w:val="003B29F0"/>
    <w:rsid w:val="003B45A8"/>
    <w:rsid w:val="003B4CCC"/>
    <w:rsid w:val="003B5A13"/>
    <w:rsid w:val="003B5DA7"/>
    <w:rsid w:val="003B6B56"/>
    <w:rsid w:val="003B7578"/>
    <w:rsid w:val="003B7A8B"/>
    <w:rsid w:val="003B7EE7"/>
    <w:rsid w:val="003C02D2"/>
    <w:rsid w:val="003C2CCB"/>
    <w:rsid w:val="003C48E0"/>
    <w:rsid w:val="003C5789"/>
    <w:rsid w:val="003C63C7"/>
    <w:rsid w:val="003D02D3"/>
    <w:rsid w:val="003D39EC"/>
    <w:rsid w:val="003D3EB5"/>
    <w:rsid w:val="003D5DED"/>
    <w:rsid w:val="003E3DD5"/>
    <w:rsid w:val="003F07C6"/>
    <w:rsid w:val="003F10B2"/>
    <w:rsid w:val="003F1352"/>
    <w:rsid w:val="003F1F6B"/>
    <w:rsid w:val="003F3757"/>
    <w:rsid w:val="003F38BD"/>
    <w:rsid w:val="003F44B7"/>
    <w:rsid w:val="003F4CA4"/>
    <w:rsid w:val="003F799F"/>
    <w:rsid w:val="004008E9"/>
    <w:rsid w:val="004023B1"/>
    <w:rsid w:val="0040758A"/>
    <w:rsid w:val="00413D48"/>
    <w:rsid w:val="004152A9"/>
    <w:rsid w:val="0041578C"/>
    <w:rsid w:val="004159B1"/>
    <w:rsid w:val="004168C1"/>
    <w:rsid w:val="00416C5D"/>
    <w:rsid w:val="0042014A"/>
    <w:rsid w:val="0042304F"/>
    <w:rsid w:val="00423F9C"/>
    <w:rsid w:val="00425257"/>
    <w:rsid w:val="00426D34"/>
    <w:rsid w:val="00427C78"/>
    <w:rsid w:val="00431FDD"/>
    <w:rsid w:val="00437BE8"/>
    <w:rsid w:val="00441AC2"/>
    <w:rsid w:val="0044249B"/>
    <w:rsid w:val="004444E5"/>
    <w:rsid w:val="00450156"/>
    <w:rsid w:val="0045023C"/>
    <w:rsid w:val="00450343"/>
    <w:rsid w:val="00450952"/>
    <w:rsid w:val="00451A5B"/>
    <w:rsid w:val="004527E9"/>
    <w:rsid w:val="00452BCD"/>
    <w:rsid w:val="00452CEA"/>
    <w:rsid w:val="0045319D"/>
    <w:rsid w:val="0045644C"/>
    <w:rsid w:val="004600DF"/>
    <w:rsid w:val="00462302"/>
    <w:rsid w:val="0046241D"/>
    <w:rsid w:val="0046376A"/>
    <w:rsid w:val="00465B52"/>
    <w:rsid w:val="00466120"/>
    <w:rsid w:val="0046708E"/>
    <w:rsid w:val="004678F0"/>
    <w:rsid w:val="00470BB5"/>
    <w:rsid w:val="00471260"/>
    <w:rsid w:val="00472A65"/>
    <w:rsid w:val="00474463"/>
    <w:rsid w:val="00474B75"/>
    <w:rsid w:val="004762F3"/>
    <w:rsid w:val="00482FAE"/>
    <w:rsid w:val="00483383"/>
    <w:rsid w:val="00483F0B"/>
    <w:rsid w:val="004958AC"/>
    <w:rsid w:val="00496319"/>
    <w:rsid w:val="0049676C"/>
    <w:rsid w:val="00497279"/>
    <w:rsid w:val="004A163B"/>
    <w:rsid w:val="004A1D03"/>
    <w:rsid w:val="004A5FB8"/>
    <w:rsid w:val="004A670A"/>
    <w:rsid w:val="004B2335"/>
    <w:rsid w:val="004B2847"/>
    <w:rsid w:val="004B5465"/>
    <w:rsid w:val="004B70F0"/>
    <w:rsid w:val="004C26BA"/>
    <w:rsid w:val="004C4525"/>
    <w:rsid w:val="004C5744"/>
    <w:rsid w:val="004C5FC8"/>
    <w:rsid w:val="004C5FEE"/>
    <w:rsid w:val="004C6466"/>
    <w:rsid w:val="004C6A4F"/>
    <w:rsid w:val="004C6D9F"/>
    <w:rsid w:val="004D0D8E"/>
    <w:rsid w:val="004D257E"/>
    <w:rsid w:val="004D275D"/>
    <w:rsid w:val="004D278C"/>
    <w:rsid w:val="004D505E"/>
    <w:rsid w:val="004D72CA"/>
    <w:rsid w:val="004E042D"/>
    <w:rsid w:val="004E2242"/>
    <w:rsid w:val="004E4776"/>
    <w:rsid w:val="004E505E"/>
    <w:rsid w:val="004E55B2"/>
    <w:rsid w:val="004E6CEB"/>
    <w:rsid w:val="004F2DAD"/>
    <w:rsid w:val="004F39BE"/>
    <w:rsid w:val="004F42A9"/>
    <w:rsid w:val="004F42FF"/>
    <w:rsid w:val="004F44C2"/>
    <w:rsid w:val="004F5C96"/>
    <w:rsid w:val="00502512"/>
    <w:rsid w:val="00503FD2"/>
    <w:rsid w:val="00505262"/>
    <w:rsid w:val="00506FC3"/>
    <w:rsid w:val="005104F8"/>
    <w:rsid w:val="0051559E"/>
    <w:rsid w:val="00516022"/>
    <w:rsid w:val="00517889"/>
    <w:rsid w:val="00521CEE"/>
    <w:rsid w:val="00524EE0"/>
    <w:rsid w:val="00524FB4"/>
    <w:rsid w:val="005276A1"/>
    <w:rsid w:val="00527BD4"/>
    <w:rsid w:val="00531E7F"/>
    <w:rsid w:val="00532B62"/>
    <w:rsid w:val="00535F6E"/>
    <w:rsid w:val="005364D5"/>
    <w:rsid w:val="00537095"/>
    <w:rsid w:val="005403C8"/>
    <w:rsid w:val="005411DF"/>
    <w:rsid w:val="005429DC"/>
    <w:rsid w:val="005461DA"/>
    <w:rsid w:val="00550FDD"/>
    <w:rsid w:val="00553C5F"/>
    <w:rsid w:val="005553CC"/>
    <w:rsid w:val="00555DD2"/>
    <w:rsid w:val="005565F9"/>
    <w:rsid w:val="005614E8"/>
    <w:rsid w:val="00561F46"/>
    <w:rsid w:val="0056466F"/>
    <w:rsid w:val="005647EB"/>
    <w:rsid w:val="00571019"/>
    <w:rsid w:val="00572774"/>
    <w:rsid w:val="00573041"/>
    <w:rsid w:val="0057357D"/>
    <w:rsid w:val="00573AF9"/>
    <w:rsid w:val="00574081"/>
    <w:rsid w:val="005757D0"/>
    <w:rsid w:val="00575B80"/>
    <w:rsid w:val="0057620F"/>
    <w:rsid w:val="005765D5"/>
    <w:rsid w:val="0057755D"/>
    <w:rsid w:val="00580383"/>
    <w:rsid w:val="00580872"/>
    <w:rsid w:val="005818C9"/>
    <w:rsid w:val="005819CE"/>
    <w:rsid w:val="0058298D"/>
    <w:rsid w:val="00582E56"/>
    <w:rsid w:val="00582FE1"/>
    <w:rsid w:val="00584C1A"/>
    <w:rsid w:val="00590992"/>
    <w:rsid w:val="00593C2B"/>
    <w:rsid w:val="00593C80"/>
    <w:rsid w:val="00595231"/>
    <w:rsid w:val="00596166"/>
    <w:rsid w:val="00596873"/>
    <w:rsid w:val="00597597"/>
    <w:rsid w:val="00597F64"/>
    <w:rsid w:val="005A207F"/>
    <w:rsid w:val="005A2F35"/>
    <w:rsid w:val="005A47AB"/>
    <w:rsid w:val="005A54E1"/>
    <w:rsid w:val="005B08B6"/>
    <w:rsid w:val="005B3814"/>
    <w:rsid w:val="005B463E"/>
    <w:rsid w:val="005C1F9A"/>
    <w:rsid w:val="005C2538"/>
    <w:rsid w:val="005C34E1"/>
    <w:rsid w:val="005C3FE0"/>
    <w:rsid w:val="005C4320"/>
    <w:rsid w:val="005C5934"/>
    <w:rsid w:val="005C740C"/>
    <w:rsid w:val="005D32D1"/>
    <w:rsid w:val="005D4871"/>
    <w:rsid w:val="005D625B"/>
    <w:rsid w:val="005E3EA0"/>
    <w:rsid w:val="005E790D"/>
    <w:rsid w:val="005F0670"/>
    <w:rsid w:val="005F11FC"/>
    <w:rsid w:val="005F12C4"/>
    <w:rsid w:val="005F36DE"/>
    <w:rsid w:val="005F5CB3"/>
    <w:rsid w:val="005F62D3"/>
    <w:rsid w:val="005F6D11"/>
    <w:rsid w:val="005F6F10"/>
    <w:rsid w:val="005F714E"/>
    <w:rsid w:val="00600CF0"/>
    <w:rsid w:val="00603F1A"/>
    <w:rsid w:val="006048F4"/>
    <w:rsid w:val="0060660A"/>
    <w:rsid w:val="00610E53"/>
    <w:rsid w:val="0061261E"/>
    <w:rsid w:val="00613B1D"/>
    <w:rsid w:val="00616305"/>
    <w:rsid w:val="0061641B"/>
    <w:rsid w:val="00617A44"/>
    <w:rsid w:val="00617D88"/>
    <w:rsid w:val="00617EA5"/>
    <w:rsid w:val="006202B6"/>
    <w:rsid w:val="00620BC0"/>
    <w:rsid w:val="00621993"/>
    <w:rsid w:val="00621DEC"/>
    <w:rsid w:val="00622B56"/>
    <w:rsid w:val="00624BAF"/>
    <w:rsid w:val="00624D22"/>
    <w:rsid w:val="00625CD0"/>
    <w:rsid w:val="0062627D"/>
    <w:rsid w:val="006270C7"/>
    <w:rsid w:val="00627432"/>
    <w:rsid w:val="00627F60"/>
    <w:rsid w:val="00630175"/>
    <w:rsid w:val="00630502"/>
    <w:rsid w:val="00630A9F"/>
    <w:rsid w:val="00632DF1"/>
    <w:rsid w:val="006448E4"/>
    <w:rsid w:val="00645414"/>
    <w:rsid w:val="00645AE9"/>
    <w:rsid w:val="006466AD"/>
    <w:rsid w:val="006471BB"/>
    <w:rsid w:val="0065132B"/>
    <w:rsid w:val="00651CEE"/>
    <w:rsid w:val="006522A6"/>
    <w:rsid w:val="00653606"/>
    <w:rsid w:val="00655737"/>
    <w:rsid w:val="006610E9"/>
    <w:rsid w:val="00661591"/>
    <w:rsid w:val="00664678"/>
    <w:rsid w:val="0066632F"/>
    <w:rsid w:val="006679E3"/>
    <w:rsid w:val="00670876"/>
    <w:rsid w:val="00673322"/>
    <w:rsid w:val="00674A89"/>
    <w:rsid w:val="00674F3D"/>
    <w:rsid w:val="006819E0"/>
    <w:rsid w:val="006827AB"/>
    <w:rsid w:val="00682F6B"/>
    <w:rsid w:val="00685545"/>
    <w:rsid w:val="0068620A"/>
    <w:rsid w:val="006864B3"/>
    <w:rsid w:val="006906FB"/>
    <w:rsid w:val="00691116"/>
    <w:rsid w:val="00692D64"/>
    <w:rsid w:val="00693B10"/>
    <w:rsid w:val="006942A8"/>
    <w:rsid w:val="006945ED"/>
    <w:rsid w:val="00694D87"/>
    <w:rsid w:val="00695382"/>
    <w:rsid w:val="0069640C"/>
    <w:rsid w:val="00697E5E"/>
    <w:rsid w:val="006A10F8"/>
    <w:rsid w:val="006A1C63"/>
    <w:rsid w:val="006A2100"/>
    <w:rsid w:val="006A36DE"/>
    <w:rsid w:val="006A5024"/>
    <w:rsid w:val="006A53ED"/>
    <w:rsid w:val="006A5C3B"/>
    <w:rsid w:val="006A72E0"/>
    <w:rsid w:val="006B0BF3"/>
    <w:rsid w:val="006B1561"/>
    <w:rsid w:val="006B17E7"/>
    <w:rsid w:val="006B7170"/>
    <w:rsid w:val="006B775E"/>
    <w:rsid w:val="006B7BC7"/>
    <w:rsid w:val="006B7E83"/>
    <w:rsid w:val="006C2535"/>
    <w:rsid w:val="006C441E"/>
    <w:rsid w:val="006C4B90"/>
    <w:rsid w:val="006D034D"/>
    <w:rsid w:val="006D0B2B"/>
    <w:rsid w:val="006D0BBE"/>
    <w:rsid w:val="006D1016"/>
    <w:rsid w:val="006D1737"/>
    <w:rsid w:val="006D17F2"/>
    <w:rsid w:val="006D1CD2"/>
    <w:rsid w:val="006D24F8"/>
    <w:rsid w:val="006D6720"/>
    <w:rsid w:val="006E03AB"/>
    <w:rsid w:val="006E116A"/>
    <w:rsid w:val="006E12DB"/>
    <w:rsid w:val="006E16C4"/>
    <w:rsid w:val="006E2FC8"/>
    <w:rsid w:val="006E3546"/>
    <w:rsid w:val="006E3D0F"/>
    <w:rsid w:val="006E3FA9"/>
    <w:rsid w:val="006E481F"/>
    <w:rsid w:val="006E7D82"/>
    <w:rsid w:val="006E7E36"/>
    <w:rsid w:val="006F038F"/>
    <w:rsid w:val="006F0F93"/>
    <w:rsid w:val="006F31F2"/>
    <w:rsid w:val="006F7494"/>
    <w:rsid w:val="006F751F"/>
    <w:rsid w:val="006F753F"/>
    <w:rsid w:val="007008C0"/>
    <w:rsid w:val="0070114E"/>
    <w:rsid w:val="007016C9"/>
    <w:rsid w:val="0070258C"/>
    <w:rsid w:val="007025EE"/>
    <w:rsid w:val="0070396F"/>
    <w:rsid w:val="0070512C"/>
    <w:rsid w:val="00707BBA"/>
    <w:rsid w:val="00714DC5"/>
    <w:rsid w:val="00715237"/>
    <w:rsid w:val="00721AE1"/>
    <w:rsid w:val="00721B2B"/>
    <w:rsid w:val="0072311D"/>
    <w:rsid w:val="007254A5"/>
    <w:rsid w:val="00725748"/>
    <w:rsid w:val="00725FBF"/>
    <w:rsid w:val="00727818"/>
    <w:rsid w:val="007305B5"/>
    <w:rsid w:val="007322D6"/>
    <w:rsid w:val="00735528"/>
    <w:rsid w:val="0073562B"/>
    <w:rsid w:val="00735D88"/>
    <w:rsid w:val="0073720D"/>
    <w:rsid w:val="00737507"/>
    <w:rsid w:val="00740712"/>
    <w:rsid w:val="00742AB9"/>
    <w:rsid w:val="00742B87"/>
    <w:rsid w:val="007450B9"/>
    <w:rsid w:val="00745AED"/>
    <w:rsid w:val="0074633E"/>
    <w:rsid w:val="00747661"/>
    <w:rsid w:val="0075070B"/>
    <w:rsid w:val="00751A6A"/>
    <w:rsid w:val="00754FBF"/>
    <w:rsid w:val="007610AA"/>
    <w:rsid w:val="00764202"/>
    <w:rsid w:val="00764777"/>
    <w:rsid w:val="007709EF"/>
    <w:rsid w:val="0077160B"/>
    <w:rsid w:val="00771664"/>
    <w:rsid w:val="00772BA7"/>
    <w:rsid w:val="00773006"/>
    <w:rsid w:val="00775410"/>
    <w:rsid w:val="00780703"/>
    <w:rsid w:val="00780B13"/>
    <w:rsid w:val="00781DCA"/>
    <w:rsid w:val="00782701"/>
    <w:rsid w:val="0078337F"/>
    <w:rsid w:val="00783559"/>
    <w:rsid w:val="0078435A"/>
    <w:rsid w:val="0079040E"/>
    <w:rsid w:val="0079416F"/>
    <w:rsid w:val="0079551B"/>
    <w:rsid w:val="0079649E"/>
    <w:rsid w:val="00797AA5"/>
    <w:rsid w:val="00797CC7"/>
    <w:rsid w:val="007A1FE2"/>
    <w:rsid w:val="007A26BD"/>
    <w:rsid w:val="007A27FF"/>
    <w:rsid w:val="007A40A7"/>
    <w:rsid w:val="007A4105"/>
    <w:rsid w:val="007B01FA"/>
    <w:rsid w:val="007B36B9"/>
    <w:rsid w:val="007B4503"/>
    <w:rsid w:val="007B5942"/>
    <w:rsid w:val="007B7905"/>
    <w:rsid w:val="007C33C2"/>
    <w:rsid w:val="007C386C"/>
    <w:rsid w:val="007C406E"/>
    <w:rsid w:val="007C5183"/>
    <w:rsid w:val="007C53DC"/>
    <w:rsid w:val="007C5A6D"/>
    <w:rsid w:val="007C6453"/>
    <w:rsid w:val="007C69C4"/>
    <w:rsid w:val="007C7573"/>
    <w:rsid w:val="007D0A34"/>
    <w:rsid w:val="007D56FE"/>
    <w:rsid w:val="007E2B20"/>
    <w:rsid w:val="007E4866"/>
    <w:rsid w:val="007E68EC"/>
    <w:rsid w:val="007E6975"/>
    <w:rsid w:val="007F0530"/>
    <w:rsid w:val="007F15CD"/>
    <w:rsid w:val="007F439C"/>
    <w:rsid w:val="007F52E9"/>
    <w:rsid w:val="007F5331"/>
    <w:rsid w:val="007F72A8"/>
    <w:rsid w:val="007F7C9A"/>
    <w:rsid w:val="00800CCA"/>
    <w:rsid w:val="008044BE"/>
    <w:rsid w:val="0080549C"/>
    <w:rsid w:val="00805ECF"/>
    <w:rsid w:val="00806120"/>
    <w:rsid w:val="00806F63"/>
    <w:rsid w:val="00807EEE"/>
    <w:rsid w:val="0081054E"/>
    <w:rsid w:val="00810C93"/>
    <w:rsid w:val="00812028"/>
    <w:rsid w:val="0081234C"/>
    <w:rsid w:val="00812A66"/>
    <w:rsid w:val="00812BB2"/>
    <w:rsid w:val="00812D2A"/>
    <w:rsid w:val="00812DD8"/>
    <w:rsid w:val="00813082"/>
    <w:rsid w:val="00813F51"/>
    <w:rsid w:val="00814344"/>
    <w:rsid w:val="00814D03"/>
    <w:rsid w:val="008157CE"/>
    <w:rsid w:val="00816129"/>
    <w:rsid w:val="00816745"/>
    <w:rsid w:val="008173BC"/>
    <w:rsid w:val="00817C7D"/>
    <w:rsid w:val="00820371"/>
    <w:rsid w:val="00821C36"/>
    <w:rsid w:val="00821FC1"/>
    <w:rsid w:val="008222DD"/>
    <w:rsid w:val="00822626"/>
    <w:rsid w:val="00823AE2"/>
    <w:rsid w:val="0082465B"/>
    <w:rsid w:val="00830BA8"/>
    <w:rsid w:val="0083178B"/>
    <w:rsid w:val="00831EE4"/>
    <w:rsid w:val="008333A6"/>
    <w:rsid w:val="00833695"/>
    <w:rsid w:val="008336B7"/>
    <w:rsid w:val="00833A8E"/>
    <w:rsid w:val="008358CA"/>
    <w:rsid w:val="00836ACA"/>
    <w:rsid w:val="00840AC3"/>
    <w:rsid w:val="00842476"/>
    <w:rsid w:val="00842CD8"/>
    <w:rsid w:val="008431FA"/>
    <w:rsid w:val="00845C2B"/>
    <w:rsid w:val="00846602"/>
    <w:rsid w:val="00846C1C"/>
    <w:rsid w:val="00847444"/>
    <w:rsid w:val="008475BF"/>
    <w:rsid w:val="0085000D"/>
    <w:rsid w:val="00850CB5"/>
    <w:rsid w:val="008517C6"/>
    <w:rsid w:val="00851A97"/>
    <w:rsid w:val="008547BA"/>
    <w:rsid w:val="00854D09"/>
    <w:rsid w:val="008553C7"/>
    <w:rsid w:val="00857FEB"/>
    <w:rsid w:val="008601AF"/>
    <w:rsid w:val="0086207F"/>
    <w:rsid w:val="00863D4E"/>
    <w:rsid w:val="008667DA"/>
    <w:rsid w:val="00866A51"/>
    <w:rsid w:val="00866D8A"/>
    <w:rsid w:val="008676F1"/>
    <w:rsid w:val="00872271"/>
    <w:rsid w:val="008739CE"/>
    <w:rsid w:val="00883137"/>
    <w:rsid w:val="00885BF3"/>
    <w:rsid w:val="00892307"/>
    <w:rsid w:val="00894A3B"/>
    <w:rsid w:val="008A0E63"/>
    <w:rsid w:val="008A1F5D"/>
    <w:rsid w:val="008A27FF"/>
    <w:rsid w:val="008A28F5"/>
    <w:rsid w:val="008B1198"/>
    <w:rsid w:val="008B3471"/>
    <w:rsid w:val="008B3929"/>
    <w:rsid w:val="008B4125"/>
    <w:rsid w:val="008B4505"/>
    <w:rsid w:val="008B4CB3"/>
    <w:rsid w:val="008B567B"/>
    <w:rsid w:val="008B6717"/>
    <w:rsid w:val="008B6A77"/>
    <w:rsid w:val="008B7B24"/>
    <w:rsid w:val="008B7D90"/>
    <w:rsid w:val="008C356D"/>
    <w:rsid w:val="008C3784"/>
    <w:rsid w:val="008C421B"/>
    <w:rsid w:val="008C43DC"/>
    <w:rsid w:val="008C457B"/>
    <w:rsid w:val="008C4DB2"/>
    <w:rsid w:val="008C6CA6"/>
    <w:rsid w:val="008D2F20"/>
    <w:rsid w:val="008D4170"/>
    <w:rsid w:val="008D43B5"/>
    <w:rsid w:val="008D7752"/>
    <w:rsid w:val="008E0B3F"/>
    <w:rsid w:val="008E268C"/>
    <w:rsid w:val="008E3480"/>
    <w:rsid w:val="008E3F2C"/>
    <w:rsid w:val="008E49AD"/>
    <w:rsid w:val="008E4B10"/>
    <w:rsid w:val="008E5598"/>
    <w:rsid w:val="008E698E"/>
    <w:rsid w:val="008F2584"/>
    <w:rsid w:val="008F3246"/>
    <w:rsid w:val="008F3656"/>
    <w:rsid w:val="008F3C1B"/>
    <w:rsid w:val="008F508C"/>
    <w:rsid w:val="008F543E"/>
    <w:rsid w:val="008F58F8"/>
    <w:rsid w:val="0090060A"/>
    <w:rsid w:val="00901B0B"/>
    <w:rsid w:val="0090271B"/>
    <w:rsid w:val="00903E95"/>
    <w:rsid w:val="009044E8"/>
    <w:rsid w:val="00904585"/>
    <w:rsid w:val="0090621E"/>
    <w:rsid w:val="00910642"/>
    <w:rsid w:val="00910C4C"/>
    <w:rsid w:val="00910DDF"/>
    <w:rsid w:val="00911566"/>
    <w:rsid w:val="00913268"/>
    <w:rsid w:val="00914E55"/>
    <w:rsid w:val="009170E7"/>
    <w:rsid w:val="00917377"/>
    <w:rsid w:val="00920347"/>
    <w:rsid w:val="0092266D"/>
    <w:rsid w:val="0092670C"/>
    <w:rsid w:val="00926AE2"/>
    <w:rsid w:val="00930B13"/>
    <w:rsid w:val="009311C8"/>
    <w:rsid w:val="00933376"/>
    <w:rsid w:val="00933558"/>
    <w:rsid w:val="00933A2F"/>
    <w:rsid w:val="0093480E"/>
    <w:rsid w:val="00935552"/>
    <w:rsid w:val="0093576A"/>
    <w:rsid w:val="009378B0"/>
    <w:rsid w:val="009449FD"/>
    <w:rsid w:val="00945535"/>
    <w:rsid w:val="00945B9A"/>
    <w:rsid w:val="00945D5E"/>
    <w:rsid w:val="00946B45"/>
    <w:rsid w:val="00950EC8"/>
    <w:rsid w:val="009516C5"/>
    <w:rsid w:val="00951A09"/>
    <w:rsid w:val="00953ADF"/>
    <w:rsid w:val="00956AD1"/>
    <w:rsid w:val="00956F8A"/>
    <w:rsid w:val="009577B5"/>
    <w:rsid w:val="00964608"/>
    <w:rsid w:val="00964760"/>
    <w:rsid w:val="00967600"/>
    <w:rsid w:val="00967B60"/>
    <w:rsid w:val="00967CE3"/>
    <w:rsid w:val="009716D8"/>
    <w:rsid w:val="009718F9"/>
    <w:rsid w:val="00971F42"/>
    <w:rsid w:val="00972FB9"/>
    <w:rsid w:val="00974301"/>
    <w:rsid w:val="00975112"/>
    <w:rsid w:val="00981768"/>
    <w:rsid w:val="00981B9F"/>
    <w:rsid w:val="00983E8F"/>
    <w:rsid w:val="00984FFE"/>
    <w:rsid w:val="00985E56"/>
    <w:rsid w:val="009876FD"/>
    <w:rsid w:val="0098784C"/>
    <w:rsid w:val="0098788A"/>
    <w:rsid w:val="0099024A"/>
    <w:rsid w:val="00990ED0"/>
    <w:rsid w:val="0099105C"/>
    <w:rsid w:val="0099243B"/>
    <w:rsid w:val="009928D8"/>
    <w:rsid w:val="00994874"/>
    <w:rsid w:val="00994FDA"/>
    <w:rsid w:val="00995371"/>
    <w:rsid w:val="009969F2"/>
    <w:rsid w:val="009A05E4"/>
    <w:rsid w:val="009A0D84"/>
    <w:rsid w:val="009A2686"/>
    <w:rsid w:val="009A31BF"/>
    <w:rsid w:val="009A3B71"/>
    <w:rsid w:val="009A5BE7"/>
    <w:rsid w:val="009A61BC"/>
    <w:rsid w:val="009A621A"/>
    <w:rsid w:val="009A6797"/>
    <w:rsid w:val="009A7F90"/>
    <w:rsid w:val="009B0138"/>
    <w:rsid w:val="009B0FE9"/>
    <w:rsid w:val="009B173A"/>
    <w:rsid w:val="009B3E73"/>
    <w:rsid w:val="009B514A"/>
    <w:rsid w:val="009B6AAF"/>
    <w:rsid w:val="009C3F20"/>
    <w:rsid w:val="009C7C3C"/>
    <w:rsid w:val="009C7CA1"/>
    <w:rsid w:val="009D043D"/>
    <w:rsid w:val="009D0B5A"/>
    <w:rsid w:val="009D20C0"/>
    <w:rsid w:val="009D2876"/>
    <w:rsid w:val="009D2D5B"/>
    <w:rsid w:val="009D3BD7"/>
    <w:rsid w:val="009D4C4A"/>
    <w:rsid w:val="009D61F5"/>
    <w:rsid w:val="009D7A40"/>
    <w:rsid w:val="009D7D53"/>
    <w:rsid w:val="009E107A"/>
    <w:rsid w:val="009E58F7"/>
    <w:rsid w:val="009E6BA3"/>
    <w:rsid w:val="009F291D"/>
    <w:rsid w:val="009F3259"/>
    <w:rsid w:val="009F5735"/>
    <w:rsid w:val="009F71F6"/>
    <w:rsid w:val="009F76C2"/>
    <w:rsid w:val="00A0045A"/>
    <w:rsid w:val="00A005BC"/>
    <w:rsid w:val="00A01A2E"/>
    <w:rsid w:val="00A056DE"/>
    <w:rsid w:val="00A05DD3"/>
    <w:rsid w:val="00A05E00"/>
    <w:rsid w:val="00A065E7"/>
    <w:rsid w:val="00A076C9"/>
    <w:rsid w:val="00A10ED4"/>
    <w:rsid w:val="00A128AD"/>
    <w:rsid w:val="00A13FBD"/>
    <w:rsid w:val="00A147E7"/>
    <w:rsid w:val="00A154C9"/>
    <w:rsid w:val="00A16F9C"/>
    <w:rsid w:val="00A17F9F"/>
    <w:rsid w:val="00A21231"/>
    <w:rsid w:val="00A21E76"/>
    <w:rsid w:val="00A22B5E"/>
    <w:rsid w:val="00A23BC8"/>
    <w:rsid w:val="00A245F8"/>
    <w:rsid w:val="00A2600E"/>
    <w:rsid w:val="00A27CED"/>
    <w:rsid w:val="00A30E68"/>
    <w:rsid w:val="00A318E0"/>
    <w:rsid w:val="00A31933"/>
    <w:rsid w:val="00A329D2"/>
    <w:rsid w:val="00A34AA0"/>
    <w:rsid w:val="00A36032"/>
    <w:rsid w:val="00A37053"/>
    <w:rsid w:val="00A3715C"/>
    <w:rsid w:val="00A41FE2"/>
    <w:rsid w:val="00A42D11"/>
    <w:rsid w:val="00A44FAC"/>
    <w:rsid w:val="00A45E6E"/>
    <w:rsid w:val="00A46B0E"/>
    <w:rsid w:val="00A46E3E"/>
    <w:rsid w:val="00A46FEF"/>
    <w:rsid w:val="00A47948"/>
    <w:rsid w:val="00A50CF6"/>
    <w:rsid w:val="00A521BA"/>
    <w:rsid w:val="00A527EE"/>
    <w:rsid w:val="00A52E1C"/>
    <w:rsid w:val="00A547F4"/>
    <w:rsid w:val="00A56946"/>
    <w:rsid w:val="00A56FEA"/>
    <w:rsid w:val="00A577BA"/>
    <w:rsid w:val="00A6037E"/>
    <w:rsid w:val="00A60EA9"/>
    <w:rsid w:val="00A6170E"/>
    <w:rsid w:val="00A6241A"/>
    <w:rsid w:val="00A63B8C"/>
    <w:rsid w:val="00A63D34"/>
    <w:rsid w:val="00A650E0"/>
    <w:rsid w:val="00A65D28"/>
    <w:rsid w:val="00A67000"/>
    <w:rsid w:val="00A715F8"/>
    <w:rsid w:val="00A77F6F"/>
    <w:rsid w:val="00A80117"/>
    <w:rsid w:val="00A831FD"/>
    <w:rsid w:val="00A83352"/>
    <w:rsid w:val="00A84E25"/>
    <w:rsid w:val="00A850A2"/>
    <w:rsid w:val="00A86528"/>
    <w:rsid w:val="00A867CD"/>
    <w:rsid w:val="00A87493"/>
    <w:rsid w:val="00A909F3"/>
    <w:rsid w:val="00A90B92"/>
    <w:rsid w:val="00A91213"/>
    <w:rsid w:val="00A91FA3"/>
    <w:rsid w:val="00A927D3"/>
    <w:rsid w:val="00A92BEA"/>
    <w:rsid w:val="00A95A0E"/>
    <w:rsid w:val="00A96664"/>
    <w:rsid w:val="00A97170"/>
    <w:rsid w:val="00AA2B47"/>
    <w:rsid w:val="00AA6C3B"/>
    <w:rsid w:val="00AA6DAC"/>
    <w:rsid w:val="00AA7351"/>
    <w:rsid w:val="00AA7EF0"/>
    <w:rsid w:val="00AA7FC9"/>
    <w:rsid w:val="00AB19CC"/>
    <w:rsid w:val="00AB237D"/>
    <w:rsid w:val="00AB2650"/>
    <w:rsid w:val="00AB2CC3"/>
    <w:rsid w:val="00AB2F2A"/>
    <w:rsid w:val="00AB3C96"/>
    <w:rsid w:val="00AB5933"/>
    <w:rsid w:val="00AB61D1"/>
    <w:rsid w:val="00AC19DF"/>
    <w:rsid w:val="00AC2015"/>
    <w:rsid w:val="00AC336F"/>
    <w:rsid w:val="00AC5501"/>
    <w:rsid w:val="00AD331F"/>
    <w:rsid w:val="00AD491E"/>
    <w:rsid w:val="00AD68F7"/>
    <w:rsid w:val="00AD6AB5"/>
    <w:rsid w:val="00AD6EF0"/>
    <w:rsid w:val="00AE013D"/>
    <w:rsid w:val="00AE10DF"/>
    <w:rsid w:val="00AE11B7"/>
    <w:rsid w:val="00AE2B07"/>
    <w:rsid w:val="00AE36C2"/>
    <w:rsid w:val="00AE3CC6"/>
    <w:rsid w:val="00AE75C9"/>
    <w:rsid w:val="00AE7F68"/>
    <w:rsid w:val="00AF0DAD"/>
    <w:rsid w:val="00AF2321"/>
    <w:rsid w:val="00AF52F6"/>
    <w:rsid w:val="00AF54A8"/>
    <w:rsid w:val="00AF7237"/>
    <w:rsid w:val="00B0043A"/>
    <w:rsid w:val="00B00D75"/>
    <w:rsid w:val="00B0366E"/>
    <w:rsid w:val="00B036B1"/>
    <w:rsid w:val="00B04649"/>
    <w:rsid w:val="00B070CB"/>
    <w:rsid w:val="00B12456"/>
    <w:rsid w:val="00B145F0"/>
    <w:rsid w:val="00B21991"/>
    <w:rsid w:val="00B226C8"/>
    <w:rsid w:val="00B259C8"/>
    <w:rsid w:val="00B25CA7"/>
    <w:rsid w:val="00B26CCF"/>
    <w:rsid w:val="00B274CB"/>
    <w:rsid w:val="00B30FC2"/>
    <w:rsid w:val="00B31921"/>
    <w:rsid w:val="00B31F81"/>
    <w:rsid w:val="00B331A2"/>
    <w:rsid w:val="00B3340E"/>
    <w:rsid w:val="00B337F1"/>
    <w:rsid w:val="00B347BD"/>
    <w:rsid w:val="00B35173"/>
    <w:rsid w:val="00B352A0"/>
    <w:rsid w:val="00B36B8D"/>
    <w:rsid w:val="00B4035B"/>
    <w:rsid w:val="00B41ED9"/>
    <w:rsid w:val="00B425F0"/>
    <w:rsid w:val="00B42DFA"/>
    <w:rsid w:val="00B4570F"/>
    <w:rsid w:val="00B47847"/>
    <w:rsid w:val="00B531DD"/>
    <w:rsid w:val="00B55014"/>
    <w:rsid w:val="00B62232"/>
    <w:rsid w:val="00B62404"/>
    <w:rsid w:val="00B66B24"/>
    <w:rsid w:val="00B7000F"/>
    <w:rsid w:val="00B70BF3"/>
    <w:rsid w:val="00B71DC2"/>
    <w:rsid w:val="00B721BC"/>
    <w:rsid w:val="00B80E8A"/>
    <w:rsid w:val="00B81147"/>
    <w:rsid w:val="00B819B2"/>
    <w:rsid w:val="00B824BA"/>
    <w:rsid w:val="00B82A48"/>
    <w:rsid w:val="00B840B5"/>
    <w:rsid w:val="00B84AC8"/>
    <w:rsid w:val="00B90D8C"/>
    <w:rsid w:val="00B91CFC"/>
    <w:rsid w:val="00B93893"/>
    <w:rsid w:val="00B942F2"/>
    <w:rsid w:val="00BA0444"/>
    <w:rsid w:val="00BA1192"/>
    <w:rsid w:val="00BA1397"/>
    <w:rsid w:val="00BA1732"/>
    <w:rsid w:val="00BA3307"/>
    <w:rsid w:val="00BA58D3"/>
    <w:rsid w:val="00BA62DD"/>
    <w:rsid w:val="00BA7E0A"/>
    <w:rsid w:val="00BB06A8"/>
    <w:rsid w:val="00BB1E89"/>
    <w:rsid w:val="00BB60D3"/>
    <w:rsid w:val="00BC0DDD"/>
    <w:rsid w:val="00BC1C1A"/>
    <w:rsid w:val="00BC3ADA"/>
    <w:rsid w:val="00BC3B53"/>
    <w:rsid w:val="00BC3B96"/>
    <w:rsid w:val="00BC4AE3"/>
    <w:rsid w:val="00BC56AF"/>
    <w:rsid w:val="00BC5B28"/>
    <w:rsid w:val="00BD13AA"/>
    <w:rsid w:val="00BD2370"/>
    <w:rsid w:val="00BD3862"/>
    <w:rsid w:val="00BD3F36"/>
    <w:rsid w:val="00BD50BF"/>
    <w:rsid w:val="00BD5181"/>
    <w:rsid w:val="00BD5F3A"/>
    <w:rsid w:val="00BE15A6"/>
    <w:rsid w:val="00BE3F88"/>
    <w:rsid w:val="00BE4037"/>
    <w:rsid w:val="00BE4756"/>
    <w:rsid w:val="00BE5ED9"/>
    <w:rsid w:val="00BE778E"/>
    <w:rsid w:val="00BE7AC6"/>
    <w:rsid w:val="00BE7B41"/>
    <w:rsid w:val="00BE7DD0"/>
    <w:rsid w:val="00BF046A"/>
    <w:rsid w:val="00BF198D"/>
    <w:rsid w:val="00BF4007"/>
    <w:rsid w:val="00BF4215"/>
    <w:rsid w:val="00BF55CF"/>
    <w:rsid w:val="00BF726A"/>
    <w:rsid w:val="00C0294E"/>
    <w:rsid w:val="00C0509D"/>
    <w:rsid w:val="00C05186"/>
    <w:rsid w:val="00C108AC"/>
    <w:rsid w:val="00C158E8"/>
    <w:rsid w:val="00C15A91"/>
    <w:rsid w:val="00C178B2"/>
    <w:rsid w:val="00C206F1"/>
    <w:rsid w:val="00C217E1"/>
    <w:rsid w:val="00C219B1"/>
    <w:rsid w:val="00C2204C"/>
    <w:rsid w:val="00C232FE"/>
    <w:rsid w:val="00C23B52"/>
    <w:rsid w:val="00C25493"/>
    <w:rsid w:val="00C31479"/>
    <w:rsid w:val="00C3254D"/>
    <w:rsid w:val="00C33441"/>
    <w:rsid w:val="00C37826"/>
    <w:rsid w:val="00C4015B"/>
    <w:rsid w:val="00C40268"/>
    <w:rsid w:val="00C40C60"/>
    <w:rsid w:val="00C438C5"/>
    <w:rsid w:val="00C44D32"/>
    <w:rsid w:val="00C5258E"/>
    <w:rsid w:val="00C530C9"/>
    <w:rsid w:val="00C542B0"/>
    <w:rsid w:val="00C54884"/>
    <w:rsid w:val="00C619A7"/>
    <w:rsid w:val="00C66381"/>
    <w:rsid w:val="00C67BC1"/>
    <w:rsid w:val="00C70D3E"/>
    <w:rsid w:val="00C73D5F"/>
    <w:rsid w:val="00C80455"/>
    <w:rsid w:val="00C80959"/>
    <w:rsid w:val="00C8271C"/>
    <w:rsid w:val="00C82AFE"/>
    <w:rsid w:val="00C83C6E"/>
    <w:rsid w:val="00C83DBC"/>
    <w:rsid w:val="00C83EAD"/>
    <w:rsid w:val="00C84772"/>
    <w:rsid w:val="00C84AEA"/>
    <w:rsid w:val="00C851EA"/>
    <w:rsid w:val="00C854BC"/>
    <w:rsid w:val="00C865D5"/>
    <w:rsid w:val="00C86B66"/>
    <w:rsid w:val="00C90326"/>
    <w:rsid w:val="00C92FAC"/>
    <w:rsid w:val="00C9379C"/>
    <w:rsid w:val="00C9407B"/>
    <w:rsid w:val="00C948D3"/>
    <w:rsid w:val="00C96EFE"/>
    <w:rsid w:val="00C97695"/>
    <w:rsid w:val="00C97C80"/>
    <w:rsid w:val="00CA082B"/>
    <w:rsid w:val="00CA1C3F"/>
    <w:rsid w:val="00CA47D3"/>
    <w:rsid w:val="00CA5887"/>
    <w:rsid w:val="00CA5BED"/>
    <w:rsid w:val="00CA6533"/>
    <w:rsid w:val="00CA6A25"/>
    <w:rsid w:val="00CA6A3F"/>
    <w:rsid w:val="00CA7C99"/>
    <w:rsid w:val="00CB2A0A"/>
    <w:rsid w:val="00CB4013"/>
    <w:rsid w:val="00CB45D9"/>
    <w:rsid w:val="00CB6747"/>
    <w:rsid w:val="00CC1157"/>
    <w:rsid w:val="00CC614B"/>
    <w:rsid w:val="00CC6290"/>
    <w:rsid w:val="00CD1570"/>
    <w:rsid w:val="00CD233D"/>
    <w:rsid w:val="00CD2AE5"/>
    <w:rsid w:val="00CD3499"/>
    <w:rsid w:val="00CD3501"/>
    <w:rsid w:val="00CD362D"/>
    <w:rsid w:val="00CD4D05"/>
    <w:rsid w:val="00CD6A06"/>
    <w:rsid w:val="00CD737B"/>
    <w:rsid w:val="00CE0AD6"/>
    <w:rsid w:val="00CE101D"/>
    <w:rsid w:val="00CE1814"/>
    <w:rsid w:val="00CE1A95"/>
    <w:rsid w:val="00CE1C84"/>
    <w:rsid w:val="00CE27DD"/>
    <w:rsid w:val="00CE4F90"/>
    <w:rsid w:val="00CE5055"/>
    <w:rsid w:val="00CE63F7"/>
    <w:rsid w:val="00CE79D3"/>
    <w:rsid w:val="00CE7F11"/>
    <w:rsid w:val="00CF053F"/>
    <w:rsid w:val="00CF1A17"/>
    <w:rsid w:val="00CF342A"/>
    <w:rsid w:val="00CF71AB"/>
    <w:rsid w:val="00D0010A"/>
    <w:rsid w:val="00D02568"/>
    <w:rsid w:val="00D0375A"/>
    <w:rsid w:val="00D05E1A"/>
    <w:rsid w:val="00D0609E"/>
    <w:rsid w:val="00D078E1"/>
    <w:rsid w:val="00D100E9"/>
    <w:rsid w:val="00D149BB"/>
    <w:rsid w:val="00D15779"/>
    <w:rsid w:val="00D1597E"/>
    <w:rsid w:val="00D16980"/>
    <w:rsid w:val="00D178D2"/>
    <w:rsid w:val="00D17942"/>
    <w:rsid w:val="00D21D2B"/>
    <w:rsid w:val="00D21E4B"/>
    <w:rsid w:val="00D22441"/>
    <w:rsid w:val="00D22B25"/>
    <w:rsid w:val="00D23522"/>
    <w:rsid w:val="00D24904"/>
    <w:rsid w:val="00D24FB4"/>
    <w:rsid w:val="00D264D6"/>
    <w:rsid w:val="00D26E96"/>
    <w:rsid w:val="00D31439"/>
    <w:rsid w:val="00D317CD"/>
    <w:rsid w:val="00D31F50"/>
    <w:rsid w:val="00D33BF0"/>
    <w:rsid w:val="00D33DE0"/>
    <w:rsid w:val="00D34290"/>
    <w:rsid w:val="00D34B9C"/>
    <w:rsid w:val="00D34E74"/>
    <w:rsid w:val="00D36447"/>
    <w:rsid w:val="00D427AD"/>
    <w:rsid w:val="00D42DEE"/>
    <w:rsid w:val="00D50C49"/>
    <w:rsid w:val="00D516BE"/>
    <w:rsid w:val="00D5423B"/>
    <w:rsid w:val="00D54705"/>
    <w:rsid w:val="00D54E6A"/>
    <w:rsid w:val="00D54F4E"/>
    <w:rsid w:val="00D57A56"/>
    <w:rsid w:val="00D604B3"/>
    <w:rsid w:val="00D60BA4"/>
    <w:rsid w:val="00D62419"/>
    <w:rsid w:val="00D63C2A"/>
    <w:rsid w:val="00D71182"/>
    <w:rsid w:val="00D73247"/>
    <w:rsid w:val="00D741AC"/>
    <w:rsid w:val="00D77340"/>
    <w:rsid w:val="00D77870"/>
    <w:rsid w:val="00D80977"/>
    <w:rsid w:val="00D80CCE"/>
    <w:rsid w:val="00D85ABB"/>
    <w:rsid w:val="00D86EEA"/>
    <w:rsid w:val="00D87195"/>
    <w:rsid w:val="00D87D03"/>
    <w:rsid w:val="00D9228D"/>
    <w:rsid w:val="00D9260B"/>
    <w:rsid w:val="00D92CE7"/>
    <w:rsid w:val="00D9360B"/>
    <w:rsid w:val="00D9413A"/>
    <w:rsid w:val="00D95C88"/>
    <w:rsid w:val="00D962DC"/>
    <w:rsid w:val="00D96487"/>
    <w:rsid w:val="00D97B2E"/>
    <w:rsid w:val="00DA085F"/>
    <w:rsid w:val="00DA241E"/>
    <w:rsid w:val="00DA419C"/>
    <w:rsid w:val="00DA5E06"/>
    <w:rsid w:val="00DB12B8"/>
    <w:rsid w:val="00DB2C34"/>
    <w:rsid w:val="00DB36FE"/>
    <w:rsid w:val="00DB4A60"/>
    <w:rsid w:val="00DB533A"/>
    <w:rsid w:val="00DB5407"/>
    <w:rsid w:val="00DB60AE"/>
    <w:rsid w:val="00DB618A"/>
    <w:rsid w:val="00DB6307"/>
    <w:rsid w:val="00DB6487"/>
    <w:rsid w:val="00DC1227"/>
    <w:rsid w:val="00DC15C5"/>
    <w:rsid w:val="00DC2ADC"/>
    <w:rsid w:val="00DC42C7"/>
    <w:rsid w:val="00DC4C74"/>
    <w:rsid w:val="00DD1DCD"/>
    <w:rsid w:val="00DD338F"/>
    <w:rsid w:val="00DD53DC"/>
    <w:rsid w:val="00DD545C"/>
    <w:rsid w:val="00DD66F2"/>
    <w:rsid w:val="00DE1D2C"/>
    <w:rsid w:val="00DE3FE0"/>
    <w:rsid w:val="00DE578A"/>
    <w:rsid w:val="00DE5C6F"/>
    <w:rsid w:val="00DE7878"/>
    <w:rsid w:val="00DE7DCE"/>
    <w:rsid w:val="00DF2583"/>
    <w:rsid w:val="00DF32FF"/>
    <w:rsid w:val="00DF54D9"/>
    <w:rsid w:val="00DF5D34"/>
    <w:rsid w:val="00DF6801"/>
    <w:rsid w:val="00DF7283"/>
    <w:rsid w:val="00E0013A"/>
    <w:rsid w:val="00E01A59"/>
    <w:rsid w:val="00E01B96"/>
    <w:rsid w:val="00E038F4"/>
    <w:rsid w:val="00E06EA7"/>
    <w:rsid w:val="00E06F81"/>
    <w:rsid w:val="00E07F80"/>
    <w:rsid w:val="00E10DC6"/>
    <w:rsid w:val="00E11F8E"/>
    <w:rsid w:val="00E132FA"/>
    <w:rsid w:val="00E13375"/>
    <w:rsid w:val="00E15881"/>
    <w:rsid w:val="00E16A8F"/>
    <w:rsid w:val="00E16F01"/>
    <w:rsid w:val="00E208E5"/>
    <w:rsid w:val="00E20B21"/>
    <w:rsid w:val="00E20D91"/>
    <w:rsid w:val="00E2143E"/>
    <w:rsid w:val="00E21725"/>
    <w:rsid w:val="00E21DE3"/>
    <w:rsid w:val="00E273C5"/>
    <w:rsid w:val="00E307D1"/>
    <w:rsid w:val="00E3130F"/>
    <w:rsid w:val="00E315D9"/>
    <w:rsid w:val="00E32D60"/>
    <w:rsid w:val="00E35309"/>
    <w:rsid w:val="00E3731D"/>
    <w:rsid w:val="00E37F94"/>
    <w:rsid w:val="00E4000E"/>
    <w:rsid w:val="00E50E3E"/>
    <w:rsid w:val="00E51469"/>
    <w:rsid w:val="00E52C9D"/>
    <w:rsid w:val="00E56112"/>
    <w:rsid w:val="00E573A1"/>
    <w:rsid w:val="00E57C5F"/>
    <w:rsid w:val="00E61FCE"/>
    <w:rsid w:val="00E62465"/>
    <w:rsid w:val="00E6343A"/>
    <w:rsid w:val="00E634E3"/>
    <w:rsid w:val="00E6581A"/>
    <w:rsid w:val="00E6627A"/>
    <w:rsid w:val="00E70E5E"/>
    <w:rsid w:val="00E717C4"/>
    <w:rsid w:val="00E719B7"/>
    <w:rsid w:val="00E73DDA"/>
    <w:rsid w:val="00E77E18"/>
    <w:rsid w:val="00E77F89"/>
    <w:rsid w:val="00E80330"/>
    <w:rsid w:val="00E806C5"/>
    <w:rsid w:val="00E808E0"/>
    <w:rsid w:val="00E80E71"/>
    <w:rsid w:val="00E811A8"/>
    <w:rsid w:val="00E8240D"/>
    <w:rsid w:val="00E83179"/>
    <w:rsid w:val="00E84416"/>
    <w:rsid w:val="00E850D3"/>
    <w:rsid w:val="00E853D6"/>
    <w:rsid w:val="00E876B9"/>
    <w:rsid w:val="00E9136C"/>
    <w:rsid w:val="00E921D1"/>
    <w:rsid w:val="00E92725"/>
    <w:rsid w:val="00E947EF"/>
    <w:rsid w:val="00EA0F13"/>
    <w:rsid w:val="00EA4280"/>
    <w:rsid w:val="00EA6696"/>
    <w:rsid w:val="00EA7F0B"/>
    <w:rsid w:val="00EB5316"/>
    <w:rsid w:val="00EB62E6"/>
    <w:rsid w:val="00EC0DFF"/>
    <w:rsid w:val="00EC1230"/>
    <w:rsid w:val="00EC139B"/>
    <w:rsid w:val="00EC19AF"/>
    <w:rsid w:val="00EC237D"/>
    <w:rsid w:val="00EC2918"/>
    <w:rsid w:val="00EC4D0E"/>
    <w:rsid w:val="00EC4E2B"/>
    <w:rsid w:val="00EC7C08"/>
    <w:rsid w:val="00ED072A"/>
    <w:rsid w:val="00ED4369"/>
    <w:rsid w:val="00ED44A0"/>
    <w:rsid w:val="00ED539E"/>
    <w:rsid w:val="00ED5895"/>
    <w:rsid w:val="00ED6342"/>
    <w:rsid w:val="00ED70ED"/>
    <w:rsid w:val="00ED7FDA"/>
    <w:rsid w:val="00EE0BC7"/>
    <w:rsid w:val="00EE4A1F"/>
    <w:rsid w:val="00EE4C2D"/>
    <w:rsid w:val="00EE589B"/>
    <w:rsid w:val="00EE71B5"/>
    <w:rsid w:val="00EF073B"/>
    <w:rsid w:val="00EF0FA7"/>
    <w:rsid w:val="00EF1B5A"/>
    <w:rsid w:val="00EF230F"/>
    <w:rsid w:val="00EF24FB"/>
    <w:rsid w:val="00EF2CCA"/>
    <w:rsid w:val="00EF495B"/>
    <w:rsid w:val="00EF60DC"/>
    <w:rsid w:val="00EF6EFE"/>
    <w:rsid w:val="00EF7964"/>
    <w:rsid w:val="00F008FD"/>
    <w:rsid w:val="00F00F54"/>
    <w:rsid w:val="00F01F22"/>
    <w:rsid w:val="00F03484"/>
    <w:rsid w:val="00F03963"/>
    <w:rsid w:val="00F03C59"/>
    <w:rsid w:val="00F0537B"/>
    <w:rsid w:val="00F05888"/>
    <w:rsid w:val="00F11068"/>
    <w:rsid w:val="00F1167D"/>
    <w:rsid w:val="00F120B5"/>
    <w:rsid w:val="00F1256D"/>
    <w:rsid w:val="00F13A4E"/>
    <w:rsid w:val="00F15F6B"/>
    <w:rsid w:val="00F172BB"/>
    <w:rsid w:val="00F17B10"/>
    <w:rsid w:val="00F21BEF"/>
    <w:rsid w:val="00F21FF2"/>
    <w:rsid w:val="00F2315B"/>
    <w:rsid w:val="00F23625"/>
    <w:rsid w:val="00F26F0E"/>
    <w:rsid w:val="00F277BD"/>
    <w:rsid w:val="00F323ED"/>
    <w:rsid w:val="00F36615"/>
    <w:rsid w:val="00F3686E"/>
    <w:rsid w:val="00F41A6F"/>
    <w:rsid w:val="00F43760"/>
    <w:rsid w:val="00F45A25"/>
    <w:rsid w:val="00F46511"/>
    <w:rsid w:val="00F473C2"/>
    <w:rsid w:val="00F50F86"/>
    <w:rsid w:val="00F51191"/>
    <w:rsid w:val="00F53AEB"/>
    <w:rsid w:val="00F53F91"/>
    <w:rsid w:val="00F55BC9"/>
    <w:rsid w:val="00F56AE9"/>
    <w:rsid w:val="00F61569"/>
    <w:rsid w:val="00F61A72"/>
    <w:rsid w:val="00F62B67"/>
    <w:rsid w:val="00F66F13"/>
    <w:rsid w:val="00F71F1A"/>
    <w:rsid w:val="00F71F3C"/>
    <w:rsid w:val="00F7269D"/>
    <w:rsid w:val="00F74073"/>
    <w:rsid w:val="00F748E6"/>
    <w:rsid w:val="00F75603"/>
    <w:rsid w:val="00F75BC5"/>
    <w:rsid w:val="00F75F28"/>
    <w:rsid w:val="00F812F9"/>
    <w:rsid w:val="00F81CD7"/>
    <w:rsid w:val="00F82088"/>
    <w:rsid w:val="00F8367B"/>
    <w:rsid w:val="00F83F67"/>
    <w:rsid w:val="00F845B4"/>
    <w:rsid w:val="00F85424"/>
    <w:rsid w:val="00F87085"/>
    <w:rsid w:val="00F8713B"/>
    <w:rsid w:val="00F87CEC"/>
    <w:rsid w:val="00F9004E"/>
    <w:rsid w:val="00F90877"/>
    <w:rsid w:val="00F92E8A"/>
    <w:rsid w:val="00F93F9E"/>
    <w:rsid w:val="00F9493B"/>
    <w:rsid w:val="00F94F54"/>
    <w:rsid w:val="00F95F7E"/>
    <w:rsid w:val="00FA23B9"/>
    <w:rsid w:val="00FA2CD7"/>
    <w:rsid w:val="00FA3F4A"/>
    <w:rsid w:val="00FA4A44"/>
    <w:rsid w:val="00FB04C7"/>
    <w:rsid w:val="00FB06ED"/>
    <w:rsid w:val="00FB2E6F"/>
    <w:rsid w:val="00FB63E4"/>
    <w:rsid w:val="00FB73FF"/>
    <w:rsid w:val="00FC1065"/>
    <w:rsid w:val="00FC2311"/>
    <w:rsid w:val="00FC3165"/>
    <w:rsid w:val="00FC36AB"/>
    <w:rsid w:val="00FC4300"/>
    <w:rsid w:val="00FC6068"/>
    <w:rsid w:val="00FC715D"/>
    <w:rsid w:val="00FC7F66"/>
    <w:rsid w:val="00FD0334"/>
    <w:rsid w:val="00FD2984"/>
    <w:rsid w:val="00FD31AC"/>
    <w:rsid w:val="00FD43F7"/>
    <w:rsid w:val="00FD5776"/>
    <w:rsid w:val="00FD5A4F"/>
    <w:rsid w:val="00FD5D31"/>
    <w:rsid w:val="00FD60C4"/>
    <w:rsid w:val="00FE1CB6"/>
    <w:rsid w:val="00FE486B"/>
    <w:rsid w:val="00FE4F08"/>
    <w:rsid w:val="00FE59F8"/>
    <w:rsid w:val="00FE5C2B"/>
    <w:rsid w:val="00FE6061"/>
    <w:rsid w:val="00FF0DA7"/>
    <w:rsid w:val="00FF192E"/>
    <w:rsid w:val="00FF4019"/>
    <w:rsid w:val="00FF4B93"/>
    <w:rsid w:val="00FF7EEA"/>
    <w:rsid w:val="2E152DC7"/>
    <w:rsid w:val="3A0BF71E"/>
    <w:rsid w:val="3DAFF33D"/>
    <w:rsid w:val="474C2232"/>
    <w:rsid w:val="4C8CB027"/>
    <w:rsid w:val="561729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7327E"/>
  <w15:docId w15:val="{2B15D424-2B14-4DA4-9649-30DF518DE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F56AE9"/>
    <w:pPr>
      <w:ind w:left="720"/>
      <w:contextualSpacing/>
    </w:pPr>
  </w:style>
  <w:style w:type="character" w:styleId="Voetnootmarkering">
    <w:name w:val="footnote reference"/>
    <w:basedOn w:val="Standaardalinea-lettertype"/>
    <w:semiHidden/>
    <w:unhideWhenUsed/>
    <w:rsid w:val="007D0A34"/>
    <w:rPr>
      <w:vertAlign w:val="superscript"/>
    </w:rPr>
  </w:style>
  <w:style w:type="paragraph" w:styleId="Onderwerpvanopmerking">
    <w:name w:val="annotation subject"/>
    <w:basedOn w:val="Tekstopmerking"/>
    <w:next w:val="Tekstopmerking"/>
    <w:link w:val="OnderwerpvanopmerkingChar"/>
    <w:semiHidden/>
    <w:unhideWhenUsed/>
    <w:rsid w:val="00BD3862"/>
    <w:rPr>
      <w:b/>
      <w:bCs/>
    </w:rPr>
  </w:style>
  <w:style w:type="character" w:customStyle="1" w:styleId="OnderwerpvanopmerkingChar">
    <w:name w:val="Onderwerp van opmerking Char"/>
    <w:basedOn w:val="TekstopmerkingChar"/>
    <w:link w:val="Onderwerpvanopmerking"/>
    <w:semiHidden/>
    <w:rsid w:val="00BD3862"/>
    <w:rPr>
      <w:rFonts w:ascii="Verdana" w:hAnsi="Verdana"/>
      <w:b/>
      <w:bCs/>
      <w:lang w:val="nl-NL" w:eastAsia="nl-NL"/>
    </w:rPr>
  </w:style>
  <w:style w:type="paragraph" w:styleId="Revisie">
    <w:name w:val="Revision"/>
    <w:hidden/>
    <w:uiPriority w:val="99"/>
    <w:semiHidden/>
    <w:rsid w:val="00450952"/>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5D4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959651">
      <w:bodyDiv w:val="1"/>
      <w:marLeft w:val="0"/>
      <w:marRight w:val="0"/>
      <w:marTop w:val="0"/>
      <w:marBottom w:val="0"/>
      <w:divBdr>
        <w:top w:val="none" w:sz="0" w:space="0" w:color="auto"/>
        <w:left w:val="none" w:sz="0" w:space="0" w:color="auto"/>
        <w:bottom w:val="none" w:sz="0" w:space="0" w:color="auto"/>
        <w:right w:val="none" w:sz="0" w:space="0" w:color="auto"/>
      </w:divBdr>
    </w:div>
    <w:div w:id="1528715003">
      <w:bodyDiv w:val="1"/>
      <w:marLeft w:val="0"/>
      <w:marRight w:val="0"/>
      <w:marTop w:val="0"/>
      <w:marBottom w:val="0"/>
      <w:divBdr>
        <w:top w:val="none" w:sz="0" w:space="0" w:color="auto"/>
        <w:left w:val="none" w:sz="0" w:space="0" w:color="auto"/>
        <w:bottom w:val="none" w:sz="0" w:space="0" w:color="auto"/>
        <w:right w:val="none" w:sz="0" w:space="0" w:color="auto"/>
      </w:divBdr>
    </w:div>
    <w:div w:id="1771386616">
      <w:bodyDiv w:val="1"/>
      <w:marLeft w:val="0"/>
      <w:marRight w:val="0"/>
      <w:marTop w:val="0"/>
      <w:marBottom w:val="0"/>
      <w:divBdr>
        <w:top w:val="none" w:sz="0" w:space="0" w:color="auto"/>
        <w:left w:val="none" w:sz="0" w:space="0" w:color="auto"/>
        <w:bottom w:val="none" w:sz="0" w:space="0" w:color="auto"/>
        <w:right w:val="none" w:sz="0" w:space="0" w:color="auto"/>
      </w:divBdr>
    </w:div>
    <w:div w:id="1780222376">
      <w:bodyDiv w:val="1"/>
      <w:marLeft w:val="0"/>
      <w:marRight w:val="0"/>
      <w:marTop w:val="0"/>
      <w:marBottom w:val="0"/>
      <w:divBdr>
        <w:top w:val="none" w:sz="0" w:space="0" w:color="auto"/>
        <w:left w:val="none" w:sz="0" w:space="0" w:color="auto"/>
        <w:bottom w:val="none" w:sz="0" w:space="0" w:color="auto"/>
        <w:right w:val="none" w:sz="0" w:space="0" w:color="auto"/>
      </w:divBdr>
    </w:div>
    <w:div w:id="1994331205">
      <w:bodyDiv w:val="1"/>
      <w:marLeft w:val="0"/>
      <w:marRight w:val="0"/>
      <w:marTop w:val="0"/>
      <w:marBottom w:val="0"/>
      <w:divBdr>
        <w:top w:val="none" w:sz="0" w:space="0" w:color="auto"/>
        <w:left w:val="none" w:sz="0" w:space="0" w:color="auto"/>
        <w:bottom w:val="none" w:sz="0" w:space="0" w:color="auto"/>
        <w:right w:val="none" w:sz="0" w:space="0" w:color="auto"/>
      </w:divBdr>
    </w:div>
    <w:div w:id="214165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2440</ap:Words>
  <ap:Characters>13424</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2009-07-01T23:30:00.0000000Z</lastPrinted>
  <dcterms:created xsi:type="dcterms:W3CDTF">2025-01-14T12:40:00.0000000Z</dcterms:created>
  <dcterms:modified xsi:type="dcterms:W3CDTF">2025-01-14T12:40:00.0000000Z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groenewouty</vt:lpwstr>
  </property>
  <property fmtid="{D5CDD505-2E9C-101B-9397-08002B2CF9AE}" pid="3" name="AUTHOR_ID">
    <vt:lpwstr>groenewouty</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ClassificationContentMarkingFooterFontProps">
    <vt:lpwstr>#000000,10,Calibri</vt:lpwstr>
  </property>
  <property fmtid="{D5CDD505-2E9C-101B-9397-08002B2CF9AE}" pid="8" name="ClassificationContentMarkingFooterShapeIds">
    <vt:lpwstr>2ca33,2ca5e,2ca89</vt:lpwstr>
  </property>
  <property fmtid="{D5CDD505-2E9C-101B-9397-08002B2CF9AE}" pid="9" name="ClassificationContentMarkingFooterText">
    <vt:lpwstr>Intern gebruik</vt:lpwstr>
  </property>
  <property fmtid="{D5CDD505-2E9C-101B-9397-08002B2CF9AE}" pid="10" name="DOCNAME">
    <vt:lpwstr>Stand van zaken gasmarkt en vulgraden</vt:lpwstr>
  </property>
  <property fmtid="{D5CDD505-2E9C-101B-9397-08002B2CF9AE}" pid="11" name="documentId">
    <vt:lpwstr>documentId</vt:lpwstr>
  </property>
  <property fmtid="{D5CDD505-2E9C-101B-9397-08002B2CF9AE}" pid="12" name="Header">
    <vt:lpwstr>Commissiebrief - KGG</vt:lpwstr>
  </property>
  <property fmtid="{D5CDD505-2E9C-101B-9397-08002B2CF9AE}" pid="13" name="HeaderId">
    <vt:lpwstr>DBA75FCCC3C9419C82A058AFA4F3A859</vt:lpwstr>
  </property>
  <property fmtid="{D5CDD505-2E9C-101B-9397-08002B2CF9AE}" pid="14" name="Template">
    <vt:lpwstr>Commissiebrief - KGG</vt:lpwstr>
  </property>
  <property fmtid="{D5CDD505-2E9C-101B-9397-08002B2CF9AE}" pid="15" name="TemplateId">
    <vt:lpwstr>4896A579363C4C75BA4B2749DBA7396E</vt:lpwstr>
  </property>
  <property fmtid="{D5CDD505-2E9C-101B-9397-08002B2CF9AE}" pid="16" name="TYPE_ID">
    <vt:lpwstr>Brief</vt:lpwstr>
  </property>
  <property fmtid="{D5CDD505-2E9C-101B-9397-08002B2CF9AE}" pid="17" name="Typist">
    <vt:lpwstr>groenewouty</vt:lpwstr>
  </property>
  <property fmtid="{D5CDD505-2E9C-101B-9397-08002B2CF9AE}" pid="18" name="ContentTypeId">
    <vt:lpwstr>0x0101006C10984634D504478580DFAC5DEB7DEA</vt:lpwstr>
  </property>
</Properties>
</file>