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2502" w:rsidRDefault="00302502" w14:paraId="5529A6C1" w14:textId="77777777"/>
    <w:p w:rsidR="00302502" w:rsidRDefault="00D91F31" w14:paraId="39EF1DFE" w14:textId="77777777">
      <w:pPr>
        <w:rPr>
          <w:b/>
          <w:sz w:val="24"/>
          <w:szCs w:val="24"/>
        </w:rPr>
      </w:pPr>
      <w:r w:rsidRPr="00D91F31">
        <w:rPr>
          <w:b/>
          <w:sz w:val="24"/>
          <w:szCs w:val="24"/>
        </w:rPr>
        <w:t>De Staatssecretaris van Sociale Zaken en Werkgelegenheid</w:t>
      </w:r>
      <w:r>
        <w:rPr>
          <w:b/>
          <w:sz w:val="24"/>
          <w:szCs w:val="24"/>
        </w:rPr>
        <w:t>,</w:t>
      </w:r>
    </w:p>
    <w:p w:rsidR="00D91F31" w:rsidRDefault="00D91F31" w14:paraId="255E77FC" w14:textId="77777777"/>
    <w:p w:rsidR="006F7312" w:rsidP="006F7312" w:rsidRDefault="006F7312" w14:paraId="342DC8CD" w14:textId="77777777">
      <w:r>
        <w:t xml:space="preserve">Gelet op </w:t>
      </w:r>
      <w:r w:rsidR="00AC0FFA">
        <w:t xml:space="preserve">de </w:t>
      </w:r>
      <w:r>
        <w:t>artikel</w:t>
      </w:r>
      <w:r w:rsidR="00AC0FFA">
        <w:t>en</w:t>
      </w:r>
      <w:r>
        <w:t xml:space="preserve"> 3 en 5 van de Kaderwet SZW-subsidies;</w:t>
      </w:r>
    </w:p>
    <w:p w:rsidR="00302502" w:rsidRDefault="00302502" w14:paraId="5B7D3A89" w14:textId="77777777"/>
    <w:p w:rsidR="00302502" w:rsidRDefault="00993002" w14:paraId="6E3B8058" w14:textId="77777777">
      <w:pPr>
        <w:pStyle w:val="Titel"/>
      </w:pPr>
      <w:r>
        <w:t>Besluit:</w:t>
      </w:r>
    </w:p>
    <w:p w:rsidR="002F122A" w:rsidP="002F122A" w:rsidRDefault="002F122A" w14:paraId="7BB7A35B" w14:textId="77777777">
      <w:pPr>
        <w:rPr>
          <w:b/>
          <w:bCs/>
        </w:rPr>
      </w:pPr>
    </w:p>
    <w:p w:rsidRPr="00DC0D9A" w:rsidR="00AC0FFA" w:rsidP="002F122A" w:rsidRDefault="00AC0FFA" w14:paraId="4F02CFC5" w14:textId="77777777">
      <w:pPr>
        <w:rPr>
          <w:b/>
          <w:bCs/>
        </w:rPr>
      </w:pPr>
      <w:r w:rsidRPr="00DC0D9A">
        <w:rPr>
          <w:b/>
          <w:bCs/>
        </w:rPr>
        <w:t>ARTIKEL I</w:t>
      </w:r>
    </w:p>
    <w:p w:rsidR="00AC0FFA" w:rsidP="002F122A" w:rsidRDefault="00AC0FFA" w14:paraId="39E9A031" w14:textId="77777777"/>
    <w:p w:rsidR="002F122A" w:rsidP="002F122A" w:rsidRDefault="002F122A" w14:paraId="52B359A8" w14:textId="77777777">
      <w:pPr>
        <w:rPr>
          <w:b/>
          <w:bCs/>
        </w:rPr>
      </w:pPr>
      <w:r>
        <w:t>De</w:t>
      </w:r>
      <w:r>
        <w:rPr>
          <w:b/>
          <w:bCs/>
        </w:rPr>
        <w:t xml:space="preserve"> </w:t>
      </w:r>
      <w:r w:rsidR="00AC0FFA">
        <w:t>S</w:t>
      </w:r>
      <w:r>
        <w:t xml:space="preserve">ubsidieregeling financiële educatie voor </w:t>
      </w:r>
      <w:r w:rsidR="00937AD6">
        <w:t>onderwijsinstellingen</w:t>
      </w:r>
      <w:r>
        <w:t xml:space="preserve"> wordt als volgt gewijzigd: </w:t>
      </w:r>
    </w:p>
    <w:p w:rsidR="002F122A" w:rsidP="002F122A" w:rsidRDefault="002F122A" w14:paraId="45836469" w14:textId="77777777">
      <w:pPr>
        <w:rPr>
          <w:b/>
          <w:bCs/>
        </w:rPr>
      </w:pPr>
    </w:p>
    <w:p w:rsidRPr="002F122A" w:rsidR="002F122A" w:rsidP="002F122A" w:rsidRDefault="002F122A" w14:paraId="5CAFFCF0" w14:textId="77777777">
      <w:r w:rsidRPr="002F122A">
        <w:t>A</w:t>
      </w:r>
    </w:p>
    <w:p w:rsidR="002F122A" w:rsidP="002F122A" w:rsidRDefault="002F122A" w14:paraId="6687797F" w14:textId="77777777"/>
    <w:p w:rsidR="002F122A" w:rsidP="002F122A" w:rsidRDefault="002F122A" w14:paraId="764CF611" w14:textId="77777777">
      <w:r>
        <w:t>In artikel 7, derde lid</w:t>
      </w:r>
      <w:r w:rsidR="002642BF">
        <w:t>, aanhef</w:t>
      </w:r>
      <w:r w:rsidR="00AC0FFA">
        <w:t>,</w:t>
      </w:r>
      <w:r w:rsidR="002642BF">
        <w:t xml:space="preserve"> </w:t>
      </w:r>
      <w:r>
        <w:t>wordt “onderdeel c” vervangen door “onderdeel b”.</w:t>
      </w:r>
    </w:p>
    <w:p w:rsidRPr="002F122A" w:rsidR="002F122A" w:rsidP="002F122A" w:rsidRDefault="002F122A" w14:paraId="0188F0D3" w14:textId="77777777"/>
    <w:p w:rsidRPr="002F122A" w:rsidR="002F122A" w:rsidP="002F122A" w:rsidRDefault="002F122A" w14:paraId="7D8B91DC" w14:textId="77777777">
      <w:r w:rsidRPr="002F122A">
        <w:t>B</w:t>
      </w:r>
    </w:p>
    <w:p w:rsidR="002F122A" w:rsidP="002F122A" w:rsidRDefault="002F122A" w14:paraId="6E67A280" w14:textId="77777777">
      <w:pPr>
        <w:rPr>
          <w:b/>
          <w:bCs/>
        </w:rPr>
      </w:pPr>
    </w:p>
    <w:p w:rsidR="002F122A" w:rsidP="002F122A" w:rsidRDefault="002F122A" w14:paraId="18D1FE5D" w14:textId="77777777">
      <w:r>
        <w:t xml:space="preserve">Artikel 15 wordt als volgt gewijzigd: </w:t>
      </w:r>
    </w:p>
    <w:p w:rsidR="002F122A" w:rsidP="002F122A" w:rsidRDefault="002F122A" w14:paraId="4B1804FC" w14:textId="77777777"/>
    <w:p w:rsidR="002F122A" w:rsidP="002F122A" w:rsidRDefault="002F122A" w14:paraId="73841129" w14:textId="77777777">
      <w:pPr>
        <w:rPr>
          <w:rFonts w:cs="Arial"/>
          <w:shd w:val="clear" w:color="auto" w:fill="FFFFFF"/>
        </w:rPr>
      </w:pPr>
      <w:r>
        <w:t>1. In het eerste lid, wordt “17 oktober 202</w:t>
      </w:r>
      <w:r w:rsidR="00AC0FFA">
        <w:t>6</w:t>
      </w:r>
      <w:r>
        <w:t>” vervangen door “</w:t>
      </w:r>
      <w:r w:rsidR="006F7312">
        <w:t>1</w:t>
      </w:r>
      <w:r w:rsidR="00DC0D9A">
        <w:t>7</w:t>
      </w:r>
      <w:r w:rsidR="006F7312">
        <w:t xml:space="preserve"> </w:t>
      </w:r>
      <w:r w:rsidR="00DC0D9A">
        <w:t xml:space="preserve">oktober </w:t>
      </w:r>
      <w:r w:rsidR="006F7312">
        <w:t>202</w:t>
      </w:r>
      <w:r w:rsidR="00DC0D9A">
        <w:t>8</w:t>
      </w:r>
      <w:r>
        <w:rPr>
          <w:rFonts w:cs="Arial"/>
          <w:shd w:val="clear" w:color="auto" w:fill="FFFFFF"/>
        </w:rPr>
        <w:t>.</w:t>
      </w:r>
    </w:p>
    <w:p w:rsidR="002F122A" w:rsidP="002F122A" w:rsidRDefault="002F122A" w14:paraId="2C933507" w14:textId="77777777">
      <w:pPr>
        <w:rPr>
          <w:rFonts w:cs="Arial"/>
          <w:color w:val="auto"/>
          <w:shd w:val="clear" w:color="auto" w:fill="FFFFFF"/>
        </w:rPr>
      </w:pPr>
      <w:r>
        <w:rPr>
          <w:rFonts w:cs="Arial"/>
          <w:shd w:val="clear" w:color="auto" w:fill="FFFFFF"/>
        </w:rPr>
        <w:t>2. In het tweede lid, wordt “16 oktober 202</w:t>
      </w:r>
      <w:r w:rsidR="00AC0FFA">
        <w:rPr>
          <w:rFonts w:cs="Arial"/>
          <w:shd w:val="clear" w:color="auto" w:fill="FFFFFF"/>
        </w:rPr>
        <w:t>6</w:t>
      </w:r>
      <w:r>
        <w:rPr>
          <w:rFonts w:cs="Arial"/>
          <w:shd w:val="clear" w:color="auto" w:fill="FFFFFF"/>
        </w:rPr>
        <w:t>” vervangen door “</w:t>
      </w:r>
      <w:r w:rsidR="006F7312">
        <w:rPr>
          <w:rFonts w:cs="Arial"/>
          <w:shd w:val="clear" w:color="auto" w:fill="FFFFFF"/>
        </w:rPr>
        <w:t>1</w:t>
      </w:r>
      <w:r w:rsidR="00DC0D9A">
        <w:rPr>
          <w:rFonts w:cs="Arial"/>
          <w:shd w:val="clear" w:color="auto" w:fill="FFFFFF"/>
        </w:rPr>
        <w:t>6</w:t>
      </w:r>
      <w:r w:rsidR="006F7312">
        <w:rPr>
          <w:rFonts w:cs="Arial"/>
          <w:shd w:val="clear" w:color="auto" w:fill="FFFFFF"/>
        </w:rPr>
        <w:t xml:space="preserve"> </w:t>
      </w:r>
      <w:r w:rsidR="00DC0D9A">
        <w:rPr>
          <w:rFonts w:cs="Arial"/>
          <w:shd w:val="clear" w:color="auto" w:fill="FFFFFF"/>
        </w:rPr>
        <w:t xml:space="preserve">oktober </w:t>
      </w:r>
      <w:r w:rsidR="006F7312">
        <w:rPr>
          <w:rFonts w:cs="Arial"/>
          <w:shd w:val="clear" w:color="auto" w:fill="FFFFFF"/>
        </w:rPr>
        <w:t>202</w:t>
      </w:r>
      <w:r w:rsidR="00DC0D9A">
        <w:rPr>
          <w:rFonts w:cs="Arial"/>
          <w:shd w:val="clear" w:color="auto" w:fill="FFFFFF"/>
        </w:rPr>
        <w:t>8</w:t>
      </w:r>
      <w:r w:rsidR="006F7312">
        <w:rPr>
          <w:rFonts w:cs="Arial"/>
          <w:shd w:val="clear" w:color="auto" w:fill="FFFFFF"/>
        </w:rPr>
        <w:t>”</w:t>
      </w:r>
      <w:r>
        <w:rPr>
          <w:rFonts w:cs="Arial"/>
          <w:shd w:val="clear" w:color="auto" w:fill="FFFFFF"/>
        </w:rPr>
        <w:t>.</w:t>
      </w:r>
    </w:p>
    <w:p w:rsidR="002F122A" w:rsidP="002F122A" w:rsidRDefault="002F122A" w14:paraId="26660D02" w14:textId="77777777">
      <w:pPr>
        <w:spacing w:line="240" w:lineRule="auto"/>
        <w:rPr>
          <w:kern w:val="2"/>
          <w:sz w:val="20"/>
          <w:szCs w:val="20"/>
          <w14:ligatures w14:val="standardContextual"/>
        </w:rPr>
      </w:pPr>
    </w:p>
    <w:p w:rsidR="002F122A" w:rsidP="002F122A" w:rsidRDefault="002F122A" w14:paraId="340DD9CC" w14:textId="77777777">
      <w:pPr>
        <w:rPr>
          <w:b/>
          <w:bCs/>
        </w:rPr>
      </w:pPr>
      <w:r>
        <w:rPr>
          <w:b/>
          <w:bCs/>
        </w:rPr>
        <w:t xml:space="preserve">ARTIKEL II </w:t>
      </w:r>
    </w:p>
    <w:p w:rsidR="002F122A" w:rsidP="002F122A" w:rsidRDefault="002F122A" w14:paraId="1269394F" w14:textId="77777777">
      <w:pPr>
        <w:rPr>
          <w:b/>
          <w:bCs/>
        </w:rPr>
      </w:pPr>
    </w:p>
    <w:p w:rsidR="002F122A" w:rsidP="002F122A" w:rsidRDefault="002F122A" w14:paraId="69C84923" w14:textId="77777777">
      <w:r>
        <w:t>Deze regeling treedt in werking met ingang van de dag na de datum van uitgifte van de Staatscourant waarin zij wordt geplaatst</w:t>
      </w:r>
      <w:r w:rsidR="00943AA9">
        <w:t>.</w:t>
      </w:r>
    </w:p>
    <w:p w:rsidR="002F122A" w:rsidP="002F122A" w:rsidRDefault="002F122A" w14:paraId="43AAC1D2" w14:textId="77777777">
      <w:pPr>
        <w:rPr>
          <w:b/>
          <w:bCs/>
        </w:rPr>
      </w:pPr>
    </w:p>
    <w:p w:rsidR="002F122A" w:rsidP="002F122A" w:rsidRDefault="002F122A" w14:paraId="08DA63AB" w14:textId="77777777">
      <w:r>
        <w:t>Deze regeling zal met de toelichting in de Staatscourant worden geplaatst.</w:t>
      </w:r>
    </w:p>
    <w:p w:rsidR="002F122A" w:rsidP="002F122A" w:rsidRDefault="002F122A" w14:paraId="3D2E4A73" w14:textId="77777777"/>
    <w:p w:rsidR="00AC0FFA" w:rsidP="00D76608" w:rsidRDefault="00D76608" w14:paraId="33EAE183" w14:textId="77777777">
      <w:r>
        <w:t>De Staatssecretaris van Sociale Zaken</w:t>
      </w:r>
    </w:p>
    <w:p w:rsidR="00D76608" w:rsidP="00D76608" w:rsidRDefault="00D76608" w14:paraId="54DA4038" w14:textId="77777777">
      <w:r>
        <w:t xml:space="preserve">en Werkgelegenheid,    </w:t>
      </w:r>
    </w:p>
    <w:p w:rsidR="00D76608" w:rsidP="00D76608" w:rsidRDefault="00D76608" w14:paraId="53DE982F" w14:textId="77777777"/>
    <w:p w:rsidR="00AC0FFA" w:rsidP="00D76608" w:rsidRDefault="00AC0FFA" w14:paraId="1D8115DF" w14:textId="77777777"/>
    <w:p w:rsidR="00AC0FFA" w:rsidP="00D76608" w:rsidRDefault="00AC0FFA" w14:paraId="7C30DAD5" w14:textId="77777777"/>
    <w:p w:rsidR="00D76608" w:rsidP="00D76608" w:rsidRDefault="00D76608" w14:paraId="794820E0" w14:textId="77777777"/>
    <w:p w:rsidR="00D76608" w:rsidP="00D76608" w:rsidRDefault="00D76608" w14:paraId="5F22292F" w14:textId="77777777"/>
    <w:p w:rsidR="00D76608" w:rsidP="00D76608" w:rsidRDefault="00D76608" w14:paraId="3C92DAFF" w14:textId="77777777">
      <w:r>
        <w:t>J.N.J. Nobel</w:t>
      </w:r>
    </w:p>
    <w:p w:rsidR="002F122A" w:rsidP="002F122A" w:rsidRDefault="002F122A" w14:paraId="68E84A31" w14:textId="77777777">
      <w:pPr>
        <w:spacing w:line="240" w:lineRule="auto"/>
      </w:pPr>
      <w:r>
        <w:rPr>
          <w:b/>
          <w:bCs/>
        </w:rPr>
        <w:lastRenderedPageBreak/>
        <w:t xml:space="preserve">TOELICHTING </w:t>
      </w:r>
    </w:p>
    <w:p w:rsidR="002F122A" w:rsidP="002F122A" w:rsidRDefault="002F122A" w14:paraId="327326AC" w14:textId="77777777">
      <w:pPr>
        <w:rPr>
          <w:b/>
          <w:bCs/>
        </w:rPr>
      </w:pPr>
    </w:p>
    <w:p w:rsidRPr="00937AD6" w:rsidR="00252F39" w:rsidP="00AC0FFA" w:rsidRDefault="00252F39" w14:paraId="069F6B68" w14:textId="77777777">
      <w:pPr>
        <w:pStyle w:val="Lijstalinea"/>
        <w:numPr>
          <w:ilvl w:val="0"/>
          <w:numId w:val="10"/>
        </w:numPr>
        <w:rPr>
          <w:b/>
          <w:bCs/>
        </w:rPr>
      </w:pPr>
      <w:r>
        <w:rPr>
          <w:b/>
          <w:bCs/>
        </w:rPr>
        <w:t>Inleiding</w:t>
      </w:r>
    </w:p>
    <w:p w:rsidR="002F122A" w:rsidP="00AC0FFA" w:rsidRDefault="002F122A" w14:paraId="2CE81CDF" w14:textId="77777777">
      <w:pPr>
        <w:tabs>
          <w:tab w:val="left" w:pos="2130"/>
        </w:tabs>
      </w:pPr>
    </w:p>
    <w:p w:rsidR="00252F39" w:rsidP="00AC0FFA" w:rsidRDefault="00252F39" w14:paraId="5FA8514E" w14:textId="77777777">
      <w:pPr>
        <w:tabs>
          <w:tab w:val="left" w:pos="2130"/>
        </w:tabs>
      </w:pPr>
      <w:r>
        <w:t xml:space="preserve">Deze regeling wijzigt de Subsidieregeling </w:t>
      </w:r>
      <w:r w:rsidRPr="00252F39">
        <w:t>financiële educatie voor onderwijsinstellingen</w:t>
      </w:r>
      <w:r>
        <w:t xml:space="preserve">. </w:t>
      </w:r>
      <w:r w:rsidR="00AC0FFA">
        <w:t xml:space="preserve">Met </w:t>
      </w:r>
      <w:r>
        <w:t>deze wijzigingsregeling is de</w:t>
      </w:r>
      <w:r w:rsidRPr="00252F39">
        <w:t xml:space="preserve"> vervaltermijn van de regeling</w:t>
      </w:r>
      <w:r>
        <w:t xml:space="preserve"> verleng</w:t>
      </w:r>
      <w:r w:rsidR="00AC0FFA">
        <w:t>d</w:t>
      </w:r>
      <w:r w:rsidRPr="00252F39">
        <w:t xml:space="preserve"> en een technische wijziging</w:t>
      </w:r>
      <w:r>
        <w:t xml:space="preserve"> doorgevoerd</w:t>
      </w:r>
      <w:r w:rsidRPr="00252F39">
        <w:t xml:space="preserve"> in verband met een kennelijke verschrijving</w:t>
      </w:r>
      <w:r>
        <w:t xml:space="preserve">. </w:t>
      </w:r>
      <w:r w:rsidR="003262B1">
        <w:t>Deze wijzigingen worden hieronder toegelicht.</w:t>
      </w:r>
    </w:p>
    <w:p w:rsidRPr="00937AD6" w:rsidR="00252F39" w:rsidP="00DC0D9A" w:rsidRDefault="00252F39" w14:paraId="57440350" w14:textId="77777777">
      <w:pPr>
        <w:rPr>
          <w:color w:val="auto"/>
        </w:rPr>
      </w:pPr>
    </w:p>
    <w:p w:rsidRPr="00937AD6" w:rsidR="00252F39" w:rsidP="00AC0FFA" w:rsidRDefault="00256105" w14:paraId="673FF611" w14:textId="77777777">
      <w:pPr>
        <w:pStyle w:val="Lijstalinea"/>
        <w:numPr>
          <w:ilvl w:val="0"/>
          <w:numId w:val="10"/>
        </w:numPr>
        <w:rPr>
          <w:color w:val="auto"/>
        </w:rPr>
      </w:pPr>
      <w:r w:rsidRPr="00937AD6">
        <w:rPr>
          <w:b/>
          <w:bCs/>
          <w:color w:val="auto"/>
        </w:rPr>
        <w:t>Verlenging vervaltermijn</w:t>
      </w:r>
    </w:p>
    <w:p w:rsidRPr="00374B47" w:rsidR="003262B1" w:rsidP="00374B47" w:rsidRDefault="003262B1" w14:paraId="1BCFDA7F" w14:textId="77777777">
      <w:pPr>
        <w:rPr>
          <w:color w:val="auto"/>
        </w:rPr>
      </w:pPr>
      <w:r w:rsidRPr="00374B47">
        <w:rPr>
          <w:color w:val="auto"/>
        </w:rPr>
        <w:t xml:space="preserve">Het ministerie van SZW zet in op het voorkomen en vroegtijdig aanpakken van schulden. Hiertoe is in september 2023 een </w:t>
      </w:r>
      <w:r>
        <w:rPr>
          <w:color w:val="auto"/>
        </w:rPr>
        <w:t>aanvraagtijdvak</w:t>
      </w:r>
      <w:r w:rsidRPr="00374B47">
        <w:rPr>
          <w:color w:val="auto"/>
        </w:rPr>
        <w:t xml:space="preserve"> voor financiële educatie op het middelbaar beroepsonderwijs (verder te noemen: mbo</w:t>
      </w:r>
      <w:r>
        <w:rPr>
          <w:color w:val="auto"/>
        </w:rPr>
        <w:t>-</w:t>
      </w:r>
      <w:r w:rsidRPr="00374B47">
        <w:rPr>
          <w:color w:val="auto"/>
        </w:rPr>
        <w:t xml:space="preserve">instellingen) geopend. Het doel van de subsidieregeling is om structurele aandacht te bevorderen voor effectieve financiële educatie binnen het onderwijs. Het tweede tijdvak richtte zich op het bevorderen van financiële educatie in het voortgezet onderwijs (verder te noemen: vo). In 2025 </w:t>
      </w:r>
      <w:r>
        <w:rPr>
          <w:color w:val="auto"/>
        </w:rPr>
        <w:t>zal</w:t>
      </w:r>
      <w:r w:rsidRPr="00374B47">
        <w:rPr>
          <w:color w:val="auto"/>
        </w:rPr>
        <w:t xml:space="preserve"> een derde tijdvak </w:t>
      </w:r>
      <w:r>
        <w:rPr>
          <w:color w:val="auto"/>
        </w:rPr>
        <w:t xml:space="preserve">worden </w:t>
      </w:r>
      <w:r w:rsidRPr="00374B47">
        <w:rPr>
          <w:color w:val="auto"/>
        </w:rPr>
        <w:t xml:space="preserve">opengesteld voor een selectie van scholen binnen het primair onderwijs (verder te noemen: po). </w:t>
      </w:r>
    </w:p>
    <w:p w:rsidR="003262B1" w:rsidP="00DC0D9A" w:rsidRDefault="003262B1" w14:paraId="0FFDF855" w14:textId="77777777">
      <w:pPr>
        <w:rPr>
          <w:color w:val="auto"/>
        </w:rPr>
      </w:pPr>
    </w:p>
    <w:p w:rsidRPr="00937AD6" w:rsidR="00256105" w:rsidP="00DC0D9A" w:rsidRDefault="00256105" w14:paraId="1D2C7F37" w14:textId="77777777">
      <w:pPr>
        <w:rPr>
          <w:color w:val="auto"/>
        </w:rPr>
      </w:pPr>
      <w:r w:rsidRPr="00937AD6">
        <w:rPr>
          <w:color w:val="auto"/>
        </w:rPr>
        <w:t xml:space="preserve">Bij het ontstaan van de </w:t>
      </w:r>
      <w:r w:rsidR="003262B1">
        <w:rPr>
          <w:color w:val="auto"/>
        </w:rPr>
        <w:t>S</w:t>
      </w:r>
      <w:r w:rsidRPr="00937AD6">
        <w:rPr>
          <w:color w:val="auto"/>
        </w:rPr>
        <w:t>ubsidieregeling financiële educatie voor onderwijsinstellingen (</w:t>
      </w:r>
      <w:r w:rsidR="003262B1">
        <w:rPr>
          <w:color w:val="auto"/>
        </w:rPr>
        <w:t>toen nog genoemd:</w:t>
      </w:r>
      <w:r w:rsidRPr="00937AD6" w:rsidR="003262B1">
        <w:rPr>
          <w:color w:val="auto"/>
        </w:rPr>
        <w:t xml:space="preserve"> </w:t>
      </w:r>
      <w:r w:rsidR="003262B1">
        <w:rPr>
          <w:color w:val="auto"/>
        </w:rPr>
        <w:t>S</w:t>
      </w:r>
      <w:r w:rsidRPr="00937AD6">
        <w:rPr>
          <w:color w:val="auto"/>
        </w:rPr>
        <w:t xml:space="preserve">ubsidieregeling </w:t>
      </w:r>
      <w:r w:rsidRPr="00937AD6" w:rsidR="00937AD6">
        <w:rPr>
          <w:color w:val="auto"/>
        </w:rPr>
        <w:t>financiële</w:t>
      </w:r>
      <w:r w:rsidRPr="00937AD6">
        <w:rPr>
          <w:color w:val="auto"/>
        </w:rPr>
        <w:t xml:space="preserve"> educatie voor mbo</w:t>
      </w:r>
      <w:r w:rsidR="003262B1">
        <w:rPr>
          <w:color w:val="auto"/>
        </w:rPr>
        <w:t>-</w:t>
      </w:r>
      <w:r w:rsidRPr="00937AD6">
        <w:rPr>
          <w:color w:val="auto"/>
        </w:rPr>
        <w:t xml:space="preserve">instellingen) was het uitgangspunt dat </w:t>
      </w:r>
      <w:r w:rsidRPr="00937AD6" w:rsidR="00F5422D">
        <w:rPr>
          <w:color w:val="auto"/>
        </w:rPr>
        <w:t xml:space="preserve">er verschillende regelingen voor de verschillende onderwijssectoren ontwikkeld zouden worden. Dit heeft er voor gezorgd dat de originele vervaltermijn van de regeling kwam te liggen op drie jaar. Uiteindelijk bleek het goed mogelijk om te werken met één regeling en daarbinnen met meerdere tijdvakken voor de verschillende onderwijssectoren. Vanuit praktische overwegingen is hiervoor gekozen. </w:t>
      </w:r>
      <w:r w:rsidR="00F738F5">
        <w:rPr>
          <w:color w:val="auto"/>
        </w:rPr>
        <w:t xml:space="preserve">Om het </w:t>
      </w:r>
      <w:r w:rsidRPr="00937AD6" w:rsidR="00F5422D">
        <w:rPr>
          <w:color w:val="auto"/>
        </w:rPr>
        <w:t>derde tijdvak</w:t>
      </w:r>
      <w:r w:rsidR="00F738F5">
        <w:rPr>
          <w:color w:val="auto"/>
        </w:rPr>
        <w:t xml:space="preserve"> mogelijk te maken dat in 2025 wordt</w:t>
      </w:r>
      <w:r w:rsidRPr="00937AD6" w:rsidR="00F5422D">
        <w:rPr>
          <w:color w:val="auto"/>
        </w:rPr>
        <w:t xml:space="preserve"> open</w:t>
      </w:r>
      <w:r w:rsidR="00DB1E66">
        <w:rPr>
          <w:color w:val="auto"/>
        </w:rPr>
        <w:t>gesteld</w:t>
      </w:r>
      <w:r w:rsidRPr="00937AD6" w:rsidR="00F5422D">
        <w:rPr>
          <w:color w:val="auto"/>
        </w:rPr>
        <w:t xml:space="preserve"> voor</w:t>
      </w:r>
      <w:r w:rsidR="00DB1E66">
        <w:rPr>
          <w:color w:val="auto"/>
        </w:rPr>
        <w:t xml:space="preserve"> een selectie van scholen binnen</w:t>
      </w:r>
      <w:r w:rsidRPr="00937AD6" w:rsidR="00F5422D">
        <w:rPr>
          <w:color w:val="auto"/>
        </w:rPr>
        <w:t xml:space="preserve"> het primair onderwijs is het nodig om de vervaltermijn te verlengen van drie jaar naar vijf jaar (de maximale termijn</w:t>
      </w:r>
      <w:r w:rsidR="00937AD6">
        <w:rPr>
          <w:color w:val="auto"/>
        </w:rPr>
        <w:t xml:space="preserve"> conform </w:t>
      </w:r>
      <w:r w:rsidR="00F738F5">
        <w:rPr>
          <w:color w:val="auto"/>
        </w:rPr>
        <w:t xml:space="preserve">de </w:t>
      </w:r>
      <w:r w:rsidR="00937AD6">
        <w:rPr>
          <w:color w:val="auto"/>
        </w:rPr>
        <w:t>Comptabiliteitswet 2016</w:t>
      </w:r>
      <w:r w:rsidRPr="00937AD6" w:rsidR="00F5422D">
        <w:rPr>
          <w:color w:val="auto"/>
        </w:rPr>
        <w:t xml:space="preserve">). </w:t>
      </w:r>
      <w:r w:rsidR="00F738F5">
        <w:rPr>
          <w:color w:val="auto"/>
        </w:rPr>
        <w:t xml:space="preserve">Daarin voorziet artikel I, onderdeel B, van deze wijzigingsregeling. </w:t>
      </w:r>
    </w:p>
    <w:p w:rsidR="00256105" w:rsidP="00DC0D9A" w:rsidRDefault="00256105" w14:paraId="4F192C82" w14:textId="77777777">
      <w:pPr>
        <w:rPr>
          <w:color w:val="auto"/>
        </w:rPr>
      </w:pPr>
    </w:p>
    <w:p w:rsidR="00F738F5" w:rsidP="00DC0D9A" w:rsidRDefault="00F738F5" w14:paraId="13CD54AA" w14:textId="77777777">
      <w:pPr>
        <w:rPr>
          <w:color w:val="auto"/>
        </w:rPr>
      </w:pPr>
      <w:r>
        <w:t xml:space="preserve">Het verlengen van de vervaltermijn gebeurt vooruitlopend op de wijziging die nodig is om het derde tijdvak in 2025 open te stellen. De reden daarvoor is dat de inhoudelijke voorbereiding van het derde tijdvak nog niet af is. Om tijdige openstelling van het derde tijdvak </w:t>
      </w:r>
      <w:r w:rsidR="00444EE0">
        <w:t xml:space="preserve">te waarborgen is ervoor gekozen om de onderhavige wijzigingsregeling, die vanwege de voorhangverplichting een langere procedure kent, separaat tot stand te brengen. </w:t>
      </w:r>
    </w:p>
    <w:p w:rsidRPr="00937AD6" w:rsidR="00F738F5" w:rsidDel="00252F39" w:rsidP="00DC0D9A" w:rsidRDefault="00F738F5" w14:paraId="4735C4A4" w14:textId="77777777">
      <w:pPr>
        <w:rPr>
          <w:color w:val="auto"/>
        </w:rPr>
      </w:pPr>
    </w:p>
    <w:p w:rsidRPr="00937AD6" w:rsidR="00252F39" w:rsidP="00AC0FFA" w:rsidRDefault="00F5422D" w14:paraId="74C59AF8" w14:textId="77777777">
      <w:pPr>
        <w:pStyle w:val="Lijstalinea"/>
        <w:numPr>
          <w:ilvl w:val="0"/>
          <w:numId w:val="10"/>
        </w:numPr>
        <w:rPr>
          <w:color w:val="auto"/>
        </w:rPr>
      </w:pPr>
      <w:r w:rsidRPr="00937AD6">
        <w:rPr>
          <w:b/>
          <w:bCs/>
          <w:color w:val="auto"/>
        </w:rPr>
        <w:t>Herstel verschrijving</w:t>
      </w:r>
    </w:p>
    <w:p w:rsidRPr="00937AD6" w:rsidR="00AF39BB" w:rsidP="00DC0D9A" w:rsidRDefault="001D2D60" w14:paraId="5BD722AA" w14:textId="77777777">
      <w:pPr>
        <w:rPr>
          <w:color w:val="auto"/>
        </w:rPr>
      </w:pPr>
      <w:r w:rsidRPr="00937AD6">
        <w:rPr>
          <w:color w:val="auto"/>
        </w:rPr>
        <w:t xml:space="preserve">Met deze </w:t>
      </w:r>
      <w:r w:rsidRPr="00937AD6" w:rsidR="00E11813">
        <w:rPr>
          <w:color w:val="auto"/>
        </w:rPr>
        <w:t xml:space="preserve">wijzigingsregeling </w:t>
      </w:r>
      <w:r w:rsidRPr="00937AD6">
        <w:rPr>
          <w:color w:val="auto"/>
        </w:rPr>
        <w:t xml:space="preserve">wordt </w:t>
      </w:r>
      <w:r w:rsidRPr="00937AD6" w:rsidR="00E11813">
        <w:rPr>
          <w:color w:val="auto"/>
        </w:rPr>
        <w:t xml:space="preserve">een kennelijke verschrijving hersteld in artikel 7, </w:t>
      </w:r>
      <w:r w:rsidR="00AC0FFA">
        <w:rPr>
          <w:color w:val="auto"/>
        </w:rPr>
        <w:t xml:space="preserve">derde </w:t>
      </w:r>
      <w:r w:rsidRPr="00937AD6" w:rsidR="00E11813">
        <w:rPr>
          <w:color w:val="auto"/>
        </w:rPr>
        <w:t>lid</w:t>
      </w:r>
      <w:r w:rsidR="00AC0FFA">
        <w:rPr>
          <w:color w:val="auto"/>
        </w:rPr>
        <w:t>,</w:t>
      </w:r>
      <w:r w:rsidRPr="00937AD6" w:rsidR="00E11813">
        <w:rPr>
          <w:color w:val="auto"/>
        </w:rPr>
        <w:t xml:space="preserve"> aanhef. Er wordt voor effectieve financiële educatie verwezen naar het tweede lid, onderdeel c, terwijl dit is geregeld in het tweede lid, onderdeel b. </w:t>
      </w:r>
      <w:r w:rsidR="00F738F5">
        <w:rPr>
          <w:color w:val="auto"/>
        </w:rPr>
        <w:t>Dit is geregeld met artikel I, onderdeel A, van deze wijzigingsregeling.</w:t>
      </w:r>
    </w:p>
    <w:p w:rsidR="00E11813" w:rsidP="00DC0D9A" w:rsidRDefault="00E11813" w14:paraId="6759B649" w14:textId="77777777"/>
    <w:p w:rsidR="000C740B" w:rsidP="003262B1" w:rsidRDefault="000C740B" w14:paraId="77B30940" w14:textId="77777777">
      <w:pPr>
        <w:pStyle w:val="Lijstalinea"/>
        <w:numPr>
          <w:ilvl w:val="0"/>
          <w:numId w:val="10"/>
        </w:numPr>
        <w:rPr>
          <w:b/>
          <w:bCs/>
        </w:rPr>
      </w:pPr>
      <w:r>
        <w:rPr>
          <w:b/>
          <w:bCs/>
        </w:rPr>
        <w:t>Voorhangprocedure</w:t>
      </w:r>
    </w:p>
    <w:p w:rsidR="000C740B" w:rsidP="000C740B" w:rsidRDefault="000C740B" w14:paraId="2A76CA52" w14:textId="77777777">
      <w:r>
        <w:t>Artikel 4.10, zevende lid, van de Comptabiliteitswet 2016 schrijft voor dat een subsidieregeling die strekt tot wijziging van het tijdstip waarop die regeling vervalt niet eerder wordt vastgesteld dan 30 dagen nadat het ontwerp van die subsidieregeling schriftelijk ter kennis is gebracht van de Tweede Kamer der Staten-Generaal. Een ontwerp van deze regeling is c</w:t>
      </w:r>
      <w:r w:rsidRPr="000C740B">
        <w:t>onform</w:t>
      </w:r>
      <w:r>
        <w:t xml:space="preserve"> die bepaling op [</w:t>
      </w:r>
      <w:r w:rsidR="00555A4E">
        <w:t>PM</w:t>
      </w:r>
      <w:r>
        <w:t xml:space="preserve">] ter kennis gebracht van de Tweede Kamer der Staten-Generaal. </w:t>
      </w:r>
      <w:r w:rsidR="00555A4E">
        <w:t>{</w:t>
      </w:r>
      <w:r>
        <w:t>PM uitkomst</w:t>
      </w:r>
      <w:r w:rsidR="00555A4E">
        <w:t>]</w:t>
      </w:r>
      <w:r>
        <w:t>.</w:t>
      </w:r>
    </w:p>
    <w:p w:rsidRPr="000C740B" w:rsidR="000C740B" w:rsidP="000C740B" w:rsidRDefault="000C740B" w14:paraId="2A3C7F30" w14:textId="77777777">
      <w:pPr>
        <w:rPr>
          <w:b/>
          <w:bCs/>
        </w:rPr>
      </w:pPr>
    </w:p>
    <w:p w:rsidRPr="003262B1" w:rsidR="002F122A" w:rsidP="003262B1" w:rsidRDefault="002F122A" w14:paraId="6DE80E48" w14:textId="77777777">
      <w:pPr>
        <w:pStyle w:val="Lijstalinea"/>
        <w:numPr>
          <w:ilvl w:val="0"/>
          <w:numId w:val="10"/>
        </w:numPr>
        <w:rPr>
          <w:b/>
          <w:bCs/>
        </w:rPr>
      </w:pPr>
      <w:r w:rsidRPr="003262B1">
        <w:rPr>
          <w:b/>
          <w:bCs/>
        </w:rPr>
        <w:t xml:space="preserve">Inwerkingtreding </w:t>
      </w:r>
    </w:p>
    <w:p w:rsidRPr="00937AD6" w:rsidR="00302502" w:rsidP="00AC0FFA" w:rsidRDefault="002F122A" w14:paraId="7A78C2AF" w14:textId="77777777">
      <w:pPr>
        <w:spacing w:line="240" w:lineRule="auto"/>
        <w:rPr>
          <w:b/>
          <w:bCs/>
        </w:rPr>
      </w:pPr>
      <w:r w:rsidRPr="00937AD6">
        <w:rPr>
          <w:color w:val="auto"/>
        </w:rPr>
        <w:t>Deze regeling treedt in werking met ingang van de dag na de datum van uitgifte van de Staatscourant waarin zij wordt geplaatst</w:t>
      </w:r>
      <w:r w:rsidRPr="00937AD6" w:rsidR="00943AA9">
        <w:rPr>
          <w:color w:val="auto"/>
        </w:rPr>
        <w:t xml:space="preserve">. </w:t>
      </w:r>
      <w:r w:rsidRPr="00937AD6">
        <w:rPr>
          <w:color w:val="auto"/>
        </w:rPr>
        <w:t xml:space="preserve">Er wordt afgeweken van </w:t>
      </w:r>
      <w:r w:rsidR="00444EE0">
        <w:rPr>
          <w:color w:val="auto"/>
        </w:rPr>
        <w:t>het kabinetsbeleid van</w:t>
      </w:r>
      <w:r w:rsidRPr="00937AD6">
        <w:rPr>
          <w:color w:val="auto"/>
        </w:rPr>
        <w:t xml:space="preserve"> vaste verandermomenten </w:t>
      </w:r>
      <w:r w:rsidR="00444EE0">
        <w:rPr>
          <w:color w:val="auto"/>
        </w:rPr>
        <w:t xml:space="preserve">en een minimuminvoeringstermijn voor regelgeving, </w:t>
      </w:r>
      <w:r w:rsidRPr="00937AD6">
        <w:rPr>
          <w:color w:val="auto"/>
        </w:rPr>
        <w:t>zoals voorgeschreven in</w:t>
      </w:r>
      <w:r w:rsidR="00444EE0">
        <w:rPr>
          <w:color w:val="auto"/>
        </w:rPr>
        <w:t xml:space="preserve"> aanwijzing 4.17 van</w:t>
      </w:r>
      <w:r w:rsidRPr="00937AD6">
        <w:rPr>
          <w:color w:val="auto"/>
        </w:rPr>
        <w:t xml:space="preserve"> de Aanwijzingen voor de regelgeving. Het is noodzakelijk om de </w:t>
      </w:r>
      <w:r w:rsidR="00444EE0">
        <w:rPr>
          <w:color w:val="auto"/>
        </w:rPr>
        <w:t>regeling</w:t>
      </w:r>
      <w:r w:rsidRPr="00937AD6">
        <w:rPr>
          <w:color w:val="auto"/>
        </w:rPr>
        <w:t xml:space="preserve"> zo snel mogelijk in werking te laten treden, </w:t>
      </w:r>
      <w:r w:rsidRPr="00937AD6" w:rsidR="006A1BA6">
        <w:rPr>
          <w:color w:val="auto"/>
        </w:rPr>
        <w:t xml:space="preserve">zodat de </w:t>
      </w:r>
      <w:r w:rsidR="00444EE0">
        <w:rPr>
          <w:color w:val="auto"/>
        </w:rPr>
        <w:t>Subsidie</w:t>
      </w:r>
      <w:r w:rsidRPr="00937AD6" w:rsidR="006A1BA6">
        <w:rPr>
          <w:color w:val="auto"/>
        </w:rPr>
        <w:t>regeling</w:t>
      </w:r>
      <w:r w:rsidR="00444EE0">
        <w:rPr>
          <w:color w:val="auto"/>
        </w:rPr>
        <w:t xml:space="preserve"> financiële educatie voor onderwijsinstellingen in 2025</w:t>
      </w:r>
      <w:r w:rsidRPr="00937AD6" w:rsidR="006A1BA6">
        <w:rPr>
          <w:color w:val="auto"/>
        </w:rPr>
        <w:t xml:space="preserve"> uitgebreid kan worden met nieuwe hoofdstukken</w:t>
      </w:r>
      <w:r w:rsidR="00444EE0">
        <w:rPr>
          <w:color w:val="auto"/>
        </w:rPr>
        <w:t xml:space="preserve"> en de betreffende</w:t>
      </w:r>
      <w:r w:rsidRPr="00937AD6" w:rsidR="006A1BA6">
        <w:rPr>
          <w:color w:val="auto"/>
        </w:rPr>
        <w:t xml:space="preserve"> </w:t>
      </w:r>
      <w:r w:rsidR="00444EE0">
        <w:rPr>
          <w:color w:val="auto"/>
        </w:rPr>
        <w:t>s</w:t>
      </w:r>
      <w:r w:rsidRPr="00937AD6" w:rsidR="006A1BA6">
        <w:rPr>
          <w:color w:val="auto"/>
        </w:rPr>
        <w:t xml:space="preserve">cholen </w:t>
      </w:r>
      <w:r w:rsidR="001D2D60">
        <w:rPr>
          <w:color w:val="auto"/>
        </w:rPr>
        <w:t xml:space="preserve">in het po </w:t>
      </w:r>
      <w:r w:rsidR="00444EE0">
        <w:rPr>
          <w:color w:val="auto"/>
        </w:rPr>
        <w:t xml:space="preserve">tijdig </w:t>
      </w:r>
      <w:r w:rsidRPr="00937AD6" w:rsidR="006A1BA6">
        <w:rPr>
          <w:color w:val="auto"/>
        </w:rPr>
        <w:t>subsidie</w:t>
      </w:r>
      <w:r w:rsidR="00444EE0">
        <w:rPr>
          <w:color w:val="auto"/>
        </w:rPr>
        <w:t xml:space="preserve"> kunnen</w:t>
      </w:r>
      <w:r w:rsidRPr="00937AD6" w:rsidR="006A1BA6">
        <w:rPr>
          <w:color w:val="auto"/>
        </w:rPr>
        <w:t xml:space="preserve"> aanvragen voor </w:t>
      </w:r>
      <w:r w:rsidR="00444EE0">
        <w:rPr>
          <w:color w:val="auto"/>
        </w:rPr>
        <w:t xml:space="preserve">een </w:t>
      </w:r>
      <w:r w:rsidRPr="00937AD6" w:rsidR="006A1BA6">
        <w:rPr>
          <w:color w:val="auto"/>
        </w:rPr>
        <w:t>periode van drie jaar.</w:t>
      </w:r>
      <w:r w:rsidRPr="00DB1E66" w:rsidR="00DB1E66">
        <w:t xml:space="preserve"> </w:t>
      </w:r>
    </w:p>
    <w:p w:rsidR="00302502" w:rsidP="00AC0FFA" w:rsidRDefault="00302502" w14:paraId="05D1AE63" w14:textId="77777777"/>
    <w:p w:rsidR="00302502" w:rsidRDefault="00302502" w14:paraId="581BB45A" w14:textId="77777777"/>
    <w:p w:rsidR="00AC0FFA" w:rsidP="00D76608" w:rsidRDefault="00D76608" w14:paraId="39E2B6DD" w14:textId="77777777">
      <w:r>
        <w:t>De Staatssecretaris van Sociale Zaken</w:t>
      </w:r>
    </w:p>
    <w:p w:rsidR="00D76608" w:rsidP="00D76608" w:rsidRDefault="00D76608" w14:paraId="498E11C7" w14:textId="77777777">
      <w:r>
        <w:t xml:space="preserve">en Werkgelegenheid,    </w:t>
      </w:r>
    </w:p>
    <w:p w:rsidR="00D76608" w:rsidP="00D76608" w:rsidRDefault="00D76608" w14:paraId="6A4CE2CC" w14:textId="77777777"/>
    <w:p w:rsidR="00AC0FFA" w:rsidP="00D76608" w:rsidRDefault="00AC0FFA" w14:paraId="22A58E58" w14:textId="77777777"/>
    <w:p w:rsidR="00AC0FFA" w:rsidP="00D76608" w:rsidRDefault="00AC0FFA" w14:paraId="44527E77" w14:textId="77777777"/>
    <w:p w:rsidR="00D76608" w:rsidP="00D76608" w:rsidRDefault="00D76608" w14:paraId="2BCA736C" w14:textId="77777777"/>
    <w:p w:rsidR="00D76608" w:rsidP="00D76608" w:rsidRDefault="00D76608" w14:paraId="10BAC80F" w14:textId="77777777"/>
    <w:p w:rsidR="00D76608" w:rsidP="00D76608" w:rsidRDefault="00D76608" w14:paraId="6899A869" w14:textId="77777777">
      <w:r>
        <w:t>J.N.J. Nobel</w:t>
      </w:r>
    </w:p>
    <w:p w:rsidR="00302502" w:rsidRDefault="00302502" w14:paraId="69DEB07D" w14:textId="77777777"/>
    <w:sectPr w:rsidR="0030250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D832" w14:textId="77777777" w:rsidR="00034850" w:rsidRDefault="00034850">
      <w:pPr>
        <w:spacing w:line="240" w:lineRule="auto"/>
      </w:pPr>
      <w:r>
        <w:separator/>
      </w:r>
    </w:p>
  </w:endnote>
  <w:endnote w:type="continuationSeparator" w:id="0">
    <w:p w14:paraId="3BFBC40B" w14:textId="77777777" w:rsidR="00034850" w:rsidRDefault="00034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202B" w14:textId="77777777" w:rsidR="001270E0" w:rsidRDefault="001270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E093" w14:textId="77777777" w:rsidR="001270E0" w:rsidRDefault="001270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8212" w14:textId="77777777" w:rsidR="001270E0" w:rsidRDefault="001270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CEBB" w14:textId="77777777" w:rsidR="00034850" w:rsidRDefault="00034850">
      <w:pPr>
        <w:spacing w:line="240" w:lineRule="auto"/>
      </w:pPr>
      <w:r>
        <w:separator/>
      </w:r>
    </w:p>
  </w:footnote>
  <w:footnote w:type="continuationSeparator" w:id="0">
    <w:p w14:paraId="63537993" w14:textId="77777777" w:rsidR="00034850" w:rsidRDefault="00034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B589" w14:textId="77777777" w:rsidR="001270E0" w:rsidRDefault="001270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FD58" w14:textId="77777777" w:rsidR="00302502" w:rsidRDefault="00993002">
    <w:pPr>
      <w:pStyle w:val="MarginlessContainer"/>
    </w:pPr>
    <w:r>
      <w:rPr>
        <w:noProof/>
      </w:rPr>
      <mc:AlternateContent>
        <mc:Choice Requires="wps">
          <w:drawing>
            <wp:anchor distT="0" distB="0" distL="0" distR="0" simplePos="0" relativeHeight="251654656" behindDoc="0" locked="1" layoutInCell="1" allowOverlap="1" wp14:anchorId="7A088B74" wp14:editId="34DAD0DC">
              <wp:simplePos x="0" y="0"/>
              <wp:positionH relativeFrom="page">
                <wp:posOffset>5921375</wp:posOffset>
              </wp:positionH>
              <wp:positionV relativeFrom="page">
                <wp:posOffset>1979930</wp:posOffset>
              </wp:positionV>
              <wp:extent cx="1259840" cy="8009890"/>
              <wp:effectExtent l="0" t="0" r="0" b="0"/>
              <wp:wrapNone/>
              <wp:docPr id="6" name="Colofon_vervolg"/>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8FF12F" w14:textId="77777777" w:rsidR="007130AD" w:rsidRDefault="007130AD"/>
                      </w:txbxContent>
                    </wps:txbx>
                    <wps:bodyPr vert="horz" wrap="square" lIns="0" tIns="0" rIns="0" bIns="0" anchor="t" anchorCtr="0"/>
                  </wps:wsp>
                </a:graphicData>
              </a:graphic>
            </wp:anchor>
          </w:drawing>
        </mc:Choice>
        <mc:Fallback>
          <w:pict>
            <v:shapetype w14:anchorId="7A088B74" id="_x0000_t202" coordsize="21600,21600" o:spt="202" path="m,l,21600r21600,l21600,xe">
              <v:stroke joinstyle="miter"/>
              <v:path gradientshapeok="t" o:connecttype="rect"/>
            </v:shapetype>
            <v:shape id="Colofon_vervolg" o:spid="_x0000_s1026" type="#_x0000_t202" style="position:absolute;margin-left:466.25pt;margin-top:155.9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5D8FF12F" w14:textId="77777777" w:rsidR="007130AD" w:rsidRDefault="007130AD"/>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98B5B2B" wp14:editId="023552E5">
              <wp:simplePos x="0" y="0"/>
              <wp:positionH relativeFrom="page">
                <wp:posOffset>5921375</wp:posOffset>
              </wp:positionH>
              <wp:positionV relativeFrom="page">
                <wp:posOffset>10223500</wp:posOffset>
              </wp:positionV>
              <wp:extent cx="1257300" cy="180975"/>
              <wp:effectExtent l="0" t="0" r="0" b="0"/>
              <wp:wrapNone/>
              <wp:docPr id="7" name="Paginanummer_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BF7252" w14:textId="77777777" w:rsidR="007B0197" w:rsidRDefault="002B38F7">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8B5B2B" id="Paginanummer_vervolg" o:spid="_x0000_s1027" type="#_x0000_t202" style="position:absolute;margin-left:466.25pt;margin-top:805pt;width:99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1BF7252" w14:textId="77777777" w:rsidR="007B0197" w:rsidRDefault="002B38F7">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8348" w14:textId="77777777" w:rsidR="00302502" w:rsidRDefault="00993002">
    <w:pPr>
      <w:pStyle w:val="MarginlessContainer"/>
      <w:spacing w:after="6150" w:line="14" w:lineRule="exact"/>
    </w:pPr>
    <w:r>
      <w:rPr>
        <w:noProof/>
      </w:rPr>
      <mc:AlternateContent>
        <mc:Choice Requires="wps">
          <w:drawing>
            <wp:anchor distT="0" distB="0" distL="0" distR="0" simplePos="0" relativeHeight="251656704" behindDoc="0" locked="1" layoutInCell="1" allowOverlap="1" wp14:anchorId="52B9DF9A" wp14:editId="3FC3EA9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E4324" w14:textId="77777777" w:rsidR="007130AD" w:rsidRDefault="007130AD"/>
                      </w:txbxContent>
                    </wps:txbx>
                    <wps:bodyPr vert="horz" wrap="square" lIns="0" tIns="0" rIns="0" bIns="0" anchor="t" anchorCtr="0"/>
                  </wps:wsp>
                </a:graphicData>
              </a:graphic>
            </wp:anchor>
          </w:drawing>
        </mc:Choice>
        <mc:Fallback>
          <w:pict>
            <v:shapetype w14:anchorId="52B9DF9A"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66E4324" w14:textId="77777777" w:rsidR="007130AD" w:rsidRDefault="007130A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A0AA26D" wp14:editId="6506230F">
              <wp:simplePos x="0" y="0"/>
              <wp:positionH relativeFrom="page">
                <wp:posOffset>5921375</wp:posOffset>
              </wp:positionH>
              <wp:positionV relativeFrom="page">
                <wp:posOffset>1979930</wp:posOffset>
              </wp:positionV>
              <wp:extent cx="1259840" cy="8009890"/>
              <wp:effectExtent l="0" t="0" r="0" b="0"/>
              <wp:wrapNone/>
              <wp:docPr id="2" name="Colofon"/>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0D507D" w14:textId="77777777" w:rsidR="007130AD" w:rsidRDefault="007130AD"/>
                      </w:txbxContent>
                    </wps:txbx>
                    <wps:bodyPr vert="horz" wrap="square" lIns="0" tIns="0" rIns="0" bIns="0" anchor="t" anchorCtr="0"/>
                  </wps:wsp>
                </a:graphicData>
              </a:graphic>
            </wp:anchor>
          </w:drawing>
        </mc:Choice>
        <mc:Fallback>
          <w:pict>
            <v:shape w14:anchorId="5A0AA26D" id="Colofon" o:spid="_x0000_s1029" type="#_x0000_t202" style="position:absolute;margin-left:466.25pt;margin-top:155.9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" filled="f" stroked="f">
              <v:textbox inset="0,0,0,0">
                <w:txbxContent>
                  <w:p w14:paraId="7C0D507D" w14:textId="77777777" w:rsidR="007130AD" w:rsidRDefault="007130A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7BF321" wp14:editId="292B1C6B">
              <wp:simplePos x="0" y="0"/>
              <wp:positionH relativeFrom="page">
                <wp:posOffset>1007744</wp:posOffset>
              </wp:positionH>
              <wp:positionV relativeFrom="page">
                <wp:posOffset>1691639</wp:posOffset>
              </wp:positionV>
              <wp:extent cx="3561715" cy="143510"/>
              <wp:effectExtent l="0" t="0" r="0" b="0"/>
              <wp:wrapNone/>
              <wp:docPr id="3"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7022B93" w14:textId="77777777" w:rsidR="007130AD" w:rsidRDefault="007130AD"/>
                      </w:txbxContent>
                    </wps:txbx>
                    <wps:bodyPr vert="horz" wrap="square" lIns="0" tIns="0" rIns="0" bIns="0" anchor="t" anchorCtr="0"/>
                  </wps:wsp>
                </a:graphicData>
              </a:graphic>
            </wp:anchor>
          </w:drawing>
        </mc:Choice>
        <mc:Fallback>
          <w:pict>
            <v:shape w14:anchorId="377BF321" id="Retourregel_1" o:spid="_x0000_s1030" type="#_x0000_t202" style="position:absolute;margin-left:79.35pt;margin-top:133.2pt;width:280.45pt;height:1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7022B93" w14:textId="77777777" w:rsidR="007130AD" w:rsidRDefault="007130A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EE1021" wp14:editId="48EDCB55">
              <wp:simplePos x="0" y="0"/>
              <wp:positionH relativeFrom="page">
                <wp:posOffset>1007744</wp:posOffset>
              </wp:positionH>
              <wp:positionV relativeFrom="page">
                <wp:posOffset>3102610</wp:posOffset>
              </wp:positionV>
              <wp:extent cx="4771390" cy="762000"/>
              <wp:effectExtent l="0" t="0" r="0" b="0"/>
              <wp:wrapNone/>
              <wp:docPr id="4" name="Toezendgegevens"/>
              <wp:cNvGraphicFramePr/>
              <a:graphic xmlns:a="http://schemas.openxmlformats.org/drawingml/2006/main">
                <a:graphicData uri="http://schemas.microsoft.com/office/word/2010/wordprocessingShape">
                  <wps:wsp>
                    <wps:cNvSpPr txBox="1"/>
                    <wps:spPr>
                      <a:xfrm>
                        <a:off x="0" y="0"/>
                        <a:ext cx="4771390" cy="762000"/>
                      </a:xfrm>
                      <a:prstGeom prst="rect">
                        <a:avLst/>
                      </a:prstGeom>
                      <a:noFill/>
                    </wps:spPr>
                    <wps:txbx>
                      <w:txbxContent>
                        <w:p w14:paraId="5EB274B6" w14:textId="77777777" w:rsidR="00302502" w:rsidRDefault="00993002">
                          <w:r>
                            <w:t xml:space="preserve">Regeling van de </w:t>
                          </w:r>
                          <w:r w:rsidR="00755928">
                            <w:t>Staatssecretaris</w:t>
                          </w:r>
                          <w:r>
                            <w:t xml:space="preserve"> van Sociale Zaken en Werkgelegenheid</w:t>
                          </w:r>
                        </w:p>
                        <w:p w14:paraId="7F344155" w14:textId="15BCB47F" w:rsidR="007B0197" w:rsidRDefault="002B38F7">
                          <w:r>
                            <w:t>van                                                  , nr. </w:t>
                          </w:r>
                          <w:fldSimple w:instr=" DOCPROPERTY  &quot;iOnsKenmerk&quot;  \* MERGEFORMAT ">
                            <w:r w:rsidR="00CC1CB5">
                              <w:t>2024-0000166271</w:t>
                            </w:r>
                          </w:fldSimple>
                          <w:r>
                            <w:t xml:space="preserve">, </w:t>
                          </w:r>
                          <w:r>
                            <w:br/>
                            <w:t>tot wijziging van de Subsidieregeling financiële educatie voor onderwijsinstellingen in verband met het verlengen van de vervaltermijn</w:t>
                          </w:r>
                        </w:p>
                      </w:txbxContent>
                    </wps:txbx>
                    <wps:bodyPr vert="horz" wrap="square" lIns="0" tIns="0" rIns="0" bIns="0" anchor="t" anchorCtr="0"/>
                  </wps:wsp>
                </a:graphicData>
              </a:graphic>
            </wp:anchor>
          </w:drawing>
        </mc:Choice>
        <mc:Fallback>
          <w:pict>
            <v:shape w14:anchorId="75EE1021" id="Toezendgegevens" o:spid="_x0000_s1031" type="#_x0000_t202" style="position:absolute;margin-left:79.35pt;margin-top:244.3pt;width:375.7pt;height:60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" filled="f" stroked="f">
              <v:textbox inset="0,0,0,0">
                <w:txbxContent>
                  <w:p w14:paraId="5EB274B6" w14:textId="77777777" w:rsidR="00302502" w:rsidRDefault="00993002">
                    <w:r>
                      <w:t xml:space="preserve">Regeling van de </w:t>
                    </w:r>
                    <w:r w:rsidR="00755928">
                      <w:t>Staatssecretaris</w:t>
                    </w:r>
                    <w:r>
                      <w:t xml:space="preserve"> van Sociale Zaken en Werkgelegenheid</w:t>
                    </w:r>
                  </w:p>
                  <w:p w14:paraId="7F344155" w14:textId="15BCB47F" w:rsidR="007B0197" w:rsidRDefault="002B38F7">
                    <w:r>
                      <w:t>van                                                  , nr. </w:t>
                    </w:r>
                    <w:fldSimple w:instr=" DOCPROPERTY  &quot;iOnsKenmerk&quot;  \* MERGEFORMAT ">
                      <w:r w:rsidR="00CC1CB5">
                        <w:t>2024-0000166271</w:t>
                      </w:r>
                    </w:fldSimple>
                    <w:r>
                      <w:t xml:space="preserve">, </w:t>
                    </w:r>
                    <w:r>
                      <w:br/>
                      <w:t>tot wijziging van de Subsidieregeling financiële educatie voor onderwijsinstellingen in verband met het verlengen van de vervaltermijn</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9E53C5" wp14:editId="060088E2">
              <wp:simplePos x="0" y="0"/>
              <wp:positionH relativeFrom="page">
                <wp:posOffset>5921375</wp:posOffset>
              </wp:positionH>
              <wp:positionV relativeFrom="page">
                <wp:posOffset>10223500</wp:posOffset>
              </wp:positionV>
              <wp:extent cx="1257300" cy="180975"/>
              <wp:effectExtent l="0" t="0" r="0" b="0"/>
              <wp:wrapNone/>
              <wp:docPr id="5"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344F24" w14:textId="77777777" w:rsidR="007130AD" w:rsidRDefault="007130AD"/>
                      </w:txbxContent>
                    </wps:txbx>
                    <wps:bodyPr vert="horz" wrap="square" lIns="0" tIns="0" rIns="0" bIns="0" anchor="t" anchorCtr="0"/>
                  </wps:wsp>
                </a:graphicData>
              </a:graphic>
            </wp:anchor>
          </w:drawing>
        </mc:Choice>
        <mc:Fallback>
          <w:pict>
            <v:shape w14:anchorId="659E53C5" id="Paginanummer" o:spid="_x0000_s1032" type="#_x0000_t202" style="position:absolute;margin-left:466.25pt;margin-top:805pt;width:99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35344F24" w14:textId="77777777" w:rsidR="007130AD" w:rsidRDefault="007130A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10AC0C"/>
    <w:multiLevelType w:val="multilevel"/>
    <w:tmpl w:val="5194D41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4D8BE59"/>
    <w:multiLevelType w:val="multilevel"/>
    <w:tmpl w:val="C1755616"/>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C014965"/>
    <w:multiLevelType w:val="multilevel"/>
    <w:tmpl w:val="EA336C4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0388"/>
    <w:multiLevelType w:val="multilevel"/>
    <w:tmpl w:val="3D498B2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044D3"/>
    <w:multiLevelType w:val="hybridMultilevel"/>
    <w:tmpl w:val="B3F8D11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9F1D6A"/>
    <w:multiLevelType w:val="hybridMultilevel"/>
    <w:tmpl w:val="5DFC07C4"/>
    <w:lvl w:ilvl="0" w:tplc="09AED1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567C5A"/>
    <w:multiLevelType w:val="multilevel"/>
    <w:tmpl w:val="8B44A7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053FBA"/>
    <w:multiLevelType w:val="hybridMultilevel"/>
    <w:tmpl w:val="06D6AC60"/>
    <w:lvl w:ilvl="0" w:tplc="77347224">
      <w:start w:val="1"/>
      <w:numFmt w:val="bullet"/>
      <w:lvlText w:val=""/>
      <w:lvlJc w:val="left"/>
      <w:pPr>
        <w:ind w:left="1440" w:hanging="360"/>
      </w:pPr>
      <w:rPr>
        <w:rFonts w:ascii="Symbol" w:hAnsi="Symbol"/>
      </w:rPr>
    </w:lvl>
    <w:lvl w:ilvl="1" w:tplc="44E69F7A">
      <w:start w:val="1"/>
      <w:numFmt w:val="bullet"/>
      <w:lvlText w:val=""/>
      <w:lvlJc w:val="left"/>
      <w:pPr>
        <w:ind w:left="1440" w:hanging="360"/>
      </w:pPr>
      <w:rPr>
        <w:rFonts w:ascii="Symbol" w:hAnsi="Symbol"/>
      </w:rPr>
    </w:lvl>
    <w:lvl w:ilvl="2" w:tplc="980EDC92">
      <w:start w:val="1"/>
      <w:numFmt w:val="bullet"/>
      <w:lvlText w:val=""/>
      <w:lvlJc w:val="left"/>
      <w:pPr>
        <w:ind w:left="1440" w:hanging="360"/>
      </w:pPr>
      <w:rPr>
        <w:rFonts w:ascii="Symbol" w:hAnsi="Symbol"/>
      </w:rPr>
    </w:lvl>
    <w:lvl w:ilvl="3" w:tplc="503EB51A">
      <w:start w:val="1"/>
      <w:numFmt w:val="bullet"/>
      <w:lvlText w:val=""/>
      <w:lvlJc w:val="left"/>
      <w:pPr>
        <w:ind w:left="1440" w:hanging="360"/>
      </w:pPr>
      <w:rPr>
        <w:rFonts w:ascii="Symbol" w:hAnsi="Symbol"/>
      </w:rPr>
    </w:lvl>
    <w:lvl w:ilvl="4" w:tplc="54FE0278">
      <w:start w:val="1"/>
      <w:numFmt w:val="bullet"/>
      <w:lvlText w:val=""/>
      <w:lvlJc w:val="left"/>
      <w:pPr>
        <w:ind w:left="1440" w:hanging="360"/>
      </w:pPr>
      <w:rPr>
        <w:rFonts w:ascii="Symbol" w:hAnsi="Symbol"/>
      </w:rPr>
    </w:lvl>
    <w:lvl w:ilvl="5" w:tplc="298A088C">
      <w:start w:val="1"/>
      <w:numFmt w:val="bullet"/>
      <w:lvlText w:val=""/>
      <w:lvlJc w:val="left"/>
      <w:pPr>
        <w:ind w:left="1440" w:hanging="360"/>
      </w:pPr>
      <w:rPr>
        <w:rFonts w:ascii="Symbol" w:hAnsi="Symbol"/>
      </w:rPr>
    </w:lvl>
    <w:lvl w:ilvl="6" w:tplc="1F742B76">
      <w:start w:val="1"/>
      <w:numFmt w:val="bullet"/>
      <w:lvlText w:val=""/>
      <w:lvlJc w:val="left"/>
      <w:pPr>
        <w:ind w:left="1440" w:hanging="360"/>
      </w:pPr>
      <w:rPr>
        <w:rFonts w:ascii="Symbol" w:hAnsi="Symbol"/>
      </w:rPr>
    </w:lvl>
    <w:lvl w:ilvl="7" w:tplc="A600DB8A">
      <w:start w:val="1"/>
      <w:numFmt w:val="bullet"/>
      <w:lvlText w:val=""/>
      <w:lvlJc w:val="left"/>
      <w:pPr>
        <w:ind w:left="1440" w:hanging="360"/>
      </w:pPr>
      <w:rPr>
        <w:rFonts w:ascii="Symbol" w:hAnsi="Symbol"/>
      </w:rPr>
    </w:lvl>
    <w:lvl w:ilvl="8" w:tplc="DE76D1D4">
      <w:start w:val="1"/>
      <w:numFmt w:val="bullet"/>
      <w:lvlText w:val=""/>
      <w:lvlJc w:val="left"/>
      <w:pPr>
        <w:ind w:left="1440" w:hanging="360"/>
      </w:pPr>
      <w:rPr>
        <w:rFonts w:ascii="Symbol" w:hAnsi="Symbol"/>
      </w:rPr>
    </w:lvl>
  </w:abstractNum>
  <w:abstractNum w:abstractNumId="8" w15:restartNumberingAfterBreak="0">
    <w:nsid w:val="7BBD455B"/>
    <w:multiLevelType w:val="hybridMultilevel"/>
    <w:tmpl w:val="195077E0"/>
    <w:lvl w:ilvl="0" w:tplc="4C90ACD2">
      <w:start w:val="1"/>
      <w:numFmt w:val="decimal"/>
      <w:lvlText w:val="%1."/>
      <w:lvlJc w:val="left"/>
      <w:pPr>
        <w:ind w:left="502"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4806BB"/>
    <w:multiLevelType w:val="multilevel"/>
    <w:tmpl w:val="D91A3DBC"/>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0057703">
    <w:abstractNumId w:val="0"/>
  </w:num>
  <w:num w:numId="2" w16cid:durableId="121045430">
    <w:abstractNumId w:val="9"/>
  </w:num>
  <w:num w:numId="3" w16cid:durableId="1685356333">
    <w:abstractNumId w:val="1"/>
  </w:num>
  <w:num w:numId="4" w16cid:durableId="1858232822">
    <w:abstractNumId w:val="2"/>
  </w:num>
  <w:num w:numId="5" w16cid:durableId="2027901931">
    <w:abstractNumId w:val="3"/>
  </w:num>
  <w:num w:numId="6" w16cid:durableId="1315834134">
    <w:abstractNumId w:val="6"/>
  </w:num>
  <w:num w:numId="7" w16cid:durableId="834495332">
    <w:abstractNumId w:val="7"/>
  </w:num>
  <w:num w:numId="8" w16cid:durableId="1007365219">
    <w:abstractNumId w:val="5"/>
  </w:num>
  <w:num w:numId="9" w16cid:durableId="627198832">
    <w:abstractNumId w:val="4"/>
  </w:num>
  <w:num w:numId="10" w16cid:durableId="772435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02"/>
    <w:rsid w:val="00034850"/>
    <w:rsid w:val="000C740B"/>
    <w:rsid w:val="000D7A92"/>
    <w:rsid w:val="001270E0"/>
    <w:rsid w:val="001B7BE0"/>
    <w:rsid w:val="001D2D60"/>
    <w:rsid w:val="00207152"/>
    <w:rsid w:val="00252F39"/>
    <w:rsid w:val="00256105"/>
    <w:rsid w:val="002642BF"/>
    <w:rsid w:val="0028155F"/>
    <w:rsid w:val="00291A67"/>
    <w:rsid w:val="002A175C"/>
    <w:rsid w:val="002B38F7"/>
    <w:rsid w:val="002F122A"/>
    <w:rsid w:val="00302502"/>
    <w:rsid w:val="003262B1"/>
    <w:rsid w:val="00374B47"/>
    <w:rsid w:val="003D3FDE"/>
    <w:rsid w:val="003D5E4D"/>
    <w:rsid w:val="00420055"/>
    <w:rsid w:val="00444EE0"/>
    <w:rsid w:val="004B4786"/>
    <w:rsid w:val="00555A4E"/>
    <w:rsid w:val="005724E2"/>
    <w:rsid w:val="006418E5"/>
    <w:rsid w:val="006740B7"/>
    <w:rsid w:val="006A1BA6"/>
    <w:rsid w:val="006F7312"/>
    <w:rsid w:val="007130AD"/>
    <w:rsid w:val="00752B25"/>
    <w:rsid w:val="00755928"/>
    <w:rsid w:val="0077012E"/>
    <w:rsid w:val="007B0197"/>
    <w:rsid w:val="007E695D"/>
    <w:rsid w:val="00834D17"/>
    <w:rsid w:val="00937AD6"/>
    <w:rsid w:val="00943AA9"/>
    <w:rsid w:val="009475EE"/>
    <w:rsid w:val="00963D14"/>
    <w:rsid w:val="00993002"/>
    <w:rsid w:val="009B0725"/>
    <w:rsid w:val="009C59F9"/>
    <w:rsid w:val="009D4FF1"/>
    <w:rsid w:val="00A86A4C"/>
    <w:rsid w:val="00AC0FFA"/>
    <w:rsid w:val="00AF23A3"/>
    <w:rsid w:val="00AF39BB"/>
    <w:rsid w:val="00B11386"/>
    <w:rsid w:val="00B55822"/>
    <w:rsid w:val="00BC523C"/>
    <w:rsid w:val="00C42E12"/>
    <w:rsid w:val="00C617A2"/>
    <w:rsid w:val="00CC045D"/>
    <w:rsid w:val="00CC1CB5"/>
    <w:rsid w:val="00CF300D"/>
    <w:rsid w:val="00D52C9B"/>
    <w:rsid w:val="00D748E6"/>
    <w:rsid w:val="00D74E5B"/>
    <w:rsid w:val="00D76608"/>
    <w:rsid w:val="00D91F31"/>
    <w:rsid w:val="00DB1E66"/>
    <w:rsid w:val="00DC0D9A"/>
    <w:rsid w:val="00E11813"/>
    <w:rsid w:val="00EA2F77"/>
    <w:rsid w:val="00F03E6D"/>
    <w:rsid w:val="00F308AF"/>
    <w:rsid w:val="00F42092"/>
    <w:rsid w:val="00F5422D"/>
    <w:rsid w:val="00F738F5"/>
    <w:rsid w:val="00FA0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8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F122A"/>
    <w:rPr>
      <w:sz w:val="16"/>
      <w:szCs w:val="16"/>
    </w:rPr>
  </w:style>
  <w:style w:type="paragraph" w:styleId="Tekstopmerking">
    <w:name w:val="annotation text"/>
    <w:basedOn w:val="Standaard"/>
    <w:link w:val="TekstopmerkingChar"/>
    <w:uiPriority w:val="99"/>
    <w:unhideWhenUsed/>
    <w:rsid w:val="002F122A"/>
    <w:pPr>
      <w:spacing w:line="240" w:lineRule="auto"/>
    </w:pPr>
    <w:rPr>
      <w:sz w:val="20"/>
      <w:szCs w:val="20"/>
    </w:rPr>
  </w:style>
  <w:style w:type="character" w:customStyle="1" w:styleId="TekstopmerkingChar">
    <w:name w:val="Tekst opmerking Char"/>
    <w:basedOn w:val="Standaardalinea-lettertype"/>
    <w:link w:val="Tekstopmerking"/>
    <w:uiPriority w:val="99"/>
    <w:rsid w:val="002F12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F122A"/>
    <w:rPr>
      <w:b/>
      <w:bCs/>
    </w:rPr>
  </w:style>
  <w:style w:type="character" w:customStyle="1" w:styleId="OnderwerpvanopmerkingChar">
    <w:name w:val="Onderwerp van opmerking Char"/>
    <w:basedOn w:val="TekstopmerkingChar"/>
    <w:link w:val="Onderwerpvanopmerking"/>
    <w:uiPriority w:val="99"/>
    <w:semiHidden/>
    <w:rsid w:val="002F122A"/>
    <w:rPr>
      <w:rFonts w:ascii="Verdana" w:hAnsi="Verdana"/>
      <w:b/>
      <w:bCs/>
      <w:color w:val="000000"/>
    </w:rPr>
  </w:style>
  <w:style w:type="paragraph" w:styleId="Lijstalinea">
    <w:name w:val="List Paragraph"/>
    <w:basedOn w:val="Standaard"/>
    <w:uiPriority w:val="34"/>
    <w:qFormat/>
    <w:rsid w:val="00AF23A3"/>
    <w:pPr>
      <w:ind w:left="720"/>
      <w:contextualSpacing/>
    </w:pPr>
  </w:style>
  <w:style w:type="paragraph" w:styleId="Revisie">
    <w:name w:val="Revision"/>
    <w:hidden/>
    <w:uiPriority w:val="99"/>
    <w:semiHidden/>
    <w:rsid w:val="006740B7"/>
    <w:pPr>
      <w:autoSpaceDN/>
      <w:textAlignment w:val="auto"/>
    </w:pPr>
    <w:rPr>
      <w:rFonts w:ascii="Verdana" w:hAnsi="Verdana"/>
      <w:color w:val="000000"/>
      <w:sz w:val="18"/>
      <w:szCs w:val="18"/>
    </w:rPr>
  </w:style>
  <w:style w:type="paragraph" w:customStyle="1" w:styleId="pf0">
    <w:name w:val="pf0"/>
    <w:basedOn w:val="Standaard"/>
    <w:rsid w:val="002561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2561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73904">
      <w:bodyDiv w:val="1"/>
      <w:marLeft w:val="0"/>
      <w:marRight w:val="0"/>
      <w:marTop w:val="0"/>
      <w:marBottom w:val="0"/>
      <w:divBdr>
        <w:top w:val="none" w:sz="0" w:space="0" w:color="auto"/>
        <w:left w:val="none" w:sz="0" w:space="0" w:color="auto"/>
        <w:bottom w:val="none" w:sz="0" w:space="0" w:color="auto"/>
        <w:right w:val="none" w:sz="0" w:space="0" w:color="auto"/>
      </w:divBdr>
    </w:div>
    <w:div w:id="1143426005">
      <w:bodyDiv w:val="1"/>
      <w:marLeft w:val="0"/>
      <w:marRight w:val="0"/>
      <w:marTop w:val="0"/>
      <w:marBottom w:val="0"/>
      <w:divBdr>
        <w:top w:val="none" w:sz="0" w:space="0" w:color="auto"/>
        <w:left w:val="none" w:sz="0" w:space="0" w:color="auto"/>
        <w:bottom w:val="none" w:sz="0" w:space="0" w:color="auto"/>
        <w:right w:val="none" w:sz="0" w:space="0" w:color="auto"/>
      </w:divBdr>
    </w:div>
    <w:div w:id="1685354578">
      <w:bodyDiv w:val="1"/>
      <w:marLeft w:val="0"/>
      <w:marRight w:val="0"/>
      <w:marTop w:val="0"/>
      <w:marBottom w:val="0"/>
      <w:divBdr>
        <w:top w:val="none" w:sz="0" w:space="0" w:color="auto"/>
        <w:left w:val="none" w:sz="0" w:space="0" w:color="auto"/>
        <w:bottom w:val="none" w:sz="0" w:space="0" w:color="auto"/>
        <w:right w:val="none" w:sz="0" w:space="0" w:color="auto"/>
      </w:divBdr>
    </w:div>
    <w:div w:id="1964069788">
      <w:bodyDiv w:val="1"/>
      <w:marLeft w:val="0"/>
      <w:marRight w:val="0"/>
      <w:marTop w:val="0"/>
      <w:marBottom w:val="0"/>
      <w:divBdr>
        <w:top w:val="none" w:sz="0" w:space="0" w:color="auto"/>
        <w:left w:val="none" w:sz="0" w:space="0" w:color="auto"/>
        <w:bottom w:val="none" w:sz="0" w:space="0" w:color="auto"/>
        <w:right w:val="none" w:sz="0" w:space="0" w:color="auto"/>
      </w:divBdr>
    </w:div>
    <w:div w:id="1993020071">
      <w:bodyDiv w:val="1"/>
      <w:marLeft w:val="0"/>
      <w:marRight w:val="0"/>
      <w:marTop w:val="0"/>
      <w:marBottom w:val="0"/>
      <w:divBdr>
        <w:top w:val="none" w:sz="0" w:space="0" w:color="auto"/>
        <w:left w:val="none" w:sz="0" w:space="0" w:color="auto"/>
        <w:bottom w:val="none" w:sz="0" w:space="0" w:color="auto"/>
        <w:right w:val="none" w:sz="0" w:space="0" w:color="auto"/>
      </w:divBdr>
    </w:div>
    <w:div w:id="207889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727</ap:Words>
  <ap:Characters>4003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2024-06-13T09:14:00.0000000Z</dcterms:created>
  <dcterms:modified xsi:type="dcterms:W3CDTF">2025-01-14T13:53:00.0000000Z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DocGen_Regeling / Besluit_nl_NL</vt:lpwstr>
  </property>
  <property fmtid="{D5CDD505-2E9C-101B-9397-08002B2CF9AE}" pid="3" name="iDatum">
    <vt:lpwstr>25-04-2024</vt:lpwstr>
  </property>
  <property fmtid="{D5CDD505-2E9C-101B-9397-08002B2CF9AE}" pid="4" name="iOnderwerp">
    <vt:lpwstr>wijziging Regeling financiële educatie voor onderwijsinstellingen in verband verlening van de vervaltermijn van de regeling</vt:lpwstr>
  </property>
  <property fmtid="{D5CDD505-2E9C-101B-9397-08002B2CF9AE}" pid="5" name="iOnsKenmerk">
    <vt:lpwstr>2024-0000166271</vt:lpwstr>
  </property>
  <property fmtid="{D5CDD505-2E9C-101B-9397-08002B2CF9AE}" pid="6" name="iAuteur">
    <vt:lpwstr/>
  </property>
</Properties>
</file>