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D0CF9" w:rsidR="000D0CF9" w:rsidRDefault="007E610C" w14:paraId="5D1FB99D" w14:textId="47865A30">
      <w:pPr>
        <w:rPr>
          <w:rFonts w:ascii="Calibri" w:hAnsi="Calibri" w:cs="Calibri"/>
        </w:rPr>
      </w:pPr>
      <w:r w:rsidRPr="000D0CF9">
        <w:rPr>
          <w:rFonts w:ascii="Calibri" w:hAnsi="Calibri" w:cs="Calibri"/>
        </w:rPr>
        <w:t>24</w:t>
      </w:r>
      <w:r w:rsidRPr="000D0CF9" w:rsidR="000D0CF9">
        <w:rPr>
          <w:rFonts w:ascii="Calibri" w:hAnsi="Calibri" w:cs="Calibri"/>
        </w:rPr>
        <w:t xml:space="preserve"> </w:t>
      </w:r>
      <w:r w:rsidRPr="000D0CF9">
        <w:rPr>
          <w:rFonts w:ascii="Calibri" w:hAnsi="Calibri" w:cs="Calibri"/>
        </w:rPr>
        <w:t>077</w:t>
      </w:r>
      <w:r w:rsidRPr="000D0CF9" w:rsidR="000D0CF9">
        <w:rPr>
          <w:rFonts w:ascii="Calibri" w:hAnsi="Calibri" w:cs="Calibri"/>
        </w:rPr>
        <w:tab/>
      </w:r>
      <w:r w:rsidRPr="000D0CF9" w:rsidR="000D0CF9">
        <w:rPr>
          <w:rFonts w:ascii="Calibri" w:hAnsi="Calibri" w:cs="Calibri"/>
        </w:rPr>
        <w:tab/>
        <w:t>Drugbeleid</w:t>
      </w:r>
    </w:p>
    <w:p w:rsidRPr="000D0CF9" w:rsidR="000D0CF9" w:rsidP="000D0CF9" w:rsidRDefault="000D0CF9" w14:paraId="295107CF" w14:textId="7D1B6B0D">
      <w:pPr>
        <w:ind w:left="1416" w:hanging="1416"/>
        <w:rPr>
          <w:rFonts w:ascii="Calibri" w:hAnsi="Calibri" w:cs="Calibri"/>
        </w:rPr>
      </w:pPr>
      <w:r w:rsidRPr="000D0CF9">
        <w:rPr>
          <w:rFonts w:ascii="Calibri" w:hAnsi="Calibri" w:cs="Calibri"/>
        </w:rPr>
        <w:t xml:space="preserve">Nr. </w:t>
      </w:r>
      <w:r w:rsidRPr="000D0CF9" w:rsidR="007E610C">
        <w:rPr>
          <w:rFonts w:ascii="Calibri" w:hAnsi="Calibri" w:cs="Calibri"/>
        </w:rPr>
        <w:t>551</w:t>
      </w:r>
      <w:r w:rsidRPr="000D0CF9">
        <w:rPr>
          <w:rFonts w:ascii="Calibri" w:hAnsi="Calibri" w:cs="Calibri"/>
        </w:rPr>
        <w:tab/>
        <w:t>Brief van de minister van Justitie en Veiligheid en de staatssecretaris van Volksgezondheid, Welzijn en Sport</w:t>
      </w:r>
    </w:p>
    <w:p w:rsidRPr="000D0CF9" w:rsidR="007E610C" w:rsidP="007E610C" w:rsidRDefault="000D0CF9" w14:paraId="38558FDC" w14:textId="5DE17AA7">
      <w:pPr>
        <w:rPr>
          <w:rFonts w:ascii="Calibri" w:hAnsi="Calibri" w:cs="Calibri"/>
        </w:rPr>
      </w:pPr>
      <w:r w:rsidRPr="000D0CF9">
        <w:rPr>
          <w:rFonts w:ascii="Calibri" w:hAnsi="Calibri" w:cs="Calibri"/>
        </w:rPr>
        <w:t>Aan de Voorzitter van de Tweede Kamer der Staten-Generaal</w:t>
      </w:r>
    </w:p>
    <w:p w:rsidRPr="000D0CF9" w:rsidR="000D0CF9" w:rsidP="007E610C" w:rsidRDefault="000D0CF9" w14:paraId="4C73BD6C" w14:textId="77CA929B">
      <w:pPr>
        <w:rPr>
          <w:rFonts w:ascii="Calibri" w:hAnsi="Calibri" w:cs="Calibri"/>
        </w:rPr>
      </w:pPr>
      <w:r w:rsidRPr="000D0CF9">
        <w:rPr>
          <w:rFonts w:ascii="Calibri" w:hAnsi="Calibri" w:cs="Calibri"/>
        </w:rPr>
        <w:t>Den Haag, 15 januari 2025</w:t>
      </w:r>
    </w:p>
    <w:p w:rsidRPr="000D0CF9" w:rsidR="007E610C" w:rsidP="007E610C" w:rsidRDefault="007E610C" w14:paraId="5B734298" w14:textId="77777777">
      <w:pPr>
        <w:rPr>
          <w:rFonts w:ascii="Calibri" w:hAnsi="Calibri" w:cs="Calibri"/>
        </w:rPr>
      </w:pPr>
    </w:p>
    <w:p w:rsidRPr="000D0CF9" w:rsidR="007E610C" w:rsidP="007E610C" w:rsidRDefault="007E610C" w14:paraId="00E1F7D3" w14:textId="457CAFDB">
      <w:pPr>
        <w:rPr>
          <w:rFonts w:ascii="Calibri" w:hAnsi="Calibri" w:cs="Calibri"/>
        </w:rPr>
      </w:pPr>
      <w:r w:rsidRPr="000D0CF9">
        <w:rPr>
          <w:rFonts w:ascii="Calibri" w:hAnsi="Calibri" w:cs="Calibri"/>
        </w:rPr>
        <w:t xml:space="preserve">Met deze brief bieden wij uw Kamer het onderzoeksrapport ‘Onderzoek Experiment gesloten coffeeshopketen rapportage nulmeting contaminantenanalyse’ aan. Het onderzoek is in opdracht van het Wetenschappelijk Onderzoek- en Datacentrum (WODC) uitgevoerd door het Trimbos-instituut. Daarnaast informeren we uw Kamer over enkele (verduidelijkende) aanpassingen van het ontwerpbesluit houdende wijziging van het Besluit experiment gesloten coffeeshopketen. </w:t>
      </w:r>
    </w:p>
    <w:p w:rsidRPr="000D0CF9" w:rsidR="007E610C" w:rsidP="007E610C" w:rsidRDefault="007E610C" w14:paraId="77ED06E8" w14:textId="77777777">
      <w:pPr>
        <w:rPr>
          <w:rFonts w:ascii="Calibri" w:hAnsi="Calibri" w:cs="Calibri"/>
        </w:rPr>
      </w:pPr>
    </w:p>
    <w:p w:rsidRPr="000D0CF9" w:rsidR="007E610C" w:rsidP="007E610C" w:rsidRDefault="007E610C" w14:paraId="5B2EE765" w14:textId="77777777">
      <w:pPr>
        <w:rPr>
          <w:rFonts w:ascii="Calibri" w:hAnsi="Calibri" w:cs="Calibri"/>
          <w:i/>
          <w:iCs/>
        </w:rPr>
      </w:pPr>
      <w:r w:rsidRPr="000D0CF9">
        <w:rPr>
          <w:rFonts w:ascii="Calibri" w:hAnsi="Calibri" w:cs="Calibri"/>
          <w:i/>
          <w:iCs/>
        </w:rPr>
        <w:t>Contaminantenanalyse</w:t>
      </w:r>
    </w:p>
    <w:p w:rsidRPr="000D0CF9" w:rsidR="007E610C" w:rsidP="007E610C" w:rsidRDefault="007E610C" w14:paraId="316FEF79" w14:textId="77777777">
      <w:pPr>
        <w:rPr>
          <w:rFonts w:ascii="Calibri" w:hAnsi="Calibri" w:cs="Calibri"/>
        </w:rPr>
      </w:pPr>
      <w:r w:rsidRPr="000D0CF9">
        <w:rPr>
          <w:rFonts w:ascii="Calibri" w:hAnsi="Calibri" w:cs="Calibri"/>
        </w:rPr>
        <w:t>De technische briefing met onderzoekers over de voortgang van het onderzoek Experiment gesloten coffeeshopketen (hierna: EGC) op 5 juli 2022 gaf aanleiding om het onderzoek uit te breiden met aanvullende contaminantenanalyse van gedoogde cannabis in de interventie- en controlegemeenten. Deze rapportage is een aanvulling op de eerder verzonden nulmeting coffeeshopketen.</w:t>
      </w:r>
      <w:r w:rsidRPr="000D0CF9">
        <w:rPr>
          <w:rStyle w:val="Voetnootmarkering"/>
          <w:rFonts w:ascii="Calibri" w:hAnsi="Calibri" w:cs="Calibri"/>
        </w:rPr>
        <w:footnoteReference w:id="1"/>
      </w:r>
      <w:r w:rsidRPr="000D0CF9">
        <w:rPr>
          <w:rFonts w:ascii="Calibri" w:hAnsi="Calibri" w:cs="Calibri"/>
        </w:rPr>
        <w:t xml:space="preserve"> </w:t>
      </w:r>
    </w:p>
    <w:p w:rsidRPr="000D0CF9" w:rsidR="007E610C" w:rsidP="007E610C" w:rsidRDefault="007E610C" w14:paraId="2E42D05F" w14:textId="77777777">
      <w:pPr>
        <w:rPr>
          <w:rFonts w:ascii="Calibri" w:hAnsi="Calibri" w:cs="Calibri"/>
        </w:rPr>
      </w:pPr>
    </w:p>
    <w:p w:rsidRPr="000D0CF9" w:rsidR="007E610C" w:rsidP="007E610C" w:rsidRDefault="007E610C" w14:paraId="54409711" w14:textId="77777777">
      <w:pPr>
        <w:rPr>
          <w:rFonts w:ascii="Calibri" w:hAnsi="Calibri" w:cs="Calibri"/>
        </w:rPr>
      </w:pPr>
      <w:r w:rsidRPr="000D0CF9">
        <w:rPr>
          <w:rFonts w:ascii="Calibri" w:hAnsi="Calibri" w:cs="Calibri"/>
        </w:rPr>
        <w:t xml:space="preserve">Het doel van deze analyse is om voorafgaand aan de start van het EGC de aan-/afwezigheid van contaminanten in de huidige gedoogde cannabis vast te stellen </w:t>
      </w:r>
      <w:r w:rsidRPr="000D0CF9">
        <w:rPr>
          <w:rFonts w:ascii="Calibri" w:hAnsi="Calibri" w:eastAsia="Times New Roman" w:cs="Calibri"/>
        </w:rPr>
        <w:t xml:space="preserve">en de aangetroffen concentraties te vergelijken met de limieten die gesteld zijn in de experimenteerregelgeving voor gereguleerde producten. Het onderzoek is een indicatieve nulmeting met een relatief kleine steekproef (105 cannabismonsters, zowel hasjiesj als wiet). </w:t>
      </w:r>
    </w:p>
    <w:p w:rsidRPr="000D0CF9" w:rsidR="007E610C" w:rsidP="007E610C" w:rsidRDefault="007E610C" w14:paraId="4CF036C0" w14:textId="77777777">
      <w:pPr>
        <w:rPr>
          <w:rFonts w:ascii="Calibri" w:hAnsi="Calibri" w:cs="Calibri"/>
        </w:rPr>
      </w:pPr>
    </w:p>
    <w:p w:rsidRPr="000D0CF9" w:rsidR="007E610C" w:rsidP="007E610C" w:rsidRDefault="007E610C" w14:paraId="367139D8" w14:textId="77777777">
      <w:pPr>
        <w:rPr>
          <w:rFonts w:ascii="Calibri" w:hAnsi="Calibri" w:cs="Calibri"/>
        </w:rPr>
      </w:pPr>
      <w:r w:rsidRPr="000D0CF9">
        <w:rPr>
          <w:rFonts w:ascii="Calibri" w:hAnsi="Calibri" w:cs="Calibri"/>
        </w:rPr>
        <w:t xml:space="preserve">De contaminantenanalyse laat zien dat in de gedoogde cannabis van de coffeeshops uit zowel de interventie- als controlegemeenten verschillende contaminanten aanwezig kunnen zijn. </w:t>
      </w:r>
    </w:p>
    <w:p w:rsidRPr="000D0CF9" w:rsidR="007E610C" w:rsidP="007E610C" w:rsidRDefault="007E610C" w14:paraId="30C4E1FF" w14:textId="77777777">
      <w:pPr>
        <w:rPr>
          <w:rFonts w:ascii="Calibri" w:hAnsi="Calibri" w:cs="Calibri"/>
        </w:rPr>
      </w:pPr>
    </w:p>
    <w:p w:rsidRPr="000D0CF9" w:rsidR="007E610C" w:rsidP="007E610C" w:rsidRDefault="007E610C" w14:paraId="0C1EB4E7" w14:textId="77777777">
      <w:pPr>
        <w:rPr>
          <w:rFonts w:ascii="Calibri" w:hAnsi="Calibri" w:cs="Calibri"/>
        </w:rPr>
      </w:pPr>
      <w:r w:rsidRPr="000D0CF9">
        <w:rPr>
          <w:rFonts w:ascii="Calibri" w:hAnsi="Calibri" w:cs="Calibri"/>
        </w:rPr>
        <w:lastRenderedPageBreak/>
        <w:t xml:space="preserve">Geen van de cannabismonsters had een concentratie aflatoxines die hoger was dan de EGC-limieten. Aflatoxines zijn giftige stoffen die worden aangemaakt door schimmels. Op 20% van de onderzochte wietmonsters werd een microbiologische overschrijding geconstateerd. Dit zijn bacteriën en schimmels. De oorsprong en gezondheidsimpact van deze stoffen is moeilijk te bepalen. Eén cannabismonster bevatte te veel zware metalen: het betrof een hasjiesj sample waarop lood werd aangetroffen. De gezondheidsimpact van de gevonden concentratie is waarschijnlijk beperkt, maar wel reden om alert te zijn op deze vorm van contaminatie. In 34% van de geanalyseerde hasjiesj- en wietmonsters werden gewasbeschermingsmiddelen aangetroffen die binnen het EGC niet zijn toegestaan. </w:t>
      </w:r>
    </w:p>
    <w:p w:rsidRPr="000D0CF9" w:rsidR="007E610C" w:rsidP="007E610C" w:rsidRDefault="007E610C" w14:paraId="110EBD6A" w14:textId="77777777">
      <w:pPr>
        <w:rPr>
          <w:rFonts w:ascii="Calibri" w:hAnsi="Calibri" w:cs="Calibri"/>
        </w:rPr>
      </w:pPr>
    </w:p>
    <w:p w:rsidRPr="000D0CF9" w:rsidR="007E610C" w:rsidP="007E610C" w:rsidRDefault="007E610C" w14:paraId="7D15CC79" w14:textId="77777777">
      <w:pPr>
        <w:rPr>
          <w:rFonts w:ascii="Calibri" w:hAnsi="Calibri" w:cs="Calibri"/>
        </w:rPr>
      </w:pPr>
      <w:r w:rsidRPr="000D0CF9">
        <w:rPr>
          <w:rFonts w:ascii="Calibri" w:hAnsi="Calibri" w:cs="Calibri"/>
        </w:rPr>
        <w:t xml:space="preserve">Tijdens de experimenteerfase (die start op 7 april 2025) wordt jaarlijks onderzoek gedaan naar verschillende aspecten van het EGC. Bij de meting in het derde jaar wordt de samenstelling van de </w:t>
      </w:r>
      <w:r w:rsidRPr="000D0CF9">
        <w:rPr>
          <w:rFonts w:ascii="Calibri" w:hAnsi="Calibri" w:cs="Calibri"/>
          <w:i/>
          <w:iCs/>
        </w:rPr>
        <w:t>gereguleerde</w:t>
      </w:r>
      <w:r w:rsidRPr="000D0CF9">
        <w:rPr>
          <w:rFonts w:ascii="Calibri" w:hAnsi="Calibri" w:cs="Calibri"/>
        </w:rPr>
        <w:t xml:space="preserve"> cannabis in de deelnemende gemeenten en van de </w:t>
      </w:r>
      <w:r w:rsidRPr="000D0CF9">
        <w:rPr>
          <w:rFonts w:ascii="Calibri" w:hAnsi="Calibri" w:cs="Calibri"/>
          <w:i/>
          <w:iCs/>
        </w:rPr>
        <w:t>gedoogde</w:t>
      </w:r>
      <w:r w:rsidRPr="000D0CF9">
        <w:rPr>
          <w:rFonts w:ascii="Calibri" w:hAnsi="Calibri" w:cs="Calibri"/>
        </w:rPr>
        <w:t xml:space="preserve"> cannabis in de controlegemeenten opnieuw onderzocht. Hierbij wordt het THC, CBD en CBN gehalte gemeten. Dit zijn werkzame stoffen die in cannabis voorkomen.</w:t>
      </w:r>
    </w:p>
    <w:p w:rsidRPr="000D0CF9" w:rsidR="007E610C" w:rsidP="007E610C" w:rsidRDefault="007E610C" w14:paraId="48523445" w14:textId="77777777">
      <w:pPr>
        <w:rPr>
          <w:rFonts w:ascii="Calibri" w:hAnsi="Calibri" w:cs="Calibri"/>
        </w:rPr>
      </w:pPr>
    </w:p>
    <w:p w:rsidRPr="000D0CF9" w:rsidR="007E610C" w:rsidP="007E610C" w:rsidRDefault="007E610C" w14:paraId="14AC0DB7" w14:textId="77777777">
      <w:pPr>
        <w:rPr>
          <w:rFonts w:ascii="Calibri" w:hAnsi="Calibri" w:cs="Calibri"/>
        </w:rPr>
      </w:pPr>
      <w:r w:rsidRPr="000D0CF9">
        <w:rPr>
          <w:rFonts w:ascii="Calibri" w:hAnsi="Calibri" w:cs="Calibri"/>
        </w:rPr>
        <w:t>Het EGC gaat de komende jaren duidelijk maken of en hoe op kwaliteit gecontroleerde wiet en hasjiesj gedecriminaliseerd aan de coffeeshops kan worden geleverd en wat de effecten hiervan zijn. De onderzoeksrapportages leveren, samen met andere inzichten en factoren, een belangrijke bijdrage om in de toekomst te komen tot een duidelijk een samenhangend coffeeshopbeleid. Wanneer het EGC ten einde loopt, kan het dan zittende kabinet deze rapportages betrekken bij besluiten over de toekomst van het coffeeshopbeleid.</w:t>
      </w:r>
    </w:p>
    <w:p w:rsidRPr="000D0CF9" w:rsidR="007E610C" w:rsidP="007E610C" w:rsidRDefault="007E610C" w14:paraId="2796E65F" w14:textId="77777777">
      <w:pPr>
        <w:rPr>
          <w:rFonts w:ascii="Calibri" w:hAnsi="Calibri" w:cs="Calibri"/>
        </w:rPr>
      </w:pPr>
    </w:p>
    <w:p w:rsidRPr="000D0CF9" w:rsidR="007E610C" w:rsidP="007E610C" w:rsidRDefault="007E610C" w14:paraId="63108986" w14:textId="77777777">
      <w:pPr>
        <w:rPr>
          <w:rFonts w:ascii="Calibri" w:hAnsi="Calibri" w:cs="Calibri"/>
          <w:i/>
          <w:iCs/>
        </w:rPr>
      </w:pPr>
      <w:r w:rsidRPr="000D0CF9">
        <w:rPr>
          <w:rFonts w:ascii="Calibri" w:hAnsi="Calibri" w:cs="Calibri"/>
          <w:i/>
          <w:iCs/>
        </w:rPr>
        <w:t>Aanpassing Ontwerpbesluit experiment gesloten coffeeshopketen</w:t>
      </w:r>
    </w:p>
    <w:p w:rsidRPr="000D0CF9" w:rsidR="007E610C" w:rsidP="007E610C" w:rsidRDefault="007E610C" w14:paraId="0C78D0AB" w14:textId="77777777">
      <w:pPr>
        <w:rPr>
          <w:rFonts w:ascii="Calibri" w:hAnsi="Calibri" w:cs="Calibri"/>
        </w:rPr>
      </w:pPr>
      <w:r w:rsidRPr="000D0CF9">
        <w:rPr>
          <w:rFonts w:ascii="Calibri" w:hAnsi="Calibri" w:cs="Calibri"/>
        </w:rPr>
        <w:t>In overeenstemming met artikel 13 van de Wet Experiment gesloten coffeeshopketen is op 17 mei 2024 aan beide Kamers van de Staten-Generaal aangeboden het ontwerpbesluit, houdende wijziging van het Besluit experiment gesloten coffeeshopketen in verband met de aanpassing van de aanwijzing van een deelnemende gemeente en verduidelijking van enkele eisen voor de aangewezen telers en coffeeshophouders.</w:t>
      </w:r>
      <w:r w:rsidRPr="000D0CF9">
        <w:rPr>
          <w:rStyle w:val="Voetnootmarkering"/>
          <w:rFonts w:ascii="Calibri" w:hAnsi="Calibri" w:cs="Calibri"/>
        </w:rPr>
        <w:footnoteReference w:id="2"/>
      </w:r>
      <w:r w:rsidRPr="000D0CF9">
        <w:rPr>
          <w:rFonts w:ascii="Calibri" w:hAnsi="Calibri" w:cs="Calibri"/>
        </w:rPr>
        <w:t xml:space="preserve"> Deze voorhangprocedure heeft niet geleid tot vragen of opmerkingen vanuit beide Kamers.</w:t>
      </w:r>
    </w:p>
    <w:p w:rsidRPr="000D0CF9" w:rsidR="007E610C" w:rsidP="007E610C" w:rsidRDefault="007E610C" w14:paraId="11E9F4AF" w14:textId="77777777">
      <w:pPr>
        <w:rPr>
          <w:rFonts w:ascii="Calibri" w:hAnsi="Calibri" w:cs="Calibri"/>
        </w:rPr>
      </w:pPr>
    </w:p>
    <w:p w:rsidRPr="000D0CF9" w:rsidR="007E610C" w:rsidP="007E610C" w:rsidRDefault="007E610C" w14:paraId="575C98C4" w14:textId="77777777">
      <w:pPr>
        <w:rPr>
          <w:rFonts w:ascii="Calibri" w:hAnsi="Calibri" w:cs="Calibri"/>
        </w:rPr>
      </w:pPr>
      <w:r w:rsidRPr="000D0CF9">
        <w:rPr>
          <w:rFonts w:ascii="Calibri" w:hAnsi="Calibri" w:cs="Calibri"/>
        </w:rPr>
        <w:t>Na de voorhangprocedure is aanleiding gezien het ontwerpbesluit op bepaalde punten aan te passen of aan te vullen op basis van voortschrijdend inzicht bij onder meer de NVWA in het kader van het door haar uitgevoerde toezicht. Het gaat om een onderscheid tussen een verkoopverpakking en binnenverpakking, verduidelijking van kwaliteitseisen van de geproduceerde hennep of hasjiesj en een aanvulling ten aanzien van het voorlichtingsmateriaal in de coffeeshops. Tot slot is mogelijk gemaakt dat in geval van overtreding van het afficheringsverbod voor telers, een bestuurlijke boete kan worden opgelegd. Deze gewijzigde versie zal om advies aanhangig worden gemaakt bij de Afdeling advisering van de Raad van State.</w:t>
      </w:r>
    </w:p>
    <w:p w:rsidRPr="000D0CF9" w:rsidR="007E610C" w:rsidP="007E610C" w:rsidRDefault="007E610C" w14:paraId="165D8414" w14:textId="77777777">
      <w:pPr>
        <w:rPr>
          <w:rFonts w:ascii="Calibri" w:hAnsi="Calibri" w:cs="Calibri"/>
        </w:rPr>
      </w:pPr>
    </w:p>
    <w:p w:rsidRPr="000D0CF9" w:rsidR="007E610C" w:rsidP="007E610C" w:rsidRDefault="007E610C" w14:paraId="1CA0A3D2" w14:textId="77777777">
      <w:pPr>
        <w:rPr>
          <w:rFonts w:ascii="Calibri" w:hAnsi="Calibri" w:cs="Calibri"/>
        </w:rPr>
      </w:pPr>
      <w:r w:rsidRPr="000D0CF9">
        <w:rPr>
          <w:rFonts w:ascii="Calibri" w:hAnsi="Calibri" w:cs="Calibri"/>
        </w:rPr>
        <w:t xml:space="preserve">Nu de voorhangprocedure van het eerste ontwerp niet heeft geleid tot vragen of opmerkingen uit beide Kamers zien wij, mede met het oog op de voortgang en gelet op het feit dat het voornamelijk verduidelijkingen van bestaande eisen betreft, geen reden om het aangepaste ontwerp opnieuw conform artikel 13 van de Wet Experiment gesloten coffeeshopketen voor te hangen. Middels deze brief informeren wij u over het aanhangig maken om advies van het aangepaste ontwerp bij de Afdeling advisering van de Raad van State. </w:t>
      </w:r>
    </w:p>
    <w:p w:rsidRPr="000D0CF9" w:rsidR="007E610C" w:rsidP="007E610C" w:rsidRDefault="007E610C" w14:paraId="59B97DBD" w14:textId="77777777">
      <w:pPr>
        <w:rPr>
          <w:rFonts w:ascii="Calibri" w:hAnsi="Calibri" w:cs="Calibri"/>
        </w:rPr>
      </w:pPr>
    </w:p>
    <w:p w:rsidRPr="000D0CF9" w:rsidR="007E610C" w:rsidP="007E610C" w:rsidRDefault="007E610C" w14:paraId="3C199C51" w14:textId="77777777">
      <w:pPr>
        <w:rPr>
          <w:rFonts w:ascii="Calibri" w:hAnsi="Calibri" w:cs="Calibri"/>
        </w:rPr>
      </w:pPr>
    </w:p>
    <w:p w:rsidRPr="000D0CF9" w:rsidR="007E610C" w:rsidP="007E610C" w:rsidRDefault="007E610C" w14:paraId="6419A98D" w14:textId="77777777">
      <w:pPr>
        <w:rPr>
          <w:rFonts w:ascii="Calibri" w:hAnsi="Calibri" w:cs="Calibri"/>
        </w:rPr>
      </w:pPr>
      <w:r w:rsidRPr="000D0CF9">
        <w:rPr>
          <w:rFonts w:ascii="Calibri" w:hAnsi="Calibri" w:cs="Calibri"/>
        </w:rPr>
        <w:t>Een gelijkluidende brief hebben wij gezonden aan de voorzitter van de Eerste Kamer der Staten-Generaal.</w:t>
      </w:r>
    </w:p>
    <w:p w:rsidRPr="000D0CF9" w:rsidR="007E610C" w:rsidP="007E610C" w:rsidRDefault="007E610C" w14:paraId="242F24FE" w14:textId="77777777">
      <w:pPr>
        <w:rPr>
          <w:rFonts w:ascii="Calibri" w:hAnsi="Calibri" w:cs="Calibri"/>
        </w:rPr>
      </w:pPr>
    </w:p>
    <w:p w:rsidRPr="000D0CF9" w:rsidR="000D0CF9" w:rsidP="000D0CF9" w:rsidRDefault="007E610C" w14:paraId="1069AF99" w14:textId="75632927">
      <w:pPr>
        <w:pStyle w:val="Geenafstand"/>
        <w:rPr>
          <w:rFonts w:ascii="Calibri" w:hAnsi="Calibri" w:cs="Calibri"/>
        </w:rPr>
      </w:pPr>
      <w:r w:rsidRPr="000D0CF9">
        <w:rPr>
          <w:rFonts w:ascii="Calibri" w:hAnsi="Calibri" w:cs="Calibri"/>
        </w:rPr>
        <w:t>De</w:t>
      </w:r>
      <w:r w:rsidRPr="000D0CF9" w:rsidR="000D0CF9">
        <w:rPr>
          <w:rFonts w:ascii="Calibri" w:hAnsi="Calibri" w:cs="Calibri"/>
        </w:rPr>
        <w:t xml:space="preserve"> m</w:t>
      </w:r>
      <w:r w:rsidRPr="000D0CF9">
        <w:rPr>
          <w:rFonts w:ascii="Calibri" w:hAnsi="Calibri" w:cs="Calibri"/>
        </w:rPr>
        <w:t>inister van Justitie en Veiligheid,</w:t>
      </w:r>
    </w:p>
    <w:p w:rsidRPr="000D0CF9" w:rsidR="000D0CF9" w:rsidP="000D0CF9" w:rsidRDefault="000D0CF9" w14:paraId="3DDCD50C" w14:textId="279C3009">
      <w:pPr>
        <w:pStyle w:val="Geenafstand"/>
        <w:rPr>
          <w:rFonts w:ascii="Calibri" w:hAnsi="Calibri" w:cs="Calibri"/>
        </w:rPr>
      </w:pPr>
      <w:r w:rsidRPr="000D0CF9">
        <w:rPr>
          <w:rFonts w:ascii="Calibri" w:hAnsi="Calibri" w:cs="Calibri"/>
        </w:rPr>
        <w:t>D.M. van Weel</w:t>
      </w:r>
    </w:p>
    <w:p w:rsidRPr="000D0CF9" w:rsidR="000D0CF9" w:rsidP="000D0CF9" w:rsidRDefault="000D0CF9" w14:paraId="42844A5D" w14:textId="77777777">
      <w:pPr>
        <w:pStyle w:val="Geenafstand"/>
        <w:rPr>
          <w:rFonts w:ascii="Calibri" w:hAnsi="Calibri" w:cs="Calibri"/>
        </w:rPr>
      </w:pPr>
    </w:p>
    <w:p w:rsidRPr="000D0CF9" w:rsidR="000D0CF9" w:rsidP="000D0CF9" w:rsidRDefault="007E610C" w14:paraId="0D5E98A5" w14:textId="6D971B5B">
      <w:pPr>
        <w:pStyle w:val="Geenafstand"/>
        <w:rPr>
          <w:rFonts w:ascii="Calibri" w:hAnsi="Calibri" w:cs="Calibri"/>
          <w:spacing w:val="-3"/>
        </w:rPr>
      </w:pPr>
      <w:r w:rsidRPr="000D0CF9">
        <w:rPr>
          <w:rFonts w:ascii="Calibri" w:hAnsi="Calibri" w:cs="Calibri"/>
        </w:rPr>
        <w:t xml:space="preserve">De </w:t>
      </w:r>
      <w:r w:rsidRPr="000D0CF9" w:rsidR="000D0CF9">
        <w:rPr>
          <w:rFonts w:ascii="Calibri" w:hAnsi="Calibri" w:cs="Calibri"/>
        </w:rPr>
        <w:t>s</w:t>
      </w:r>
      <w:r w:rsidRPr="000D0CF9">
        <w:rPr>
          <w:rFonts w:ascii="Calibri" w:hAnsi="Calibri" w:cs="Calibri"/>
        </w:rPr>
        <w:t xml:space="preserve">taatssecretaris </w:t>
      </w:r>
      <w:r w:rsidRPr="000D0CF9" w:rsidR="000D0CF9">
        <w:rPr>
          <w:rFonts w:ascii="Calibri" w:hAnsi="Calibri" w:cs="Calibri"/>
        </w:rPr>
        <w:t xml:space="preserve">van </w:t>
      </w:r>
      <w:r w:rsidRPr="000D0CF9" w:rsidR="000D0CF9">
        <w:rPr>
          <w:rFonts w:ascii="Calibri" w:hAnsi="Calibri" w:cs="Calibri"/>
          <w:spacing w:val="-3"/>
        </w:rPr>
        <w:t>Volksgezondheid, Welzijn en Sport,</w:t>
      </w:r>
    </w:p>
    <w:p w:rsidRPr="000D0CF9" w:rsidR="007E610C" w:rsidP="000D0CF9" w:rsidRDefault="007E610C" w14:paraId="71B37698" w14:textId="1B212322">
      <w:pPr>
        <w:pStyle w:val="Geenafstand"/>
        <w:rPr>
          <w:rFonts w:ascii="Calibri" w:hAnsi="Calibri" w:cs="Calibri"/>
        </w:rPr>
      </w:pPr>
      <w:r w:rsidRPr="000D0CF9">
        <w:rPr>
          <w:rFonts w:ascii="Calibri" w:hAnsi="Calibri" w:cs="Calibri"/>
        </w:rPr>
        <w:t>V</w:t>
      </w:r>
      <w:r w:rsidRPr="000D0CF9" w:rsidR="000D0CF9">
        <w:rPr>
          <w:rFonts w:ascii="Calibri" w:hAnsi="Calibri" w:cs="Calibri"/>
        </w:rPr>
        <w:t>.P.G.</w:t>
      </w:r>
      <w:r w:rsidRPr="000D0CF9">
        <w:rPr>
          <w:rFonts w:ascii="Calibri" w:hAnsi="Calibri" w:cs="Calibri"/>
        </w:rPr>
        <w:t xml:space="preserve"> Karremans</w:t>
      </w:r>
    </w:p>
    <w:p w:rsidRPr="000D0CF9" w:rsidR="00E6311E" w:rsidRDefault="00E6311E" w14:paraId="10F19CEC" w14:textId="77777777">
      <w:pPr>
        <w:rPr>
          <w:rFonts w:ascii="Calibri" w:hAnsi="Calibri" w:cs="Calibri"/>
        </w:rPr>
      </w:pPr>
    </w:p>
    <w:sectPr w:rsidRPr="000D0CF9" w:rsidR="00E6311E" w:rsidSect="0002744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0DC17" w14:textId="77777777" w:rsidR="007E610C" w:rsidRDefault="007E610C" w:rsidP="007E610C">
      <w:pPr>
        <w:spacing w:after="0" w:line="240" w:lineRule="auto"/>
      </w:pPr>
      <w:r>
        <w:separator/>
      </w:r>
    </w:p>
  </w:endnote>
  <w:endnote w:type="continuationSeparator" w:id="0">
    <w:p w14:paraId="0AC41064" w14:textId="77777777" w:rsidR="007E610C" w:rsidRDefault="007E610C" w:rsidP="007E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042029" w:usb3="00000000" w:csb0="800001FF" w:csb1="00000000"/>
  </w:font>
  <w:font w:name="Lohit Hindi">
    <w:altName w:val="Cambria"/>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45A6" w14:textId="77777777" w:rsidR="007E610C" w:rsidRPr="007E610C" w:rsidRDefault="007E610C" w:rsidP="007E6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5E63" w14:textId="77777777" w:rsidR="007E610C" w:rsidRPr="007E610C" w:rsidRDefault="007E610C" w:rsidP="007E61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F00D" w14:textId="77777777" w:rsidR="007E610C" w:rsidRPr="007E610C" w:rsidRDefault="007E610C" w:rsidP="007E61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14485" w14:textId="77777777" w:rsidR="007E610C" w:rsidRDefault="007E610C" w:rsidP="007E610C">
      <w:pPr>
        <w:spacing w:after="0" w:line="240" w:lineRule="auto"/>
      </w:pPr>
      <w:r>
        <w:separator/>
      </w:r>
    </w:p>
  </w:footnote>
  <w:footnote w:type="continuationSeparator" w:id="0">
    <w:p w14:paraId="465BCB7B" w14:textId="77777777" w:rsidR="007E610C" w:rsidRDefault="007E610C" w:rsidP="007E610C">
      <w:pPr>
        <w:spacing w:after="0" w:line="240" w:lineRule="auto"/>
      </w:pPr>
      <w:r>
        <w:continuationSeparator/>
      </w:r>
    </w:p>
  </w:footnote>
  <w:footnote w:id="1">
    <w:p w14:paraId="4E42DE45" w14:textId="2D062EB7" w:rsidR="007E610C" w:rsidRPr="000D0CF9" w:rsidRDefault="007E610C" w:rsidP="007E610C">
      <w:pPr>
        <w:pStyle w:val="Voetnoottekst"/>
        <w:rPr>
          <w:rFonts w:ascii="Calibri" w:hAnsi="Calibri" w:cs="Calibri"/>
        </w:rPr>
      </w:pPr>
      <w:r w:rsidRPr="000D0CF9">
        <w:rPr>
          <w:rStyle w:val="Voetnootmarkering"/>
          <w:rFonts w:ascii="Calibri" w:hAnsi="Calibri" w:cs="Calibri"/>
        </w:rPr>
        <w:footnoteRef/>
      </w:r>
      <w:r w:rsidRPr="000D0CF9">
        <w:rPr>
          <w:rFonts w:ascii="Calibri" w:hAnsi="Calibri" w:cs="Calibri"/>
        </w:rPr>
        <w:t xml:space="preserve"> Kamerstuk 24 077, nr. 538.</w:t>
      </w:r>
    </w:p>
  </w:footnote>
  <w:footnote w:id="2">
    <w:p w14:paraId="7655D3C1" w14:textId="5F1A33D6" w:rsidR="007E610C" w:rsidRPr="000D0CF9" w:rsidRDefault="007E610C" w:rsidP="007E610C">
      <w:pPr>
        <w:pStyle w:val="Voetnoottekst"/>
        <w:rPr>
          <w:rFonts w:ascii="Calibri" w:hAnsi="Calibri" w:cs="Calibri"/>
        </w:rPr>
      </w:pPr>
      <w:r w:rsidRPr="000D0CF9">
        <w:rPr>
          <w:rStyle w:val="Voetnootmarkering"/>
          <w:rFonts w:ascii="Calibri" w:hAnsi="Calibri" w:cs="Calibri"/>
        </w:rPr>
        <w:footnoteRef/>
      </w:r>
      <w:r w:rsidRPr="000D0CF9">
        <w:rPr>
          <w:rFonts w:ascii="Calibri" w:hAnsi="Calibri" w:cs="Calibri"/>
        </w:rPr>
        <w:t xml:space="preserve"> Kamerstuk 24 077, nr. 542.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A2D3" w14:textId="77777777" w:rsidR="007E610C" w:rsidRPr="007E610C" w:rsidRDefault="007E610C" w:rsidP="007E61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14C7" w14:textId="77777777" w:rsidR="007E610C" w:rsidRPr="007E610C" w:rsidRDefault="007E610C" w:rsidP="007E61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C1597" w14:textId="77777777" w:rsidR="007E610C" w:rsidRPr="007E610C" w:rsidRDefault="007E610C" w:rsidP="007E61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0C"/>
    <w:rsid w:val="00027446"/>
    <w:rsid w:val="00077A04"/>
    <w:rsid w:val="000D0CF9"/>
    <w:rsid w:val="0025703A"/>
    <w:rsid w:val="00463F08"/>
    <w:rsid w:val="007E610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CB9"/>
  <w15:chartTrackingRefBased/>
  <w15:docId w15:val="{D780649B-99D3-4620-9B7F-339C3CDC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6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6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61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61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61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61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61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61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61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61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61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61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61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61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61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61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61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610C"/>
    <w:rPr>
      <w:rFonts w:eastAsiaTheme="majorEastAsia" w:cstheme="majorBidi"/>
      <w:color w:val="272727" w:themeColor="text1" w:themeTint="D8"/>
    </w:rPr>
  </w:style>
  <w:style w:type="paragraph" w:styleId="Titel">
    <w:name w:val="Title"/>
    <w:basedOn w:val="Standaard"/>
    <w:next w:val="Standaard"/>
    <w:link w:val="TitelChar"/>
    <w:uiPriority w:val="10"/>
    <w:qFormat/>
    <w:rsid w:val="007E6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61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61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61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61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610C"/>
    <w:rPr>
      <w:i/>
      <w:iCs/>
      <w:color w:val="404040" w:themeColor="text1" w:themeTint="BF"/>
    </w:rPr>
  </w:style>
  <w:style w:type="paragraph" w:styleId="Lijstalinea">
    <w:name w:val="List Paragraph"/>
    <w:basedOn w:val="Standaard"/>
    <w:uiPriority w:val="34"/>
    <w:qFormat/>
    <w:rsid w:val="007E610C"/>
    <w:pPr>
      <w:ind w:left="720"/>
      <w:contextualSpacing/>
    </w:pPr>
  </w:style>
  <w:style w:type="character" w:styleId="Intensievebenadrukking">
    <w:name w:val="Intense Emphasis"/>
    <w:basedOn w:val="Standaardalinea-lettertype"/>
    <w:uiPriority w:val="21"/>
    <w:qFormat/>
    <w:rsid w:val="007E610C"/>
    <w:rPr>
      <w:i/>
      <w:iCs/>
      <w:color w:val="0F4761" w:themeColor="accent1" w:themeShade="BF"/>
    </w:rPr>
  </w:style>
  <w:style w:type="paragraph" w:styleId="Duidelijkcitaat">
    <w:name w:val="Intense Quote"/>
    <w:basedOn w:val="Standaard"/>
    <w:next w:val="Standaard"/>
    <w:link w:val="DuidelijkcitaatChar"/>
    <w:uiPriority w:val="30"/>
    <w:qFormat/>
    <w:rsid w:val="007E6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610C"/>
    <w:rPr>
      <w:i/>
      <w:iCs/>
      <w:color w:val="0F4761" w:themeColor="accent1" w:themeShade="BF"/>
    </w:rPr>
  </w:style>
  <w:style w:type="character" w:styleId="Intensieveverwijzing">
    <w:name w:val="Intense Reference"/>
    <w:basedOn w:val="Standaardalinea-lettertype"/>
    <w:uiPriority w:val="32"/>
    <w:qFormat/>
    <w:rsid w:val="007E610C"/>
    <w:rPr>
      <w:b/>
      <w:bCs/>
      <w:smallCaps/>
      <w:color w:val="0F4761" w:themeColor="accent1" w:themeShade="BF"/>
      <w:spacing w:val="5"/>
    </w:rPr>
  </w:style>
  <w:style w:type="paragraph" w:customStyle="1" w:styleId="Referentiegegevens">
    <w:name w:val="Referentiegegevens"/>
    <w:basedOn w:val="Standaard"/>
    <w:next w:val="Standaard"/>
    <w:rsid w:val="007E610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E610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E610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E610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semiHidden/>
    <w:unhideWhenUsed/>
    <w:rsid w:val="007E610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semiHidden/>
    <w:rsid w:val="007E610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unhideWhenUsed/>
    <w:rsid w:val="007E610C"/>
    <w:rPr>
      <w:vertAlign w:val="superscript"/>
    </w:rPr>
  </w:style>
  <w:style w:type="paragraph" w:styleId="Koptekst">
    <w:name w:val="header"/>
    <w:basedOn w:val="Standaard"/>
    <w:link w:val="KoptekstChar"/>
    <w:uiPriority w:val="99"/>
    <w:unhideWhenUsed/>
    <w:rsid w:val="007E61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10C"/>
  </w:style>
  <w:style w:type="paragraph" w:styleId="Voettekst">
    <w:name w:val="footer"/>
    <w:basedOn w:val="Standaard"/>
    <w:link w:val="VoettekstChar"/>
    <w:uiPriority w:val="99"/>
    <w:unhideWhenUsed/>
    <w:rsid w:val="007E61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10C"/>
  </w:style>
  <w:style w:type="paragraph" w:styleId="Geenafstand">
    <w:name w:val="No Spacing"/>
    <w:uiPriority w:val="1"/>
    <w:qFormat/>
    <w:rsid w:val="000D0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831</ap:Words>
  <ap:Characters>4574</ap:Characters>
  <ap:DocSecurity>0</ap:DocSecurity>
  <ap:Lines>38</ap:Lines>
  <ap:Paragraphs>10</ap:Paragraphs>
  <ap:ScaleCrop>false</ap:ScaleCrop>
  <ap:LinksUpToDate>false</ap:LinksUpToDate>
  <ap:CharactersWithSpaces>5395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2025-01-22T10:42:00.0000000Z</dcterms:created>
  <dcterms:modified xsi:type="dcterms:W3CDTF">2025-01-22T10:42:00.0000000Z</dcterms:modified>
  <version/>
  <category/>
</coreProperties>
</file>