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2025Z00517</w:t>
        <w:br/>
      </w:r>
      <w:proofErr w:type="spellEnd"/>
    </w:p>
    <w:p>
      <w:pPr>
        <w:pStyle w:val="Normal"/>
        <w:rPr>
          <w:b w:val="1"/>
          <w:bCs w:val="1"/>
        </w:rPr>
      </w:pPr>
      <w:r w:rsidR="250AE766">
        <w:rPr>
          <w:b w:val="0"/>
          <w:bCs w:val="0"/>
        </w:rPr>
        <w:t>(ingezonden 16 januari 2025)</w:t>
        <w:br/>
      </w:r>
    </w:p>
    <w:p>
      <w:r>
        <w:t xml:space="preserve">Vragen van de leden Stoffer (SGP) en Westerveld (GL-PvdA) aan de staatssecretaris van Onderwijs, Cultuur en Wetenschap over de berichten ‘Wie betaalt voor zorg op school? In Limburg krijgen ouders van kwetsbare kinderen de rekening’ en ‘Vage facturen en creatief boekhouden op Maastrichtse school voor gehandicapte kinderen: ‘Ouders staan met hun rug tegen de muur’‘</w:t>
      </w:r>
      <w:r>
        <w:br/>
      </w:r>
    </w:p>
    <w:p>
      <w:r>
        <w:t xml:space="preserve"> </w:t>
      </w:r>
      <w:r>
        <w:br/>
      </w:r>
    </w:p>
    <w:p>
      <w:pPr>
        <w:pStyle w:val="ListParagraph"/>
        <w:numPr>
          <w:ilvl w:val="0"/>
          <w:numId w:val="100465400"/>
        </w:numPr>
        <w:ind w:left="360"/>
      </w:pPr>
      <w:r>
        <w:t>Bent u bekend met de berichten ‘Wie betaalt voor zorg op school? In Limburg krijgen ouders van kwetsbare kinderen de rekening’ en ‘Vage facturen en creatief boekhouden op Maastrichtse school voor gehandicapte kinderen: ‘Ouders staan met hun rug tegen de muur’‘?[1]</w:t>
      </w:r>
      <w:r>
        <w:br/>
      </w:r>
    </w:p>
    <w:p>
      <w:pPr>
        <w:pStyle w:val="ListParagraph"/>
        <w:numPr>
          <w:ilvl w:val="0"/>
          <w:numId w:val="100465400"/>
        </w:numPr>
        <w:ind w:left="360"/>
      </w:pPr>
      <w:r>
        <w:t>Klopt het dat deze financiële constructie momenteel op meerdere of zelfs veel plaatsen in Nederland gebruikt zou worden? Zo ja, kunt u hiervan een beeld schetsen?</w:t>
      </w:r>
      <w:r>
        <w:br/>
      </w:r>
    </w:p>
    <w:p>
      <w:pPr>
        <w:pStyle w:val="ListParagraph"/>
        <w:numPr>
          <w:ilvl w:val="0"/>
          <w:numId w:val="100465400"/>
        </w:numPr>
        <w:ind w:left="360"/>
      </w:pPr>
      <w:r>
        <w:t>Vindt u het toelaatbaar en bevredigend dat de Dienst Uitvoering Onderwijs</w:t>
      </w:r>
      <w:r>
        <w:rPr>
          <w:i w:val="1"/>
          <w:iCs w:val="1"/>
        </w:rPr>
        <w:t xml:space="preserve"> (</w:t>
      </w:r>
      <w:r>
        <w:rPr/>
        <w:t xml:space="preserve">DUO) een toelaatbaarheidsverklaring afgeeft aan het bevoegd gezag voor de zwaarste categorie ondersteuning, terwijl op voorhand duidelijk is dat de school dit geld niet direct zal gaan besteden aan de leerling en het probleem ondanks de afgegeven hoge bekostiging verplaatst wordt naar de ouders? Hoe is deze praktijk te rijmen met het uitgangspunt dat de zorgmiddelen van ouders niet mogen worden meegewogen in de keuze van de bekostigingscategorie?[2]</w:t>
      </w:r>
      <w:r>
        <w:br/>
      </w:r>
    </w:p>
    <w:p>
      <w:pPr>
        <w:pStyle w:val="ListParagraph"/>
        <w:numPr>
          <w:ilvl w:val="0"/>
          <w:numId w:val="100465400"/>
        </w:numPr>
        <w:ind w:left="360"/>
      </w:pPr>
      <w:r>
        <w:t>Is de door het bevoegd gezag gehanteerde financiële constructie voorafgaand aan de toepassing voorgelegd aan de medezeggenschapsraden? Zo ja, wanneer is dat gebeurd en wat waren de reacties? Zo nee, waarom niet?</w:t>
      </w:r>
      <w:r>
        <w:br/>
      </w:r>
    </w:p>
    <w:p>
      <w:pPr>
        <w:pStyle w:val="ListParagraph"/>
        <w:numPr>
          <w:ilvl w:val="0"/>
          <w:numId w:val="100465400"/>
        </w:numPr>
        <w:ind w:left="360"/>
      </w:pPr>
      <w:r>
        <w:t>Mogen scholen de persoonsgebonden budget (pgb) middelen van ouders bundelen om zorgpersoneel aan te nemen? Klopt het dat scholen de ouders niet kunnen verplichten een deel van het persoonsgebonden budget aan de school over te dragen indien de middelen niet individueel worden besteed?</w:t>
      </w:r>
      <w:r>
        <w:br/>
      </w:r>
    </w:p>
    <w:p>
      <w:pPr>
        <w:pStyle w:val="ListParagraph"/>
        <w:numPr>
          <w:ilvl w:val="0"/>
          <w:numId w:val="100465400"/>
        </w:numPr>
        <w:ind w:left="360"/>
      </w:pPr>
      <w:r>
        <w:t>Heeft de Inspectie van het Onderwijs in de afgelopen jaren onderzocht in hoeverre sprake is van individuele besteding van de middelen van ouders, gezien de aanhoudende aandacht voor deze situatie?</w:t>
      </w:r>
      <w:r>
        <w:br/>
      </w:r>
    </w:p>
    <w:p>
      <w:pPr>
        <w:pStyle w:val="ListParagraph"/>
        <w:numPr>
          <w:ilvl w:val="0"/>
          <w:numId w:val="100465400"/>
        </w:numPr>
        <w:ind w:left="360"/>
      </w:pPr>
      <w:r>
        <w:t>Welke rol hebben de leerplichtambtenaren in de regio in de afgelopen jaren vervuld, gelet op de mogelijke gevolgen voor kinderen van de weigering van ouders om een deel van het budget over te dragen?</w:t>
      </w:r>
      <w:r>
        <w:br/>
      </w:r>
    </w:p>
    <w:p>
      <w:pPr>
        <w:pStyle w:val="ListParagraph"/>
        <w:numPr>
          <w:ilvl w:val="0"/>
          <w:numId w:val="100465400"/>
        </w:numPr>
        <w:ind w:left="360"/>
      </w:pPr>
      <w:r>
        <w:t>Vindt u het ook onwenselijk dat grote verschillen kunnen ontstaan tussen ouders afhankelijk van de vraag of zij in staat en bereid zijn zich juridisch te verweren tegen aanspraken van het bevoegd gezag? Is het acceptabel dat een deurwaarder wordt ingezet om ouders onder druk te zetten?</w:t>
      </w:r>
      <w:r>
        <w:br/>
      </w:r>
    </w:p>
    <w:p>
      <w:pPr>
        <w:pStyle w:val="ListParagraph"/>
        <w:numPr>
          <w:ilvl w:val="0"/>
          <w:numId w:val="100465400"/>
        </w:numPr>
        <w:ind w:left="360"/>
      </w:pPr>
      <w:r>
        <w:t>In hoeverre is sprake van rechtmatige en doelmatige bekostiging door samenwerkingsverbanden bij een kwijtschelding voor de aangesloten scholen bij het realiseren van lagere opbrengsten uit overdrachten van persoonsgebonden budget door ouders?</w:t>
      </w:r>
      <w:r>
        <w:br/>
      </w:r>
    </w:p>
    <w:p>
      <w:pPr>
        <w:pStyle w:val="ListParagraph"/>
        <w:numPr>
          <w:ilvl w:val="0"/>
          <w:numId w:val="100465400"/>
        </w:numPr>
        <w:ind w:left="360"/>
      </w:pPr>
      <w:r>
        <w:t>Kunt u aangeven hoe de gewraakte constructie zich verhoudt tot de contouren van de nieuwe wetgeving inzake de bekostiging van onderwijs en zorg? Vindt u ook dat de nieuwe wetgeving in ieder geval een einde zou moeten maken aan de schijn van schimmigheid en volstrekt transparant dient te zijn?</w:t>
      </w:r>
      <w:r>
        <w:br/>
      </w:r>
    </w:p>
    <w:p>
      <w:r>
        <w:t xml:space="preserve"> </w:t>
      </w:r>
      <w:r>
        <w:br/>
      </w:r>
    </w:p>
    <w:p>
      <w:r>
        <w:t xml:space="preserve">[1] Website Follow The Money, 4 januari 2025, 'Wie betaalt voor zorg op school? In Limburg krijgen ouders van kwetsbare kinderen de rekening', https://www.ftm.nl/artikelen/fraude-in-het-limburgse-samenwerkingsverband-voor-passend-onderwijs?share=5e9Fk0m4CqA03Hv%2F6O0Y8Gzje%2B%2FfcvYUgbG8Jzt44mm3GuMJcUIPzw4n6XYYYLQ%3D; https://www.limburger.nl/regio/maastricht/vage-facturen-en-creatief-boekhouden-op-maastrichtse-school-voor-gehandicapte-kinderen-ouders-staan-met-hun-rug-tegen-de-muur/34423643.html.</w:t>
      </w:r>
      <w:r>
        <w:br/>
      </w:r>
    </w:p>
    <w:p>
      <w:r>
        <w:t xml:space="preserve">[2] Documenten bij besluit op Wob-verzoek over Tyltylschool De Maasgouw, ministerie van OCW, 1 maart 2021, p. 121.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300">
    <w:abstractNumId w:val="100465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