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5B26" w:rsidP="00741D00" w:rsidRDefault="002E5823" w14:paraId="49983CC7" w14:textId="714EF3ED">
      <w:pPr>
        <w:spacing w:line="276" w:lineRule="auto"/>
        <w:rPr>
          <w:b/>
          <w:szCs w:val="18"/>
          <w:lang w:val="nl-NL"/>
        </w:rPr>
      </w:pPr>
      <w:r>
        <w:rPr>
          <w:b/>
          <w:szCs w:val="18"/>
          <w:lang w:val="nl-NL"/>
        </w:rPr>
        <w:t>GEANNOTEERDE AGENDA</w:t>
      </w:r>
      <w:r w:rsidR="00FF5B26">
        <w:rPr>
          <w:b/>
          <w:szCs w:val="18"/>
          <w:lang w:val="nl-NL"/>
        </w:rPr>
        <w:t xml:space="preserve"> RAAD ALGEMENE ZAKEN VAN </w:t>
      </w:r>
      <w:r w:rsidR="00694965">
        <w:rPr>
          <w:b/>
          <w:szCs w:val="18"/>
          <w:lang w:val="nl-NL"/>
        </w:rPr>
        <w:t>28 januari 2025</w:t>
      </w:r>
      <w:r w:rsidR="00FF5B26">
        <w:rPr>
          <w:b/>
          <w:szCs w:val="18"/>
          <w:lang w:val="nl-NL"/>
        </w:rPr>
        <w:t xml:space="preserve"> </w:t>
      </w:r>
    </w:p>
    <w:p w:rsidRPr="003054C1" w:rsidR="00DA1340" w:rsidP="00741D00" w:rsidRDefault="00DA1340" w14:paraId="4F8A3D87" w14:textId="1F8AD035">
      <w:pPr>
        <w:spacing w:line="276" w:lineRule="auto"/>
        <w:rPr>
          <w:szCs w:val="18"/>
          <w:lang w:val="nl-NL" w:eastAsia="ja-JP"/>
        </w:rPr>
      </w:pPr>
      <w:r w:rsidRPr="00DA1340">
        <w:rPr>
          <w:szCs w:val="18"/>
          <w:lang w:val="nl-NL" w:eastAsia="ja-JP"/>
        </w:rPr>
        <w:t xml:space="preserve">Op </w:t>
      </w:r>
      <w:r>
        <w:rPr>
          <w:szCs w:val="18"/>
          <w:lang w:val="nl-NL" w:eastAsia="ja-JP"/>
        </w:rPr>
        <w:t>28</w:t>
      </w:r>
      <w:r w:rsidRPr="00DA1340">
        <w:rPr>
          <w:szCs w:val="18"/>
          <w:lang w:val="nl-NL" w:eastAsia="ja-JP"/>
        </w:rPr>
        <w:t xml:space="preserve"> </w:t>
      </w:r>
      <w:r>
        <w:rPr>
          <w:szCs w:val="18"/>
          <w:lang w:val="nl-NL" w:eastAsia="ja-JP"/>
        </w:rPr>
        <w:t>januari 2025 v</w:t>
      </w:r>
      <w:r w:rsidRPr="00DA1340">
        <w:rPr>
          <w:szCs w:val="18"/>
          <w:lang w:val="nl-NL" w:eastAsia="ja-JP"/>
        </w:rPr>
        <w:t xml:space="preserve">indt de Raad Algemene Zaken </w:t>
      </w:r>
      <w:r w:rsidR="00FA0B23">
        <w:rPr>
          <w:szCs w:val="18"/>
          <w:lang w:val="nl-NL" w:eastAsia="ja-JP"/>
        </w:rPr>
        <w:t xml:space="preserve">(RAZ) </w:t>
      </w:r>
      <w:r w:rsidRPr="00DA1340">
        <w:rPr>
          <w:szCs w:val="18"/>
          <w:lang w:val="nl-NL" w:eastAsia="ja-JP"/>
        </w:rPr>
        <w:t>plaats in Brussel. Op de agenda staan</w:t>
      </w:r>
      <w:r>
        <w:rPr>
          <w:szCs w:val="18"/>
          <w:lang w:val="nl-NL" w:eastAsia="ja-JP"/>
        </w:rPr>
        <w:t xml:space="preserve"> </w:t>
      </w:r>
      <w:r w:rsidR="00025AD2">
        <w:rPr>
          <w:szCs w:val="18"/>
          <w:lang w:val="nl-NL" w:eastAsia="ja-JP"/>
        </w:rPr>
        <w:t>de prioriteiten van het Poolse voorzitterschap en de landenspecifieke rechtsstaatdialoog.</w:t>
      </w:r>
      <w:r w:rsidR="00FA0B23">
        <w:rPr>
          <w:szCs w:val="18"/>
          <w:lang w:val="nl-NL" w:eastAsia="ja-JP"/>
        </w:rPr>
        <w:t xml:space="preserve"> De minister van Buitenlandse Zaken is verhinderd</w:t>
      </w:r>
      <w:r w:rsidR="00F42C77">
        <w:rPr>
          <w:szCs w:val="18"/>
          <w:lang w:val="nl-NL" w:eastAsia="ja-JP"/>
        </w:rPr>
        <w:t xml:space="preserve"> vanwege de jaarlijkse ambassadeursconferentie</w:t>
      </w:r>
      <w:r w:rsidR="00FA0B23">
        <w:rPr>
          <w:szCs w:val="18"/>
          <w:lang w:val="nl-NL" w:eastAsia="ja-JP"/>
        </w:rPr>
        <w:t xml:space="preserve">. </w:t>
      </w:r>
      <w:r w:rsidRPr="00D73754" w:rsidR="00FA0B23">
        <w:rPr>
          <w:szCs w:val="18"/>
          <w:lang w:val="nl-NL" w:eastAsia="ja-JP"/>
        </w:rPr>
        <w:t>De Nederlandse Permanent Vertegenwoordiger bij de Europese Unie zal Nederland vertegenwoordigen tijdens deze Raad.</w:t>
      </w:r>
    </w:p>
    <w:p w:rsidR="00034AAF" w:rsidP="00741D00" w:rsidRDefault="00CA0735" w14:paraId="00AE10DE" w14:textId="2E42907B">
      <w:pPr>
        <w:spacing w:line="276" w:lineRule="auto"/>
        <w:rPr>
          <w:rFonts w:eastAsia="Malgun Gothic"/>
          <w:b/>
          <w:szCs w:val="18"/>
          <w:lang w:val="nl-NL" w:eastAsia="ko-KR"/>
        </w:rPr>
      </w:pPr>
      <w:r w:rsidRPr="00CA0735">
        <w:rPr>
          <w:b/>
          <w:szCs w:val="18"/>
          <w:lang w:val="nl-NL" w:eastAsia="ja-JP"/>
        </w:rPr>
        <w:t xml:space="preserve">Prioriteiten </w:t>
      </w:r>
      <w:r w:rsidR="00025AD2">
        <w:rPr>
          <w:b/>
          <w:szCs w:val="18"/>
          <w:lang w:val="nl-NL" w:eastAsia="ja-JP"/>
        </w:rPr>
        <w:t>Pools</w:t>
      </w:r>
      <w:r w:rsidRPr="00CA0735">
        <w:rPr>
          <w:b/>
          <w:szCs w:val="18"/>
          <w:lang w:val="nl-NL" w:eastAsia="ja-JP"/>
        </w:rPr>
        <w:t xml:space="preserve"> voorzitterscha</w:t>
      </w:r>
      <w:r w:rsidR="00D63E4B">
        <w:rPr>
          <w:b/>
          <w:szCs w:val="18"/>
          <w:lang w:val="nl-NL" w:eastAsia="ja-JP"/>
        </w:rPr>
        <w:t>p</w:t>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p>
    <w:p w:rsidRPr="00D73754" w:rsidR="00FF5B26" w:rsidP="00741D00" w:rsidRDefault="00034AAF" w14:paraId="32902074" w14:textId="1C844E9B">
      <w:pPr>
        <w:spacing w:line="276" w:lineRule="auto"/>
        <w:rPr>
          <w:rFonts w:cs="Times New Roman"/>
          <w:b/>
          <w:szCs w:val="18"/>
          <w:lang w:val="nl-NL" w:eastAsia="ja-JP"/>
        </w:rPr>
      </w:pPr>
      <w:r>
        <w:rPr>
          <w:rFonts w:eastAsia="Malgun Gothic"/>
          <w:bCs/>
          <w:szCs w:val="18"/>
          <w:lang w:val="nl-NL" w:eastAsia="ko-KR"/>
        </w:rPr>
        <w:t xml:space="preserve">De Raad van 28 januari is de eerste Raad Algemene Zaken onder het Poolse EU-voorzitterschap. </w:t>
      </w:r>
      <w:r w:rsidRPr="006F0D95" w:rsidR="006F0D95">
        <w:rPr>
          <w:lang w:val="nl-NL"/>
        </w:rPr>
        <w:t>Tijdens de</w:t>
      </w:r>
      <w:r w:rsidR="006F0D95">
        <w:rPr>
          <w:lang w:val="nl-NL"/>
        </w:rPr>
        <w:t>ze</w:t>
      </w:r>
      <w:r w:rsidRPr="006F0D95" w:rsidR="006F0D95">
        <w:rPr>
          <w:lang w:val="nl-NL"/>
        </w:rPr>
        <w:t xml:space="preserve"> Raad zal het </w:t>
      </w:r>
      <w:r w:rsidR="006F0D95">
        <w:rPr>
          <w:lang w:val="nl-NL"/>
        </w:rPr>
        <w:t>Pools</w:t>
      </w:r>
      <w:r w:rsidR="006D312E">
        <w:rPr>
          <w:lang w:val="nl-NL"/>
        </w:rPr>
        <w:t>e</w:t>
      </w:r>
      <w:r w:rsidRPr="006F0D95" w:rsidR="006F0D95">
        <w:rPr>
          <w:lang w:val="nl-NL"/>
        </w:rPr>
        <w:t xml:space="preserve"> voorzitterschap een presentatie geven over </w:t>
      </w:r>
      <w:r w:rsidR="006D312E">
        <w:rPr>
          <w:lang w:val="nl-NL"/>
        </w:rPr>
        <w:t>zijn</w:t>
      </w:r>
      <w:r w:rsidRPr="006F0D95" w:rsidR="006D312E">
        <w:rPr>
          <w:lang w:val="nl-NL"/>
        </w:rPr>
        <w:t xml:space="preserve"> </w:t>
      </w:r>
      <w:r w:rsidRPr="006F0D95" w:rsidR="006F0D95">
        <w:rPr>
          <w:lang w:val="nl-NL"/>
        </w:rPr>
        <w:t>prioriteiten</w:t>
      </w:r>
      <w:r w:rsidR="006F0D95">
        <w:rPr>
          <w:rFonts w:eastAsia="Malgun Gothic"/>
          <w:bCs/>
          <w:szCs w:val="18"/>
          <w:lang w:val="nl-NL" w:eastAsia="ko-KR"/>
        </w:rPr>
        <w:t xml:space="preserve">. </w:t>
      </w:r>
      <w:r w:rsidR="00CD403F">
        <w:rPr>
          <w:rFonts w:eastAsia="Malgun Gothic"/>
          <w:bCs/>
          <w:szCs w:val="18"/>
          <w:lang w:val="nl-NL" w:eastAsia="ko-KR"/>
        </w:rPr>
        <w:t>D</w:t>
      </w:r>
      <w:r>
        <w:rPr>
          <w:rFonts w:eastAsia="Malgun Gothic"/>
          <w:bCs/>
          <w:szCs w:val="18"/>
          <w:lang w:val="nl-NL" w:eastAsia="ko-KR"/>
        </w:rPr>
        <w:t xml:space="preserve">e </w:t>
      </w:r>
      <w:r w:rsidR="00380EDB">
        <w:rPr>
          <w:rFonts w:eastAsia="Malgun Gothic"/>
          <w:bCs/>
          <w:szCs w:val="18"/>
          <w:lang w:val="nl-NL" w:eastAsia="ko-KR"/>
        </w:rPr>
        <w:t xml:space="preserve">nadruk </w:t>
      </w:r>
      <w:r>
        <w:rPr>
          <w:rFonts w:eastAsia="Malgun Gothic"/>
          <w:bCs/>
          <w:szCs w:val="18"/>
          <w:lang w:val="nl-NL" w:eastAsia="ko-KR"/>
        </w:rPr>
        <w:t>zal liggen op veiligheid</w:t>
      </w:r>
      <w:r w:rsidR="006D312E">
        <w:rPr>
          <w:rFonts w:eastAsia="Malgun Gothic"/>
          <w:bCs/>
          <w:szCs w:val="18"/>
          <w:lang w:val="nl-NL" w:eastAsia="ko-KR"/>
        </w:rPr>
        <w:t>, met speciale aandacht voor</w:t>
      </w:r>
      <w:r w:rsidR="00825B45">
        <w:rPr>
          <w:rFonts w:eastAsia="Malgun Gothic"/>
          <w:bCs/>
          <w:szCs w:val="18"/>
          <w:lang w:val="nl-NL" w:eastAsia="ko-KR"/>
        </w:rPr>
        <w:t xml:space="preserve"> m</w:t>
      </w:r>
      <w:r w:rsidRPr="00825B45" w:rsidR="00825B45">
        <w:rPr>
          <w:rFonts w:eastAsia="Malgun Gothic"/>
          <w:bCs/>
          <w:szCs w:val="18"/>
          <w:lang w:val="nl-NL" w:eastAsia="ko-KR"/>
        </w:rPr>
        <w:t>ilitaire veiligheid, civiele weerbaarheid, versterkt Europees concurrentievermogen, energiezekerheid en -onafhankelijkheid, voedselzekerheid, medische onafhankelijkheid</w:t>
      </w:r>
      <w:r w:rsidR="006D312E">
        <w:rPr>
          <w:rFonts w:eastAsia="Malgun Gothic"/>
          <w:bCs/>
          <w:szCs w:val="18"/>
          <w:lang w:val="nl-NL" w:eastAsia="ko-KR"/>
        </w:rPr>
        <w:t xml:space="preserve"> en</w:t>
      </w:r>
      <w:r w:rsidRPr="00825B45" w:rsidR="00825B45">
        <w:rPr>
          <w:rFonts w:eastAsia="Malgun Gothic"/>
          <w:bCs/>
          <w:szCs w:val="18"/>
          <w:lang w:val="nl-NL" w:eastAsia="ko-KR"/>
        </w:rPr>
        <w:t xml:space="preserve"> financiële stabiliteit.</w:t>
      </w:r>
      <w:r w:rsidR="004E38BD">
        <w:rPr>
          <w:rFonts w:eastAsia="Malgun Gothic"/>
          <w:bCs/>
          <w:szCs w:val="18"/>
          <w:lang w:val="nl-NL" w:eastAsia="ko-KR"/>
        </w:rPr>
        <w:t xml:space="preserve"> </w:t>
      </w:r>
    </w:p>
    <w:p w:rsidR="00FF5B26" w:rsidP="00741D00" w:rsidRDefault="00CA0735" w14:paraId="5E39DF93" w14:textId="245F8D17">
      <w:pPr>
        <w:spacing w:line="276" w:lineRule="auto"/>
        <w:rPr>
          <w:rFonts w:cs="Times New Roman"/>
          <w:b/>
          <w:szCs w:val="18"/>
          <w:lang w:val="nl-NL" w:eastAsia="ja-JP"/>
        </w:rPr>
      </w:pPr>
      <w:r w:rsidRPr="00CA0735">
        <w:rPr>
          <w:b/>
          <w:szCs w:val="18"/>
          <w:lang w:val="nl-NL" w:eastAsia="ja-JP"/>
        </w:rPr>
        <w:t>Landenspecifieke rechtsstaatdialoog</w:t>
      </w:r>
    </w:p>
    <w:p w:rsidRPr="00CD403F" w:rsidR="00566811" w:rsidP="00741D00" w:rsidRDefault="00566811" w14:paraId="3426DE84" w14:textId="17E94BAB">
      <w:pPr>
        <w:spacing w:line="276" w:lineRule="auto"/>
        <w:rPr>
          <w:rFonts w:cs="Times New Roman"/>
          <w:szCs w:val="18"/>
          <w:lang w:val="nl-NL" w:eastAsia="ja-JP"/>
        </w:rPr>
      </w:pPr>
      <w:r w:rsidRPr="00566811">
        <w:rPr>
          <w:rFonts w:cs="Times New Roman"/>
          <w:szCs w:val="18"/>
          <w:lang w:val="nl-NL" w:eastAsia="ja-JP"/>
        </w:rPr>
        <w:t>Tijdens de Raad wordt opnieuw een landenspecifieke dialoog gevoerd in het kader van het rechtsstaatmechanisme waarmee de Raad in 2020 is begonnen.</w:t>
      </w:r>
      <w:r>
        <w:rPr>
          <w:rFonts w:cs="Times New Roman"/>
          <w:szCs w:val="18"/>
          <w:lang w:val="nl-NL" w:eastAsia="ja-JP"/>
        </w:rPr>
        <w:t xml:space="preserve"> </w:t>
      </w:r>
      <w:r w:rsidRPr="00566811">
        <w:rPr>
          <w:rFonts w:cs="Times New Roman"/>
          <w:szCs w:val="18"/>
          <w:lang w:val="nl-NL" w:eastAsia="ja-JP"/>
        </w:rPr>
        <w:t>De landenhoofdstukken uit het rechtsstaatrapport van de Commissie vormen de basis voor deze dialoog. Uw Kamer ontving op 13 september 2024 de kabinetsreactie op het horizontale (EU-brede) deel van het rechtsstaatrapport 2024</w:t>
      </w:r>
      <w:r>
        <w:rPr>
          <w:rStyle w:val="FootnoteReference"/>
          <w:rFonts w:cs="Times New Roman"/>
          <w:szCs w:val="18"/>
          <w:lang w:val="nl-NL" w:eastAsia="ja-JP"/>
        </w:rPr>
        <w:footnoteReference w:id="2"/>
      </w:r>
      <w:r w:rsidRPr="00566811">
        <w:rPr>
          <w:rFonts w:cs="Times New Roman"/>
          <w:szCs w:val="18"/>
          <w:lang w:val="nl-NL" w:eastAsia="ja-JP"/>
        </w:rPr>
        <w:t xml:space="preserve"> en op 21 oktober 2024 de kabinetsappreciatie van het Nederlandse landenhoofdstuk van het Commissie rechtsstaatrapport 2024.</w:t>
      </w:r>
      <w:r>
        <w:rPr>
          <w:rStyle w:val="FootnoteReference"/>
          <w:rFonts w:cs="Times New Roman"/>
          <w:szCs w:val="18"/>
          <w:lang w:val="nl-NL" w:eastAsia="ja-JP"/>
        </w:rPr>
        <w:footnoteReference w:id="3"/>
      </w:r>
      <w:r w:rsidRPr="00566811">
        <w:rPr>
          <w:rFonts w:cs="Times New Roman"/>
          <w:szCs w:val="18"/>
          <w:lang w:val="nl-NL" w:eastAsia="ja-JP"/>
        </w:rPr>
        <w:t xml:space="preserve"> In algemene zin kan het kabinet zich vinden in de constateringen </w:t>
      </w:r>
      <w:r w:rsidR="00A16386">
        <w:rPr>
          <w:rFonts w:cs="Times New Roman"/>
          <w:szCs w:val="18"/>
          <w:lang w:val="nl-NL" w:eastAsia="ja-JP"/>
        </w:rPr>
        <w:t xml:space="preserve">en aanbevelingen </w:t>
      </w:r>
      <w:r w:rsidRPr="00566811">
        <w:rPr>
          <w:rFonts w:cs="Times New Roman"/>
          <w:szCs w:val="18"/>
          <w:lang w:val="nl-NL" w:eastAsia="ja-JP"/>
        </w:rPr>
        <w:t>van de Commissie in de geagendeerde landenhoofdstukken.</w:t>
      </w:r>
    </w:p>
    <w:p w:rsidR="00566811" w:rsidP="00741D00" w:rsidRDefault="00566811" w14:paraId="14FFA0CA" w14:textId="6B6C5451">
      <w:pPr>
        <w:spacing w:after="0" w:line="276" w:lineRule="auto"/>
        <w:rPr>
          <w:rFonts w:cs="Times New Roman"/>
          <w:i/>
          <w:iCs/>
          <w:szCs w:val="18"/>
          <w:lang w:val="nl-NL" w:eastAsia="ja-JP"/>
        </w:rPr>
      </w:pPr>
      <w:r>
        <w:rPr>
          <w:rFonts w:cs="Times New Roman"/>
          <w:i/>
          <w:iCs/>
          <w:szCs w:val="18"/>
          <w:lang w:val="nl-NL" w:eastAsia="ja-JP"/>
        </w:rPr>
        <w:t>Hongarije</w:t>
      </w:r>
    </w:p>
    <w:p w:rsidRPr="00566811" w:rsidR="00566811" w:rsidP="00741D00" w:rsidRDefault="005E0369" w14:paraId="3DD8C212" w14:textId="69527262">
      <w:pPr>
        <w:spacing w:line="276" w:lineRule="auto"/>
        <w:rPr>
          <w:rFonts w:cs="Times New Roman"/>
          <w:szCs w:val="18"/>
          <w:lang w:val="nl-NL" w:eastAsia="ja-JP"/>
        </w:rPr>
      </w:pPr>
      <w:r w:rsidRPr="005E0369">
        <w:rPr>
          <w:lang w:val="nl-NL"/>
        </w:rPr>
        <w:t xml:space="preserve">Met betrekking tot Hongarije constateert de Commissie dat de hervormingen die Hongarije in 2023 doorvoerde op </w:t>
      </w:r>
      <w:r w:rsidR="00A16386">
        <w:rPr>
          <w:lang w:val="nl-NL"/>
        </w:rPr>
        <w:t xml:space="preserve">het </w:t>
      </w:r>
      <w:r w:rsidRPr="005E0369">
        <w:rPr>
          <w:lang w:val="nl-NL"/>
        </w:rPr>
        <w:t xml:space="preserve">gebied van onafhankelijkheid van de rechterlijke macht en anti-corruptie positief zijn, maar dat er veel zorgen resteren die Hongarije niet heeft geadresseerd. Deze zorgen betreffen onder andere de onafhankelijkheid van het Openbaar Ministerie, persvrijheid, onafhankelijke media, de toewijzing van zaken door lagere rechtbanken, het onderzoeken en vervolgen van corruptiezaken en ruimte voor het maatschappelijk middenveld. </w:t>
      </w:r>
      <w:r>
        <w:rPr>
          <w:lang w:val="nl-NL"/>
        </w:rPr>
        <w:t xml:space="preserve">De aanbevelingen van de Commissie sluiten hierop aan. </w:t>
      </w:r>
      <w:r w:rsidR="00550ABD">
        <w:rPr>
          <w:lang w:val="nl-NL"/>
        </w:rPr>
        <w:t>Over de staat van de rechtsstaat in Hongarije, de inzet van het EU instrumentarium jegens Hongarije en de Nederlandse inzet wordt uw Kamer regelmatig geïnformeerd.</w:t>
      </w:r>
      <w:r w:rsidR="00377447">
        <w:rPr>
          <w:rStyle w:val="FootnoteReference"/>
          <w:lang w:val="nl-NL"/>
        </w:rPr>
        <w:footnoteReference w:id="4"/>
      </w:r>
      <w:r w:rsidR="00550ABD">
        <w:rPr>
          <w:lang w:val="nl-NL"/>
        </w:rPr>
        <w:t xml:space="preserve"> </w:t>
      </w:r>
      <w:r w:rsidR="00566811">
        <w:rPr>
          <w:rFonts w:cs="Times New Roman"/>
          <w:szCs w:val="18"/>
          <w:lang w:val="nl-NL" w:eastAsia="ja-JP"/>
        </w:rPr>
        <w:t xml:space="preserve"> </w:t>
      </w:r>
    </w:p>
    <w:p w:rsidR="00FF5B26" w:rsidP="00741D00" w:rsidRDefault="00566811" w14:paraId="6D42F7A5" w14:textId="6ADB95DE">
      <w:pPr>
        <w:spacing w:after="0" w:line="276" w:lineRule="auto"/>
        <w:rPr>
          <w:rFonts w:cs="Times New Roman"/>
          <w:i/>
          <w:iCs/>
          <w:szCs w:val="18"/>
          <w:lang w:val="nl-NL" w:eastAsia="ja-JP"/>
        </w:rPr>
      </w:pPr>
      <w:r>
        <w:rPr>
          <w:rFonts w:cs="Times New Roman"/>
          <w:i/>
          <w:iCs/>
          <w:szCs w:val="18"/>
          <w:lang w:val="nl-NL" w:eastAsia="ja-JP"/>
        </w:rPr>
        <w:t>Portugal</w:t>
      </w:r>
    </w:p>
    <w:p w:rsidRPr="00D73754" w:rsidR="00D05601" w:rsidP="00741D00" w:rsidRDefault="00566811" w14:paraId="66EBE1B1" w14:textId="6B601FEF">
      <w:pPr>
        <w:spacing w:line="276" w:lineRule="auto"/>
        <w:rPr>
          <w:rFonts w:cs="Times New Roman"/>
          <w:szCs w:val="18"/>
          <w:lang w:val="nl-NL" w:eastAsia="ja-JP"/>
        </w:rPr>
      </w:pPr>
      <w:r w:rsidRPr="00566811">
        <w:rPr>
          <w:rFonts w:cs="Times New Roman"/>
          <w:szCs w:val="18"/>
          <w:lang w:val="nl-NL" w:eastAsia="ja-JP"/>
        </w:rPr>
        <w:t>De Commissie constateert dat Portugal op het gebied van rechterlijke onafhankelijkheid de transparantie bij de toewijzing van zaken heeft vergroot, mede dankzij het effectief implementeren van een nieuw elektronisch systeem. Gelet op de aanbevelingen die in het rechtsstaatrapport van 2023 zijn gedaan</w:t>
      </w:r>
      <w:r w:rsidR="00A16386">
        <w:rPr>
          <w:rFonts w:cs="Times New Roman"/>
          <w:szCs w:val="18"/>
          <w:lang w:val="nl-NL" w:eastAsia="ja-JP"/>
        </w:rPr>
        <w:t>,</w:t>
      </w:r>
      <w:r w:rsidRPr="00566811">
        <w:rPr>
          <w:rFonts w:cs="Times New Roman"/>
          <w:szCs w:val="18"/>
          <w:lang w:val="nl-NL" w:eastAsia="ja-JP"/>
        </w:rPr>
        <w:t xml:space="preserve"> constateert de Commissie </w:t>
      </w:r>
      <w:r w:rsidR="00323CC4">
        <w:rPr>
          <w:rFonts w:cs="Times New Roman"/>
          <w:szCs w:val="18"/>
          <w:lang w:val="nl-NL" w:eastAsia="ja-JP"/>
        </w:rPr>
        <w:t xml:space="preserve">ook </w:t>
      </w:r>
      <w:r w:rsidRPr="00566811">
        <w:rPr>
          <w:rFonts w:cs="Times New Roman"/>
          <w:szCs w:val="18"/>
          <w:lang w:val="nl-NL" w:eastAsia="ja-JP"/>
        </w:rPr>
        <w:t>dat Portugal enige vooruitgang heeft geboekt met betrekking tot het verzekeren van voldoende middelen voor het voorkomen, onderzoeken en vervolg</w:t>
      </w:r>
      <w:r w:rsidR="00A16386">
        <w:rPr>
          <w:rFonts w:cs="Times New Roman"/>
          <w:szCs w:val="18"/>
          <w:lang w:val="nl-NL" w:eastAsia="ja-JP"/>
        </w:rPr>
        <w:t>en</w:t>
      </w:r>
      <w:r w:rsidRPr="00566811">
        <w:rPr>
          <w:rFonts w:cs="Times New Roman"/>
          <w:szCs w:val="18"/>
          <w:lang w:val="nl-NL" w:eastAsia="ja-JP"/>
        </w:rPr>
        <w:t xml:space="preserve"> van corruptie. </w:t>
      </w:r>
      <w:r w:rsidRPr="00566811" w:rsidR="00323CC4">
        <w:rPr>
          <w:rFonts w:cs="Times New Roman"/>
          <w:szCs w:val="18"/>
          <w:lang w:val="nl-NL" w:eastAsia="ja-JP"/>
        </w:rPr>
        <w:t xml:space="preserve">De Commissie beveelt Portugal aan om te zorgen voor voldoende personele middelen voor justitie, met name griffiers, en zich te blijven inspannen om de efficiëntie </w:t>
      </w:r>
      <w:r w:rsidR="006D4CE8">
        <w:rPr>
          <w:rFonts w:cs="Times New Roman"/>
          <w:szCs w:val="18"/>
          <w:lang w:val="nl-NL" w:eastAsia="ja-JP"/>
        </w:rPr>
        <w:t>van</w:t>
      </w:r>
      <w:r w:rsidRPr="00566811" w:rsidR="00323CC4">
        <w:rPr>
          <w:rFonts w:cs="Times New Roman"/>
          <w:szCs w:val="18"/>
          <w:lang w:val="nl-NL" w:eastAsia="ja-JP"/>
        </w:rPr>
        <w:t xml:space="preserve"> de administratieve rechtbanken en de belastingrechtbanken</w:t>
      </w:r>
      <w:r w:rsidR="006D4CE8">
        <w:rPr>
          <w:rFonts w:cs="Times New Roman"/>
          <w:szCs w:val="18"/>
          <w:lang w:val="nl-NL" w:eastAsia="ja-JP"/>
        </w:rPr>
        <w:t xml:space="preserve"> te verbeteren</w:t>
      </w:r>
      <w:r w:rsidRPr="00566811" w:rsidR="00323CC4">
        <w:rPr>
          <w:rFonts w:cs="Times New Roman"/>
          <w:szCs w:val="18"/>
          <w:lang w:val="nl-NL" w:eastAsia="ja-JP"/>
        </w:rPr>
        <w:t xml:space="preserve">. </w:t>
      </w:r>
      <w:r w:rsidRPr="00566811">
        <w:rPr>
          <w:rFonts w:cs="Times New Roman"/>
          <w:szCs w:val="18"/>
          <w:lang w:val="nl-NL" w:eastAsia="ja-JP"/>
        </w:rPr>
        <w:t xml:space="preserve">Hoewel Portugal </w:t>
      </w:r>
      <w:r w:rsidR="00323CC4">
        <w:rPr>
          <w:rFonts w:cs="Times New Roman"/>
          <w:szCs w:val="18"/>
          <w:lang w:val="nl-NL" w:eastAsia="ja-JP"/>
        </w:rPr>
        <w:t xml:space="preserve">daarnaast </w:t>
      </w:r>
      <w:r w:rsidRPr="00566811">
        <w:rPr>
          <w:rFonts w:cs="Times New Roman"/>
          <w:szCs w:val="18"/>
          <w:lang w:val="nl-NL" w:eastAsia="ja-JP"/>
        </w:rPr>
        <w:t xml:space="preserve">nieuwe maatregelen heeft genomen om de transparantie van de wetgeving te verbeteren, </w:t>
      </w:r>
      <w:r w:rsidR="00323CC4">
        <w:rPr>
          <w:rFonts w:cs="Times New Roman"/>
          <w:szCs w:val="18"/>
          <w:lang w:val="nl-NL" w:eastAsia="ja-JP"/>
        </w:rPr>
        <w:t>zijn</w:t>
      </w:r>
      <w:r w:rsidRPr="00566811">
        <w:rPr>
          <w:rFonts w:cs="Times New Roman"/>
          <w:szCs w:val="18"/>
          <w:lang w:val="nl-NL" w:eastAsia="ja-JP"/>
        </w:rPr>
        <w:t xml:space="preserve"> er </w:t>
      </w:r>
      <w:r w:rsidR="006D4CE8">
        <w:rPr>
          <w:rFonts w:cs="Times New Roman"/>
          <w:szCs w:val="18"/>
          <w:lang w:val="nl-NL" w:eastAsia="ja-JP"/>
        </w:rPr>
        <w:t xml:space="preserve">nog steeds </w:t>
      </w:r>
      <w:r w:rsidRPr="00566811">
        <w:rPr>
          <w:rFonts w:cs="Times New Roman"/>
          <w:szCs w:val="18"/>
          <w:lang w:val="nl-NL" w:eastAsia="ja-JP"/>
        </w:rPr>
        <w:t>zorgen over de toepassing van instrumenten voor effectbeoordeling</w:t>
      </w:r>
      <w:r w:rsidR="00323CC4">
        <w:rPr>
          <w:rFonts w:cs="Times New Roman"/>
          <w:szCs w:val="18"/>
          <w:lang w:val="nl-NL" w:eastAsia="ja-JP"/>
        </w:rPr>
        <w:t>en</w:t>
      </w:r>
      <w:r w:rsidRPr="00566811">
        <w:rPr>
          <w:rFonts w:cs="Times New Roman"/>
          <w:szCs w:val="18"/>
          <w:lang w:val="nl-NL" w:eastAsia="ja-JP"/>
        </w:rPr>
        <w:t>.</w:t>
      </w:r>
      <w:r w:rsidR="00A96CF1">
        <w:rPr>
          <w:rFonts w:cs="Times New Roman"/>
          <w:szCs w:val="18"/>
          <w:lang w:val="nl-NL" w:eastAsia="ja-JP"/>
        </w:rPr>
        <w:t xml:space="preserve"> De zorgen zien met </w:t>
      </w:r>
      <w:r w:rsidR="00A96CF1">
        <w:rPr>
          <w:rFonts w:cs="Times New Roman"/>
          <w:szCs w:val="18"/>
          <w:lang w:val="nl-NL" w:eastAsia="ja-JP"/>
        </w:rPr>
        <w:lastRenderedPageBreak/>
        <w:t xml:space="preserve">name op het feit dat de regelgeving omtrent deze effectbeoordelingen nog niet definitief is vastgesteld. </w:t>
      </w:r>
    </w:p>
    <w:p w:rsidR="00566811" w:rsidP="00741D00" w:rsidRDefault="00566811" w14:paraId="057AA505" w14:textId="64673868">
      <w:pPr>
        <w:spacing w:after="0" w:line="276" w:lineRule="auto"/>
        <w:rPr>
          <w:rFonts w:cs="Times New Roman"/>
          <w:i/>
          <w:iCs/>
          <w:szCs w:val="18"/>
          <w:lang w:val="nl-NL" w:eastAsia="ja-JP"/>
        </w:rPr>
      </w:pPr>
      <w:r>
        <w:rPr>
          <w:rFonts w:cs="Times New Roman"/>
          <w:i/>
          <w:iCs/>
          <w:szCs w:val="18"/>
          <w:lang w:val="nl-NL" w:eastAsia="ja-JP"/>
        </w:rPr>
        <w:t>Roemenië</w:t>
      </w:r>
    </w:p>
    <w:p w:rsidRPr="00566811" w:rsidR="00566811" w:rsidP="00741D00" w:rsidRDefault="00D05601" w14:paraId="27A8B4C4" w14:textId="4A203A49">
      <w:pPr>
        <w:spacing w:line="276" w:lineRule="auto"/>
        <w:rPr>
          <w:rFonts w:cs="Times New Roman"/>
          <w:szCs w:val="18"/>
          <w:lang w:val="nl-NL" w:eastAsia="ja-JP"/>
        </w:rPr>
      </w:pPr>
      <w:r w:rsidRPr="00D05601">
        <w:rPr>
          <w:rFonts w:cs="Times New Roman"/>
          <w:szCs w:val="18"/>
          <w:lang w:val="nl-NL" w:eastAsia="ja-JP"/>
        </w:rPr>
        <w:t xml:space="preserve">De Commissie constateert dat </w:t>
      </w:r>
      <w:r w:rsidR="00375E6B">
        <w:rPr>
          <w:rFonts w:cs="Times New Roman"/>
          <w:szCs w:val="18"/>
          <w:lang w:val="nl-NL" w:eastAsia="ja-JP"/>
        </w:rPr>
        <w:t xml:space="preserve">Roemenië </w:t>
      </w:r>
      <w:r w:rsidRPr="00D05601">
        <w:rPr>
          <w:rFonts w:cs="Times New Roman"/>
          <w:szCs w:val="18"/>
          <w:lang w:val="nl-NL" w:eastAsia="ja-JP"/>
        </w:rPr>
        <w:t xml:space="preserve">op verschillende terreinen </w:t>
      </w:r>
      <w:r w:rsidR="00375E6B">
        <w:rPr>
          <w:rFonts w:cs="Times New Roman"/>
          <w:szCs w:val="18"/>
          <w:lang w:val="nl-NL" w:eastAsia="ja-JP"/>
        </w:rPr>
        <w:t xml:space="preserve">voortgang heeft geboekt, </w:t>
      </w:r>
      <w:r w:rsidR="006D4CE8">
        <w:rPr>
          <w:rFonts w:cs="Times New Roman"/>
          <w:szCs w:val="18"/>
          <w:lang w:val="nl-NL" w:eastAsia="ja-JP"/>
        </w:rPr>
        <w:t>onder andere door</w:t>
      </w:r>
      <w:r w:rsidR="00375E6B">
        <w:rPr>
          <w:rFonts w:cs="Times New Roman"/>
          <w:szCs w:val="18"/>
          <w:lang w:val="nl-NL" w:eastAsia="ja-JP"/>
        </w:rPr>
        <w:t xml:space="preserve"> de </w:t>
      </w:r>
      <w:r w:rsidRPr="00D05601">
        <w:rPr>
          <w:rFonts w:cs="Times New Roman"/>
          <w:szCs w:val="18"/>
          <w:lang w:val="nl-NL" w:eastAsia="ja-JP"/>
        </w:rPr>
        <w:t xml:space="preserve">opvolging van aanbevelingen van de </w:t>
      </w:r>
      <w:r w:rsidR="00375E6B">
        <w:rPr>
          <w:rFonts w:cs="Times New Roman"/>
          <w:szCs w:val="18"/>
          <w:lang w:val="nl-NL" w:eastAsia="ja-JP"/>
        </w:rPr>
        <w:t xml:space="preserve">Venetië </w:t>
      </w:r>
      <w:r w:rsidRPr="00D05601">
        <w:rPr>
          <w:rFonts w:cs="Times New Roman"/>
          <w:szCs w:val="18"/>
          <w:lang w:val="nl-NL" w:eastAsia="ja-JP"/>
        </w:rPr>
        <w:t xml:space="preserve">Commissie op het gebied van de Justitiewetten, de uitvoering van de </w:t>
      </w:r>
      <w:r w:rsidR="00375E6B">
        <w:rPr>
          <w:rFonts w:cs="Times New Roman"/>
          <w:szCs w:val="18"/>
          <w:lang w:val="nl-NL" w:eastAsia="ja-JP"/>
        </w:rPr>
        <w:t>a</w:t>
      </w:r>
      <w:r w:rsidRPr="00D05601">
        <w:rPr>
          <w:rFonts w:cs="Times New Roman"/>
          <w:szCs w:val="18"/>
          <w:lang w:val="nl-NL" w:eastAsia="ja-JP"/>
        </w:rPr>
        <w:t>nti-</w:t>
      </w:r>
      <w:r w:rsidR="00375E6B">
        <w:rPr>
          <w:rFonts w:cs="Times New Roman"/>
          <w:szCs w:val="18"/>
          <w:lang w:val="nl-NL" w:eastAsia="ja-JP"/>
        </w:rPr>
        <w:t>c</w:t>
      </w:r>
      <w:r w:rsidRPr="00D05601">
        <w:rPr>
          <w:rFonts w:cs="Times New Roman"/>
          <w:szCs w:val="18"/>
          <w:lang w:val="nl-NL" w:eastAsia="ja-JP"/>
        </w:rPr>
        <w:t xml:space="preserve">orruptiestrategie </w:t>
      </w:r>
      <w:r w:rsidR="00375E6B">
        <w:rPr>
          <w:rFonts w:cs="Times New Roman"/>
          <w:szCs w:val="18"/>
          <w:lang w:val="nl-NL" w:eastAsia="ja-JP"/>
        </w:rPr>
        <w:t xml:space="preserve">(2021-2025) </w:t>
      </w:r>
      <w:r w:rsidRPr="00D05601">
        <w:rPr>
          <w:rFonts w:cs="Times New Roman"/>
          <w:szCs w:val="18"/>
          <w:lang w:val="nl-NL" w:eastAsia="ja-JP"/>
        </w:rPr>
        <w:t xml:space="preserve">en de accreditatie van een </w:t>
      </w:r>
      <w:r w:rsidR="00375E6B">
        <w:rPr>
          <w:rFonts w:cs="Times New Roman"/>
          <w:szCs w:val="18"/>
          <w:lang w:val="nl-NL" w:eastAsia="ja-JP"/>
        </w:rPr>
        <w:t>nationaal mensenrechteninstituut.</w:t>
      </w:r>
      <w:r w:rsidRPr="00D05601">
        <w:rPr>
          <w:rFonts w:cs="Times New Roman"/>
          <w:szCs w:val="18"/>
          <w:lang w:val="nl-NL" w:eastAsia="ja-JP"/>
        </w:rPr>
        <w:t xml:space="preserve"> </w:t>
      </w:r>
      <w:r w:rsidR="00375E6B">
        <w:rPr>
          <w:rFonts w:cs="Times New Roman"/>
          <w:szCs w:val="18"/>
          <w:lang w:val="nl-NL" w:eastAsia="ja-JP"/>
        </w:rPr>
        <w:t>Wel zijn er uitdagingen in de</w:t>
      </w:r>
      <w:r w:rsidRPr="00D05601">
        <w:rPr>
          <w:rFonts w:cs="Times New Roman"/>
          <w:szCs w:val="18"/>
          <w:lang w:val="nl-NL" w:eastAsia="ja-JP"/>
        </w:rPr>
        <w:t xml:space="preserve"> effectieve aanpak van corruptie, </w:t>
      </w:r>
      <w:r w:rsidR="00375E6B">
        <w:rPr>
          <w:rFonts w:cs="Times New Roman"/>
          <w:szCs w:val="18"/>
          <w:lang w:val="nl-NL" w:eastAsia="ja-JP"/>
        </w:rPr>
        <w:t xml:space="preserve">de </w:t>
      </w:r>
      <w:r w:rsidRPr="00D05601">
        <w:rPr>
          <w:rFonts w:cs="Times New Roman"/>
          <w:szCs w:val="18"/>
          <w:lang w:val="nl-NL" w:eastAsia="ja-JP"/>
        </w:rPr>
        <w:t xml:space="preserve">benoeming van rechters op basis van verdienste en </w:t>
      </w:r>
      <w:r w:rsidR="00375E6B">
        <w:rPr>
          <w:rFonts w:cs="Times New Roman"/>
          <w:szCs w:val="18"/>
          <w:lang w:val="nl-NL" w:eastAsia="ja-JP"/>
        </w:rPr>
        <w:t xml:space="preserve">het </w:t>
      </w:r>
      <w:r w:rsidRPr="00D05601">
        <w:rPr>
          <w:rFonts w:cs="Times New Roman"/>
          <w:szCs w:val="18"/>
          <w:lang w:val="nl-NL" w:eastAsia="ja-JP"/>
        </w:rPr>
        <w:t xml:space="preserve">effectief onderzoek naar en veroordeling van criminele overtredingen. Op andere terreinen constateert de Commissie dat voortgang stagneert of ontbreekt. </w:t>
      </w:r>
      <w:r w:rsidR="00375E6B">
        <w:rPr>
          <w:rFonts w:cs="Times New Roman"/>
          <w:szCs w:val="18"/>
          <w:lang w:val="nl-NL" w:eastAsia="ja-JP"/>
        </w:rPr>
        <w:t xml:space="preserve">Dit betreft onder meer het </w:t>
      </w:r>
      <w:r w:rsidRPr="00D05601">
        <w:rPr>
          <w:rFonts w:cs="Times New Roman"/>
          <w:szCs w:val="18"/>
          <w:lang w:val="nl-NL" w:eastAsia="ja-JP"/>
        </w:rPr>
        <w:t>versterken van de onafhankelijkheid van publieke media, het zorgdragen voor effectieve publieke consultaties binnen het wetgevingsproces en het introduceren van regels omtrent lobby</w:t>
      </w:r>
      <w:r w:rsidR="00892F1F">
        <w:rPr>
          <w:rFonts w:cs="Times New Roman"/>
          <w:szCs w:val="18"/>
          <w:lang w:val="nl-NL" w:eastAsia="ja-JP"/>
        </w:rPr>
        <w:t>voering</w:t>
      </w:r>
      <w:r w:rsidR="00375E6B">
        <w:rPr>
          <w:rFonts w:cs="Times New Roman"/>
          <w:szCs w:val="18"/>
          <w:lang w:val="nl-NL" w:eastAsia="ja-JP"/>
        </w:rPr>
        <w:t xml:space="preserve"> </w:t>
      </w:r>
      <w:r w:rsidR="00892F1F">
        <w:rPr>
          <w:rFonts w:cs="Times New Roman"/>
          <w:szCs w:val="18"/>
          <w:lang w:val="nl-NL" w:eastAsia="ja-JP"/>
        </w:rPr>
        <w:t>door</w:t>
      </w:r>
      <w:r w:rsidRPr="00D05601">
        <w:rPr>
          <w:rFonts w:cs="Times New Roman"/>
          <w:szCs w:val="18"/>
          <w:lang w:val="nl-NL" w:eastAsia="ja-JP"/>
        </w:rPr>
        <w:t xml:space="preserve"> parlementariërs. </w:t>
      </w:r>
    </w:p>
    <w:p w:rsidR="008020A4" w:rsidP="00741D00" w:rsidRDefault="00566811" w14:paraId="4DCF6637" w14:textId="77777777">
      <w:pPr>
        <w:spacing w:after="0" w:line="276" w:lineRule="auto"/>
        <w:rPr>
          <w:rFonts w:cs="Times New Roman"/>
          <w:i/>
          <w:iCs/>
          <w:szCs w:val="18"/>
          <w:lang w:val="nl-NL" w:eastAsia="ja-JP"/>
        </w:rPr>
      </w:pPr>
      <w:r>
        <w:rPr>
          <w:rFonts w:cs="Times New Roman"/>
          <w:i/>
          <w:iCs/>
          <w:szCs w:val="18"/>
          <w:lang w:val="nl-NL" w:eastAsia="ja-JP"/>
        </w:rPr>
        <w:t xml:space="preserve">Slovenië </w:t>
      </w:r>
    </w:p>
    <w:p w:rsidR="001F7F95" w:rsidP="00741D00" w:rsidRDefault="008020A4" w14:paraId="2239EEA1" w14:textId="1FBD03B4">
      <w:pPr>
        <w:spacing w:after="0" w:line="276" w:lineRule="auto"/>
        <w:rPr>
          <w:lang w:val="nl-NL" w:eastAsia="ja-JP"/>
        </w:rPr>
      </w:pPr>
      <w:r w:rsidRPr="008020A4">
        <w:rPr>
          <w:lang w:val="nl-NL" w:eastAsia="ja-JP"/>
        </w:rPr>
        <w:t xml:space="preserve">De Commissie stelt vast dat Slovenië </w:t>
      </w:r>
      <w:r w:rsidR="00375E6B">
        <w:rPr>
          <w:lang w:val="nl-NL" w:eastAsia="ja-JP"/>
        </w:rPr>
        <w:t xml:space="preserve">voortgang </w:t>
      </w:r>
      <w:r w:rsidRPr="008020A4">
        <w:rPr>
          <w:lang w:val="nl-NL" w:eastAsia="ja-JP"/>
        </w:rPr>
        <w:t xml:space="preserve">heeft geboekt </w:t>
      </w:r>
      <w:r w:rsidR="00F93275">
        <w:rPr>
          <w:lang w:val="nl-NL" w:eastAsia="ja-JP"/>
        </w:rPr>
        <w:t xml:space="preserve">in het versterken van de </w:t>
      </w:r>
      <w:r w:rsidRPr="008020A4">
        <w:rPr>
          <w:lang w:val="nl-NL" w:eastAsia="ja-JP"/>
        </w:rPr>
        <w:t>onafhankelijk</w:t>
      </w:r>
      <w:r w:rsidR="00F93275">
        <w:rPr>
          <w:lang w:val="nl-NL" w:eastAsia="ja-JP"/>
        </w:rPr>
        <w:t>heid van rechters en</w:t>
      </w:r>
      <w:r w:rsidRPr="008020A4">
        <w:rPr>
          <w:lang w:val="nl-NL" w:eastAsia="ja-JP"/>
        </w:rPr>
        <w:t xml:space="preserve"> officieren van justitie</w:t>
      </w:r>
      <w:r w:rsidR="00F93275">
        <w:rPr>
          <w:lang w:val="nl-NL" w:eastAsia="ja-JP"/>
        </w:rPr>
        <w:t xml:space="preserve">, </w:t>
      </w:r>
      <w:r w:rsidR="00B14C02">
        <w:rPr>
          <w:lang w:val="nl-NL" w:eastAsia="ja-JP"/>
        </w:rPr>
        <w:t xml:space="preserve">onder andere door beschermende regelgeving van deze doelgroep binnen parlementaire enquêtes en door het verhogen </w:t>
      </w:r>
      <w:r w:rsidR="00F93275">
        <w:rPr>
          <w:lang w:val="nl-NL" w:eastAsia="ja-JP"/>
        </w:rPr>
        <w:t xml:space="preserve">van de </w:t>
      </w:r>
      <w:r w:rsidRPr="008020A4">
        <w:rPr>
          <w:lang w:val="nl-NL" w:eastAsia="ja-JP"/>
        </w:rPr>
        <w:t xml:space="preserve">financiële beloning voor deze beroepen. Daarnaast </w:t>
      </w:r>
      <w:r w:rsidR="00955C2D">
        <w:rPr>
          <w:lang w:val="nl-NL" w:eastAsia="ja-JP"/>
        </w:rPr>
        <w:t xml:space="preserve">beveelt de </w:t>
      </w:r>
      <w:r w:rsidR="00F93275">
        <w:rPr>
          <w:lang w:val="nl-NL" w:eastAsia="ja-JP"/>
        </w:rPr>
        <w:t xml:space="preserve">Commissie Slovenië ook aan </w:t>
      </w:r>
      <w:r w:rsidR="00955C2D">
        <w:rPr>
          <w:lang w:val="nl-NL" w:eastAsia="ja-JP"/>
        </w:rPr>
        <w:t xml:space="preserve">te beginnen </w:t>
      </w:r>
      <w:r w:rsidR="00F93275">
        <w:rPr>
          <w:lang w:val="nl-NL" w:eastAsia="ja-JP"/>
        </w:rPr>
        <w:t xml:space="preserve">met de implementatie van </w:t>
      </w:r>
      <w:r w:rsidR="0097059A">
        <w:rPr>
          <w:lang w:val="nl-NL" w:eastAsia="ja-JP"/>
        </w:rPr>
        <w:t xml:space="preserve">de </w:t>
      </w:r>
      <w:r w:rsidR="00955C2D">
        <w:rPr>
          <w:lang w:val="nl-NL" w:eastAsia="ja-JP"/>
        </w:rPr>
        <w:t>nieuwe anti-corruptiestrategie en actieplan</w:t>
      </w:r>
      <w:r w:rsidR="00F93275">
        <w:rPr>
          <w:lang w:val="nl-NL" w:eastAsia="ja-JP"/>
        </w:rPr>
        <w:t>. Verder heeft Slovenië stappen gezet in het proces om niet</w:t>
      </w:r>
      <w:r w:rsidRPr="008020A4">
        <w:rPr>
          <w:lang w:val="nl-NL" w:eastAsia="ja-JP"/>
        </w:rPr>
        <w:t>-wettelijke waarborgen</w:t>
      </w:r>
      <w:r w:rsidR="00F93275">
        <w:rPr>
          <w:lang w:val="nl-NL" w:eastAsia="ja-JP"/>
        </w:rPr>
        <w:t xml:space="preserve"> voor de bescherming van journalisten aan te nemen. De Commissie beveelt Slovenië aan om hier verder voortgang op te boeken en daarnaast te zorgen voor regels en mechanismes </w:t>
      </w:r>
      <w:r w:rsidR="006D4CE8">
        <w:rPr>
          <w:lang w:val="nl-NL" w:eastAsia="ja-JP"/>
        </w:rPr>
        <w:t>voor</w:t>
      </w:r>
      <w:r w:rsidR="0055739B">
        <w:rPr>
          <w:lang w:val="nl-NL" w:eastAsia="ja-JP"/>
        </w:rPr>
        <w:t xml:space="preserve"> </w:t>
      </w:r>
      <w:r w:rsidR="00F93275">
        <w:rPr>
          <w:lang w:val="nl-NL" w:eastAsia="ja-JP"/>
        </w:rPr>
        <w:t xml:space="preserve">de </w:t>
      </w:r>
      <w:r w:rsidRPr="008020A4">
        <w:rPr>
          <w:lang w:val="nl-NL" w:eastAsia="ja-JP"/>
        </w:rPr>
        <w:t xml:space="preserve">financiering van publieke media </w:t>
      </w:r>
      <w:r w:rsidR="00BD17E7">
        <w:rPr>
          <w:lang w:val="nl-NL" w:eastAsia="ja-JP"/>
        </w:rPr>
        <w:t xml:space="preserve">waardoor </w:t>
      </w:r>
      <w:r w:rsidR="0055739B">
        <w:rPr>
          <w:lang w:val="nl-NL" w:eastAsia="ja-JP"/>
        </w:rPr>
        <w:t xml:space="preserve">de onafhankelijkheid van de media </w:t>
      </w:r>
      <w:r w:rsidR="00BD17E7">
        <w:rPr>
          <w:lang w:val="nl-NL" w:eastAsia="ja-JP"/>
        </w:rPr>
        <w:t>wordt ge</w:t>
      </w:r>
      <w:r w:rsidR="0055739B">
        <w:rPr>
          <w:lang w:val="nl-NL" w:eastAsia="ja-JP"/>
        </w:rPr>
        <w:t>waarborg</w:t>
      </w:r>
      <w:r w:rsidR="00BD17E7">
        <w:rPr>
          <w:lang w:val="nl-NL" w:eastAsia="ja-JP"/>
        </w:rPr>
        <w:t>d</w:t>
      </w:r>
      <w:r w:rsidR="0055739B">
        <w:rPr>
          <w:lang w:val="nl-NL" w:eastAsia="ja-JP"/>
        </w:rPr>
        <w:t xml:space="preserve">. </w:t>
      </w:r>
    </w:p>
    <w:p w:rsidR="00F93275" w:rsidP="00741D00" w:rsidRDefault="00F93275" w14:paraId="42BEE84B" w14:textId="77777777">
      <w:pPr>
        <w:spacing w:after="0" w:line="276" w:lineRule="auto"/>
        <w:rPr>
          <w:szCs w:val="18"/>
          <w:lang w:val="nl-NL"/>
        </w:rPr>
      </w:pPr>
    </w:p>
    <w:p w:rsidR="00D309B7" w:rsidP="00741D00" w:rsidRDefault="00146662" w14:paraId="4DD86712" w14:textId="5A6F3932">
      <w:pPr>
        <w:spacing w:line="276" w:lineRule="auto"/>
        <w:rPr>
          <w:lang w:val="nl-NL"/>
        </w:rPr>
      </w:pPr>
      <w:r>
        <w:rPr>
          <w:lang w:val="nl-NL"/>
        </w:rPr>
        <w:t xml:space="preserve">Zoals gebruikelijk, zal Nederland </w:t>
      </w:r>
      <w:r w:rsidR="00375E6B">
        <w:rPr>
          <w:lang w:val="nl-NL"/>
        </w:rPr>
        <w:t>tijdens de rechtsstaatdialoog</w:t>
      </w:r>
      <w:r>
        <w:rPr>
          <w:lang w:val="nl-NL"/>
        </w:rPr>
        <w:t xml:space="preserve"> in Benelux-verband optreden. In de gezamenlijk interventie zullen de </w:t>
      </w:r>
      <w:r w:rsidRPr="00146662">
        <w:rPr>
          <w:lang w:val="nl-NL"/>
        </w:rPr>
        <w:t xml:space="preserve">positieve stappen </w:t>
      </w:r>
      <w:r>
        <w:rPr>
          <w:lang w:val="nl-NL"/>
        </w:rPr>
        <w:t xml:space="preserve">worden </w:t>
      </w:r>
      <w:r w:rsidRPr="00146662">
        <w:rPr>
          <w:lang w:val="nl-NL"/>
        </w:rPr>
        <w:t>benoem</w:t>
      </w:r>
      <w:r>
        <w:rPr>
          <w:lang w:val="nl-NL"/>
        </w:rPr>
        <w:t>d</w:t>
      </w:r>
      <w:r w:rsidRPr="00146662">
        <w:rPr>
          <w:lang w:val="nl-NL"/>
        </w:rPr>
        <w:t xml:space="preserve"> maar ook zorgen </w:t>
      </w:r>
      <w:r>
        <w:rPr>
          <w:lang w:val="nl-NL"/>
        </w:rPr>
        <w:t>worden ge</w:t>
      </w:r>
      <w:r w:rsidRPr="00146662">
        <w:rPr>
          <w:lang w:val="nl-NL"/>
        </w:rPr>
        <w:t>uit over de onderwerpen waarop nog geen of beperkte vooruitgang is geboekt. Hierop zullen de betreffende lidstaten worden bevraagd.</w:t>
      </w:r>
    </w:p>
    <w:p w:rsidRPr="005521A2" w:rsidR="005521A2" w:rsidP="005521A2" w:rsidRDefault="005521A2" w14:paraId="5BCF8756" w14:textId="77777777">
      <w:pPr>
        <w:rPr>
          <w:szCs w:val="18"/>
          <w:lang w:val="nl-NL"/>
        </w:rPr>
      </w:pPr>
    </w:p>
    <w:p w:rsidRPr="005521A2" w:rsidR="005521A2" w:rsidP="005521A2" w:rsidRDefault="005521A2" w14:paraId="4B727B08" w14:textId="77777777">
      <w:pPr>
        <w:rPr>
          <w:szCs w:val="18"/>
          <w:lang w:val="nl-NL"/>
        </w:rPr>
      </w:pPr>
    </w:p>
    <w:p w:rsidRPr="005521A2" w:rsidR="005521A2" w:rsidP="005521A2" w:rsidRDefault="005521A2" w14:paraId="0E49E2B4" w14:textId="77777777">
      <w:pPr>
        <w:rPr>
          <w:szCs w:val="18"/>
          <w:lang w:val="nl-NL"/>
        </w:rPr>
      </w:pPr>
    </w:p>
    <w:p w:rsidRPr="005521A2" w:rsidR="005521A2" w:rsidP="005521A2" w:rsidRDefault="005521A2" w14:paraId="4174535D" w14:textId="77777777">
      <w:pPr>
        <w:rPr>
          <w:szCs w:val="18"/>
          <w:lang w:val="nl-NL"/>
        </w:rPr>
      </w:pPr>
    </w:p>
    <w:p w:rsidRPr="005521A2" w:rsidR="005521A2" w:rsidP="005521A2" w:rsidRDefault="005521A2" w14:paraId="1DC85907" w14:textId="77777777">
      <w:pPr>
        <w:rPr>
          <w:szCs w:val="18"/>
          <w:lang w:val="nl-NL"/>
        </w:rPr>
      </w:pPr>
    </w:p>
    <w:p w:rsidR="005521A2" w:rsidP="005521A2" w:rsidRDefault="005521A2" w14:paraId="2E1620E7" w14:textId="77777777">
      <w:pPr>
        <w:rPr>
          <w:lang w:val="nl-NL"/>
        </w:rPr>
      </w:pPr>
    </w:p>
    <w:p w:rsidRPr="005521A2" w:rsidR="005521A2" w:rsidP="005521A2" w:rsidRDefault="005521A2" w14:paraId="687F2846" w14:textId="77777777">
      <w:pPr>
        <w:ind w:firstLine="720"/>
        <w:rPr>
          <w:szCs w:val="18"/>
          <w:lang w:val="nl-NL"/>
        </w:rPr>
      </w:pPr>
    </w:p>
    <w:sectPr w:rsidRPr="005521A2" w:rsidR="005521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DA0C" w14:textId="77777777" w:rsidR="00D525FB" w:rsidRDefault="00D525FB" w:rsidP="00D525FB">
      <w:pPr>
        <w:spacing w:after="0"/>
      </w:pPr>
      <w:r>
        <w:separator/>
      </w:r>
    </w:p>
  </w:endnote>
  <w:endnote w:type="continuationSeparator" w:id="0">
    <w:p w14:paraId="30F1CB06" w14:textId="77777777" w:rsidR="00D525FB" w:rsidRDefault="00D525FB" w:rsidP="00D525FB">
      <w:pPr>
        <w:spacing w:after="0"/>
      </w:pPr>
      <w:r>
        <w:continuationSeparator/>
      </w:r>
    </w:p>
  </w:endnote>
  <w:endnote w:type="continuationNotice" w:id="1">
    <w:p w14:paraId="5DF083BF" w14:textId="77777777" w:rsidR="007C6436" w:rsidRDefault="007C64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CCBC" w14:textId="77777777" w:rsidR="00DA1340" w:rsidRDefault="00DA1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7B229B2E" w14:textId="77777777" w:rsidR="00DA1340" w:rsidRDefault="002E5823"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5BE9" w14:textId="77777777" w:rsidR="00DA1340" w:rsidRDefault="00DA1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A91BA" w14:textId="77777777" w:rsidR="00D525FB" w:rsidRDefault="00D525FB" w:rsidP="00D525FB">
      <w:pPr>
        <w:spacing w:after="0"/>
      </w:pPr>
      <w:r>
        <w:separator/>
      </w:r>
    </w:p>
  </w:footnote>
  <w:footnote w:type="continuationSeparator" w:id="0">
    <w:p w14:paraId="482C4B01" w14:textId="77777777" w:rsidR="00D525FB" w:rsidRDefault="00D525FB" w:rsidP="00D525FB">
      <w:pPr>
        <w:spacing w:after="0"/>
      </w:pPr>
      <w:r>
        <w:continuationSeparator/>
      </w:r>
    </w:p>
  </w:footnote>
  <w:footnote w:type="continuationNotice" w:id="1">
    <w:p w14:paraId="3015FE03" w14:textId="77777777" w:rsidR="007C6436" w:rsidRDefault="007C6436">
      <w:pPr>
        <w:spacing w:after="0"/>
      </w:pPr>
    </w:p>
  </w:footnote>
  <w:footnote w:id="2">
    <w:p w14:paraId="72D1DC99" w14:textId="7929B9B3" w:rsidR="00566811" w:rsidRPr="00566811" w:rsidRDefault="00566811">
      <w:pPr>
        <w:pStyle w:val="FootnoteText"/>
        <w:rPr>
          <w:sz w:val="18"/>
          <w:szCs w:val="18"/>
          <w:lang w:val="nl-NL"/>
        </w:rPr>
      </w:pPr>
      <w:r w:rsidRPr="00566811">
        <w:rPr>
          <w:rStyle w:val="FootnoteReference"/>
          <w:sz w:val="16"/>
          <w:szCs w:val="16"/>
        </w:rPr>
        <w:footnoteRef/>
      </w:r>
      <w:r w:rsidRPr="00566811">
        <w:rPr>
          <w:sz w:val="16"/>
          <w:szCs w:val="16"/>
          <w:lang w:val="nl-NL"/>
        </w:rPr>
        <w:t xml:space="preserve"> Zie bijlage bij Kamerstukken II 2023/24, 21501-02, nr. 2932.</w:t>
      </w:r>
    </w:p>
  </w:footnote>
  <w:footnote w:id="3">
    <w:p w14:paraId="541AA043" w14:textId="740966DB" w:rsidR="00566811" w:rsidRPr="00566811" w:rsidRDefault="00566811">
      <w:pPr>
        <w:pStyle w:val="FootnoteText"/>
        <w:rPr>
          <w:lang w:val="nl-NL"/>
        </w:rPr>
      </w:pPr>
      <w:r w:rsidRPr="00566811">
        <w:rPr>
          <w:rStyle w:val="FootnoteReference"/>
          <w:sz w:val="16"/>
          <w:szCs w:val="16"/>
        </w:rPr>
        <w:footnoteRef/>
      </w:r>
      <w:r w:rsidRPr="00566811">
        <w:rPr>
          <w:sz w:val="16"/>
          <w:szCs w:val="16"/>
          <w:lang w:val="nl-NL"/>
        </w:rPr>
        <w:t xml:space="preserve"> Voor de appreciatie zie Kamerstuk 21 501-02 nr. 2953. Het Commissie rechtsstaatrapport 2024 werd op 24 juli jl. gepubliceerd. Het horizontale deel van het rapport en de landenhoofdstukken zijn hier te vinden: </w:t>
      </w:r>
      <w:hyperlink r:id="rId1" w:history="1">
        <w:r w:rsidRPr="00566811">
          <w:rPr>
            <w:rStyle w:val="Hyperlink"/>
            <w:sz w:val="16"/>
            <w:szCs w:val="16"/>
            <w:lang w:val="nl-NL"/>
          </w:rPr>
          <w:t xml:space="preserve">2024 Rule of law report - Communication and country </w:t>
        </w:r>
        <w:proofErr w:type="spellStart"/>
        <w:r w:rsidRPr="00566811">
          <w:rPr>
            <w:rStyle w:val="Hyperlink"/>
            <w:sz w:val="16"/>
            <w:szCs w:val="16"/>
            <w:lang w:val="nl-NL"/>
          </w:rPr>
          <w:t>chapters</w:t>
        </w:r>
        <w:proofErr w:type="spellEnd"/>
        <w:r w:rsidRPr="00566811">
          <w:rPr>
            <w:rStyle w:val="Hyperlink"/>
            <w:sz w:val="16"/>
            <w:szCs w:val="16"/>
            <w:lang w:val="nl-NL"/>
          </w:rPr>
          <w:t xml:space="preserve"> - European Commission</w:t>
        </w:r>
      </w:hyperlink>
      <w:r w:rsidRPr="00566811">
        <w:rPr>
          <w:sz w:val="16"/>
          <w:szCs w:val="16"/>
          <w:lang w:val="nl-NL"/>
        </w:rPr>
        <w:t>.</w:t>
      </w:r>
    </w:p>
  </w:footnote>
  <w:footnote w:id="4">
    <w:p w14:paraId="1AFB0C3F" w14:textId="7EC0CC77" w:rsidR="00377447" w:rsidRPr="00412045" w:rsidRDefault="00377447">
      <w:pPr>
        <w:pStyle w:val="FootnoteText"/>
        <w:rPr>
          <w:sz w:val="16"/>
          <w:szCs w:val="16"/>
          <w:lang w:val="nl-NL"/>
        </w:rPr>
      </w:pPr>
      <w:r>
        <w:rPr>
          <w:rStyle w:val="FootnoteReference"/>
        </w:rPr>
        <w:footnoteRef/>
      </w:r>
      <w:r w:rsidRPr="00412045">
        <w:rPr>
          <w:lang w:val="nl-NL"/>
        </w:rPr>
        <w:t xml:space="preserve"> </w:t>
      </w:r>
      <w:r w:rsidRPr="00412045">
        <w:rPr>
          <w:sz w:val="16"/>
          <w:szCs w:val="16"/>
          <w:lang w:val="nl-NL"/>
        </w:rPr>
        <w:t>Zie onder meer Kamerstukken II 2024/25, 21501-02, nr. 2958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A712" w14:textId="77777777" w:rsidR="00DA1340" w:rsidRDefault="00DA1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5728" w14:textId="77777777" w:rsidR="00DA1340" w:rsidRDefault="00DA1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9872" w14:textId="77777777" w:rsidR="00DA1340" w:rsidRDefault="00DA1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D2AB0"/>
    <w:multiLevelType w:val="multilevel"/>
    <w:tmpl w:val="C450BD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4295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FB"/>
    <w:rsid w:val="00025AD2"/>
    <w:rsid w:val="00034AAF"/>
    <w:rsid w:val="00092673"/>
    <w:rsid w:val="00146662"/>
    <w:rsid w:val="001D09C2"/>
    <w:rsid w:val="001D1E67"/>
    <w:rsid w:val="001F7F95"/>
    <w:rsid w:val="00266BA7"/>
    <w:rsid w:val="00285D19"/>
    <w:rsid w:val="002A7949"/>
    <w:rsid w:val="002B7D67"/>
    <w:rsid w:val="002E080A"/>
    <w:rsid w:val="002E5823"/>
    <w:rsid w:val="00310C7E"/>
    <w:rsid w:val="00323CC4"/>
    <w:rsid w:val="00375E6B"/>
    <w:rsid w:val="00377447"/>
    <w:rsid w:val="00380EDB"/>
    <w:rsid w:val="003913CA"/>
    <w:rsid w:val="003F3EF5"/>
    <w:rsid w:val="00412045"/>
    <w:rsid w:val="0042615E"/>
    <w:rsid w:val="004300A0"/>
    <w:rsid w:val="004449F5"/>
    <w:rsid w:val="00445743"/>
    <w:rsid w:val="004813FC"/>
    <w:rsid w:val="004C61B8"/>
    <w:rsid w:val="004E38BD"/>
    <w:rsid w:val="004F685F"/>
    <w:rsid w:val="00550ABD"/>
    <w:rsid w:val="005521A2"/>
    <w:rsid w:val="0055739B"/>
    <w:rsid w:val="00566811"/>
    <w:rsid w:val="00592711"/>
    <w:rsid w:val="005E0369"/>
    <w:rsid w:val="005E10F4"/>
    <w:rsid w:val="006035C9"/>
    <w:rsid w:val="006237BE"/>
    <w:rsid w:val="00674CC7"/>
    <w:rsid w:val="00694965"/>
    <w:rsid w:val="006B65B9"/>
    <w:rsid w:val="006D312E"/>
    <w:rsid w:val="006D4CE8"/>
    <w:rsid w:val="006F0D95"/>
    <w:rsid w:val="00706111"/>
    <w:rsid w:val="00741D00"/>
    <w:rsid w:val="00792305"/>
    <w:rsid w:val="007C6436"/>
    <w:rsid w:val="008020A4"/>
    <w:rsid w:val="00825B45"/>
    <w:rsid w:val="0085062B"/>
    <w:rsid w:val="00892F1F"/>
    <w:rsid w:val="008942D8"/>
    <w:rsid w:val="008D386E"/>
    <w:rsid w:val="008E1202"/>
    <w:rsid w:val="008F7E5B"/>
    <w:rsid w:val="00912AD5"/>
    <w:rsid w:val="00955C2D"/>
    <w:rsid w:val="0097059A"/>
    <w:rsid w:val="00986566"/>
    <w:rsid w:val="009A7640"/>
    <w:rsid w:val="009D4E35"/>
    <w:rsid w:val="00A16386"/>
    <w:rsid w:val="00A23074"/>
    <w:rsid w:val="00A27C42"/>
    <w:rsid w:val="00A3564C"/>
    <w:rsid w:val="00A81651"/>
    <w:rsid w:val="00A96CF1"/>
    <w:rsid w:val="00AA1568"/>
    <w:rsid w:val="00AD3234"/>
    <w:rsid w:val="00B14C02"/>
    <w:rsid w:val="00B33743"/>
    <w:rsid w:val="00B42C94"/>
    <w:rsid w:val="00B9122C"/>
    <w:rsid w:val="00BD17E7"/>
    <w:rsid w:val="00BE418A"/>
    <w:rsid w:val="00C25B8E"/>
    <w:rsid w:val="00C55A20"/>
    <w:rsid w:val="00CA0735"/>
    <w:rsid w:val="00CD403F"/>
    <w:rsid w:val="00D05601"/>
    <w:rsid w:val="00D309B7"/>
    <w:rsid w:val="00D525FB"/>
    <w:rsid w:val="00D53535"/>
    <w:rsid w:val="00D63E4B"/>
    <w:rsid w:val="00D73754"/>
    <w:rsid w:val="00DA1340"/>
    <w:rsid w:val="00DA3043"/>
    <w:rsid w:val="00DC3947"/>
    <w:rsid w:val="00E37374"/>
    <w:rsid w:val="00E94882"/>
    <w:rsid w:val="00EB1D52"/>
    <w:rsid w:val="00EC399B"/>
    <w:rsid w:val="00EC7057"/>
    <w:rsid w:val="00EC7898"/>
    <w:rsid w:val="00ED2E9D"/>
    <w:rsid w:val="00F209ED"/>
    <w:rsid w:val="00F42C77"/>
    <w:rsid w:val="00F93275"/>
    <w:rsid w:val="00F9603A"/>
    <w:rsid w:val="00FA0B23"/>
    <w:rsid w:val="00FA59E0"/>
    <w:rsid w:val="00FA60B3"/>
    <w:rsid w:val="00FE017A"/>
    <w:rsid w:val="00FF1792"/>
    <w:rsid w:val="00FF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37C"/>
  <w15:docId w15:val="{CB91D7B4-0662-4594-8642-3EEC29A2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NoSpacing">
    <w:name w:val="No Spacing"/>
    <w:uiPriority w:val="1"/>
    <w:qFormat/>
    <w:rsid w:val="00FF5B26"/>
    <w:pPr>
      <w:spacing w:after="0"/>
    </w:pPr>
    <w:rPr>
      <w:rFonts w:eastAsia="MS Mincho"/>
    </w:rPr>
  </w:style>
  <w:style w:type="paragraph" w:styleId="FootnoteText">
    <w:name w:val="footnote text"/>
    <w:basedOn w:val="Normal"/>
    <w:link w:val="FootnoteTextChar"/>
    <w:uiPriority w:val="99"/>
    <w:semiHidden/>
    <w:unhideWhenUsed/>
    <w:rsid w:val="00566811"/>
    <w:pPr>
      <w:spacing w:after="0"/>
    </w:pPr>
    <w:rPr>
      <w:sz w:val="20"/>
      <w:szCs w:val="20"/>
    </w:rPr>
  </w:style>
  <w:style w:type="character" w:customStyle="1" w:styleId="FootnoteTextChar">
    <w:name w:val="Footnote Text Char"/>
    <w:basedOn w:val="DefaultParagraphFont"/>
    <w:link w:val="FootnoteText"/>
    <w:uiPriority w:val="99"/>
    <w:semiHidden/>
    <w:rsid w:val="00566811"/>
    <w:rPr>
      <w:sz w:val="20"/>
      <w:szCs w:val="20"/>
    </w:rPr>
  </w:style>
  <w:style w:type="character" w:styleId="FootnoteReference">
    <w:name w:val="footnote reference"/>
    <w:basedOn w:val="DefaultParagraphFont"/>
    <w:uiPriority w:val="99"/>
    <w:semiHidden/>
    <w:unhideWhenUsed/>
    <w:rsid w:val="00566811"/>
    <w:rPr>
      <w:vertAlign w:val="superscript"/>
    </w:rPr>
  </w:style>
  <w:style w:type="character" w:styleId="Hyperlink">
    <w:name w:val="Hyperlink"/>
    <w:basedOn w:val="DefaultParagraphFont"/>
    <w:uiPriority w:val="99"/>
    <w:semiHidden/>
    <w:unhideWhenUsed/>
    <w:rsid w:val="00566811"/>
    <w:rPr>
      <w:color w:val="0000FF"/>
      <w:u w:val="single"/>
    </w:rPr>
  </w:style>
  <w:style w:type="paragraph" w:styleId="Revision">
    <w:name w:val="Revision"/>
    <w:hidden/>
    <w:uiPriority w:val="99"/>
    <w:semiHidden/>
    <w:rsid w:val="00323CC4"/>
    <w:pPr>
      <w:spacing w:after="0"/>
    </w:pPr>
  </w:style>
  <w:style w:type="character" w:styleId="CommentReference">
    <w:name w:val="annotation reference"/>
    <w:basedOn w:val="DefaultParagraphFont"/>
    <w:uiPriority w:val="99"/>
    <w:semiHidden/>
    <w:unhideWhenUsed/>
    <w:rsid w:val="00FA0B23"/>
    <w:rPr>
      <w:sz w:val="16"/>
      <w:szCs w:val="16"/>
    </w:rPr>
  </w:style>
  <w:style w:type="paragraph" w:styleId="CommentText">
    <w:name w:val="annotation text"/>
    <w:basedOn w:val="Normal"/>
    <w:link w:val="CommentTextChar"/>
    <w:uiPriority w:val="99"/>
    <w:unhideWhenUsed/>
    <w:rsid w:val="00FA0B23"/>
    <w:rPr>
      <w:sz w:val="20"/>
      <w:szCs w:val="20"/>
    </w:rPr>
  </w:style>
  <w:style w:type="character" w:customStyle="1" w:styleId="CommentTextChar">
    <w:name w:val="Comment Text Char"/>
    <w:basedOn w:val="DefaultParagraphFont"/>
    <w:link w:val="CommentText"/>
    <w:uiPriority w:val="99"/>
    <w:rsid w:val="00FA0B23"/>
    <w:rPr>
      <w:sz w:val="20"/>
      <w:szCs w:val="20"/>
    </w:rPr>
  </w:style>
  <w:style w:type="paragraph" w:styleId="CommentSubject">
    <w:name w:val="annotation subject"/>
    <w:basedOn w:val="CommentText"/>
    <w:next w:val="CommentText"/>
    <w:link w:val="CommentSubjectChar"/>
    <w:uiPriority w:val="99"/>
    <w:semiHidden/>
    <w:unhideWhenUsed/>
    <w:rsid w:val="00FA0B23"/>
    <w:rPr>
      <w:b/>
      <w:bCs/>
    </w:rPr>
  </w:style>
  <w:style w:type="character" w:customStyle="1" w:styleId="CommentSubjectChar">
    <w:name w:val="Comment Subject Char"/>
    <w:basedOn w:val="CommentTextChar"/>
    <w:link w:val="CommentSubject"/>
    <w:uiPriority w:val="99"/>
    <w:semiHidden/>
    <w:rsid w:val="00FA0B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42039">
      <w:bodyDiv w:val="1"/>
      <w:marLeft w:val="0"/>
      <w:marRight w:val="0"/>
      <w:marTop w:val="0"/>
      <w:marBottom w:val="0"/>
      <w:divBdr>
        <w:top w:val="none" w:sz="0" w:space="0" w:color="auto"/>
        <w:left w:val="none" w:sz="0" w:space="0" w:color="auto"/>
        <w:bottom w:val="none" w:sz="0" w:space="0" w:color="auto"/>
        <w:right w:val="none" w:sz="0" w:space="0" w:color="auto"/>
      </w:divBdr>
    </w:div>
    <w:div w:id="19681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publications/2024-rule-law-report-communication-and-country-chapter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834</ap:Words>
  <ap:Characters>4591</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2025-01-17T07:59:00.0000000Z</dcterms:created>
  <dcterms:modified xsi:type="dcterms:W3CDTF">2025-01-17T07:59:00.0000000Z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7;#Informatie voorziening|8edfc6d5-9fe4-8b19-f842-4a06399853cd;#8;#Organization and management general|68c629c2-f36d-451d-9132-f1684bfd165b</vt:lpwstr>
  </property>
  <property fmtid="{D5CDD505-2E9C-101B-9397-08002B2CF9AE}" pid="11" name="DocumentSetDescription">
    <vt:lpwstr/>
  </property>
  <property fmtid="{D5CDD505-2E9C-101B-9397-08002B2CF9AE}" pid="12" name="BZCountryState">
    <vt:lpwstr>3;#Not applicable|ec01d90b-9d0f-4785-8785-e1ea615196bf;#9;#The Netherlands|7f69a7bb-478c-499d-a6cf-5869916dfee4</vt:lpwstr>
  </property>
  <property fmtid="{D5CDD505-2E9C-101B-9397-08002B2CF9AE}" pid="13" name="_dlc_DocIdItemGuid">
    <vt:lpwstr>c16e6e6a-427a-47c4-b709-88952b41eabd</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PrincipalsInvolved">
    <vt:lpwstr/>
  </property>
  <property fmtid="{D5CDD505-2E9C-101B-9397-08002B2CF9AE}" pid="45" name="BZDossierApprovalPolitical">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_docset_NoMedatataSyncRequired">
    <vt:lpwstr>False</vt:lpwstr>
  </property>
</Properties>
</file>