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2025Z00711</w:t>
        <w:br/>
      </w:r>
      <w:proofErr w:type="spellEnd"/>
    </w:p>
    <w:p>
      <w:pPr>
        <w:pStyle w:val="Normal"/>
        <w:rPr>
          <w:b w:val="1"/>
          <w:bCs w:val="1"/>
        </w:rPr>
      </w:pPr>
      <w:r w:rsidR="250AE766">
        <w:rPr>
          <w:b w:val="0"/>
          <w:bCs w:val="0"/>
        </w:rPr>
        <w:t>(ingezonden 20 januari 2025)</w:t>
        <w:br/>
      </w:r>
    </w:p>
    <w:p>
      <w:r>
        <w:t xml:space="preserve">Vragen van de leden Paternotte (D66), Van der Wal (VVD), Diederik van Dijk (SGP) en Mohandis (GroenLinks-PvdA) aan de minister van Onderwijs, Cultuur en Wetenschap over de digitale openbaarmaking van het Centraal Archief Bijzondere Rechtspleging.</w:t>
      </w:r>
      <w:r>
        <w:br/>
      </w:r>
    </w:p>
    <w:p>
      <w:pPr>
        <w:pStyle w:val="ListParagraph"/>
        <w:numPr>
          <w:ilvl w:val="0"/>
          <w:numId w:val="100465650"/>
        </w:numPr>
        <w:ind w:left="360"/>
      </w:pPr>
      <w:r>
        <w:t>Kunt u aangeven wanneer belanghebbenden wel goed in het archief kunnen zoeken op namen van oorlogsslachtoffers danwel van mensen die verdacht werden van collaboratie?</w:t>
      </w:r>
      <w:r>
        <w:br/>
      </w:r>
    </w:p>
    <w:p>
      <w:pPr>
        <w:pStyle w:val="ListParagraph"/>
        <w:numPr>
          <w:ilvl w:val="0"/>
          <w:numId w:val="100465650"/>
        </w:numPr>
        <w:ind w:left="360"/>
      </w:pPr>
      <w:r>
        <w:t>Kunt u aangeven hoe u uw toezegging in het vragenuur van 14 januari 2025 om het archief zo snel mogelijk digitaal doorzoekbaar te maken gaat concretiseren?</w:t>
      </w:r>
      <w:r>
        <w:br/>
      </w:r>
    </w:p>
    <w:p>
      <w:pPr>
        <w:pStyle w:val="ListParagraph"/>
        <w:numPr>
          <w:ilvl w:val="0"/>
          <w:numId w:val="100465650"/>
        </w:numPr>
        <w:ind w:left="360"/>
      </w:pPr>
      <w:r>
        <w:t>Welke wettelijke grondslag wilt u creëren om de belangenafweging tussen het maatschappelijk belang en privacy beter de garanderen?</w:t>
      </w:r>
      <w:r>
        <w:br/>
      </w:r>
    </w:p>
    <w:p>
      <w:pPr>
        <w:pStyle w:val="ListParagraph"/>
        <w:numPr>
          <w:ilvl w:val="0"/>
          <w:numId w:val="100465650"/>
        </w:numPr>
        <w:ind w:left="360"/>
      </w:pPr>
      <w:r>
        <w:t>Wat is het tijdpad van het wetstraject waarin deze wettelijke grondslag wordt gecreëerd, zoals u suggereert?</w:t>
      </w:r>
      <w:r>
        <w:br/>
      </w:r>
    </w:p>
    <w:p>
      <w:pPr>
        <w:pStyle w:val="ListParagraph"/>
        <w:numPr>
          <w:ilvl w:val="0"/>
          <w:numId w:val="100465650"/>
        </w:numPr>
        <w:ind w:left="360"/>
      </w:pPr>
      <w:r>
        <w:t>Bent u bereid dit wetsvoorstel op korte termijn voor spoedadvies aan de Raad van State voor te leggen?</w:t>
      </w:r>
      <w:r>
        <w:br/>
      </w:r>
    </w:p>
    <w:p>
      <w:pPr>
        <w:pStyle w:val="ListParagraph"/>
        <w:numPr>
          <w:ilvl w:val="0"/>
          <w:numId w:val="100465650"/>
        </w:numPr>
        <w:ind w:left="360"/>
      </w:pPr>
      <w:r>
        <w:t>Wanneer kan de Kamer deze spoedwet verwachten?</w:t>
      </w:r>
      <w:r>
        <w:br/>
      </w:r>
    </w:p>
    <w:p>
      <w:pPr>
        <w:pStyle w:val="ListParagraph"/>
        <w:numPr>
          <w:ilvl w:val="0"/>
          <w:numId w:val="100465650"/>
        </w:numPr>
        <w:ind w:left="360"/>
      </w:pPr>
      <w:r>
        <w:t>Welke juridische bezwaren heeft de Autoriteit Persoonsgegevens precies bij het voorstel van het NIOD om zo snel mogelijk een gesloten digitale omgeving te creëren en hoe kunnen deze bezwaren weggenomen worden?</w:t>
      </w:r>
      <w:r>
        <w:br/>
      </w:r>
    </w:p>
    <w:p>
      <w:pPr>
        <w:pStyle w:val="ListParagraph"/>
        <w:numPr>
          <w:ilvl w:val="0"/>
          <w:numId w:val="100465650"/>
        </w:numPr>
        <w:ind w:left="360"/>
      </w:pPr>
      <w:r>
        <w:t>U heeft aangegeven dat er meer locaties komen waarin mensen het archief kunnen doorzoeken. Wanneer zijn die locaties precies beschikbaar, welke locaties worden dit en hoe kunnen mensen daar zo snel mogelijk terecht?</w:t>
      </w:r>
      <w:r>
        <w:br/>
      </w:r>
    </w:p>
    <w:p>
      <w:pPr>
        <w:pStyle w:val="ListParagraph"/>
        <w:numPr>
          <w:ilvl w:val="0"/>
          <w:numId w:val="100465650"/>
        </w:numPr>
        <w:ind w:left="360"/>
      </w:pPr>
      <w:r>
        <w:t>Klopt het dat noch de Autoriteit Persoonsgegevens, noch het Nationaal Archief, noch het NIOD, noch de organisaties van Joodse nabestaanden en verzetsstrijders heeft gevraagd om wél de namen, maar niet de achterliggende informatie online te zetten?</w:t>
      </w:r>
      <w:r>
        <w:br/>
      </w:r>
    </w:p>
    <w:p>
      <w:pPr>
        <w:pStyle w:val="ListParagraph"/>
        <w:numPr>
          <w:ilvl w:val="0"/>
          <w:numId w:val="100465650"/>
        </w:numPr>
        <w:ind w:left="360"/>
      </w:pPr>
      <w:r>
        <w:t>Waarom bent u dan toch overgegaan tot dit besluit?</w:t>
      </w:r>
      <w:r>
        <w:br/>
      </w:r>
    </w:p>
    <w:p>
      <w:pPr>
        <w:pStyle w:val="ListParagraph"/>
        <w:numPr>
          <w:ilvl w:val="0"/>
          <w:numId w:val="100465650"/>
        </w:numPr>
        <w:ind w:left="360"/>
      </w:pPr>
      <w:r>
        <w:t>Hoe kijkt u terug op het besluit om wel de namen, maar niet de achterliggende dossiers online doorzoekbaar te maken?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