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447F" w:rsidR="000142E2" w:rsidP="000142E2" w:rsidRDefault="000142E2" w14:paraId="6CB206F7" w14:textId="70C6ADBA">
      <w:pPr>
        <w:spacing w:line="276" w:lineRule="auto"/>
      </w:pPr>
      <w:bookmarkStart w:name="_GoBack" w:id="0"/>
      <w:bookmarkEnd w:id="0"/>
      <w:r w:rsidRPr="00E6447F">
        <w:t>Hierbij zend</w:t>
      </w:r>
      <w:r w:rsidR="00547CD6">
        <w:t xml:space="preserve">en wij u </w:t>
      </w:r>
      <w:r w:rsidRPr="00E6447F">
        <w:t xml:space="preserve">de antwoorden op de Kamervragen die het lid Inge van Dijk (CDA) op 22 oktober jl. aan de minister van Financiën en de staatssecretaris van Justitie en Veiligheid heeft gesteld </w:t>
      </w:r>
      <w:r w:rsidRPr="00E6447F">
        <w:rPr>
          <w:rFonts w:eastAsia="DejaVuSerifCondensed" w:cs="DejaVuSerifCondensed"/>
        </w:rPr>
        <w:t>over het bericht 'Einde Buy Now Pay Later stap dichterbij' (2024Z16548).</w:t>
      </w:r>
      <w:r w:rsidRPr="00E6447F">
        <w:rPr>
          <w:rStyle w:val="Voetnootmarkering"/>
          <w:rFonts w:eastAsia="DejaVuSerifCondensed" w:cs="DejaVuSerifCondensed"/>
        </w:rPr>
        <w:footnoteReference w:id="1"/>
      </w:r>
    </w:p>
    <w:p w:rsidR="000142E2" w:rsidP="000142E2" w:rsidRDefault="000142E2" w14:paraId="17307781" w14:textId="77777777">
      <w:pPr>
        <w:spacing w:line="276" w:lineRule="auto"/>
      </w:pPr>
    </w:p>
    <w:p w:rsidRPr="00E6447F" w:rsidR="006D1B22" w:rsidP="000142E2" w:rsidRDefault="006D1B22" w14:paraId="757331E6" w14:textId="77777777">
      <w:pPr>
        <w:spacing w:line="276" w:lineRule="auto"/>
      </w:pPr>
    </w:p>
    <w:p w:rsidR="002A73A8" w:rsidP="002A73A8" w:rsidRDefault="006D1B22" w14:paraId="27581169" w14:textId="1860F143">
      <w:r>
        <w:t>D</w:t>
      </w:r>
      <w:r w:rsidR="002A73A8">
        <w:t xml:space="preserve">e </w:t>
      </w:r>
      <w:r>
        <w:t>M</w:t>
      </w:r>
      <w:r w:rsidR="002A73A8">
        <w:t>inister van Financiën</w:t>
      </w:r>
      <w:r w:rsidR="006E0A7A">
        <w:t>,</w:t>
      </w:r>
    </w:p>
    <w:p w:rsidR="002A73A8" w:rsidP="002A73A8" w:rsidRDefault="002A73A8" w14:paraId="78A0A682" w14:textId="77777777"/>
    <w:p w:rsidR="002A73A8" w:rsidP="002A73A8" w:rsidRDefault="002A73A8" w14:paraId="4620C05D" w14:textId="77777777"/>
    <w:p w:rsidR="002A73A8" w:rsidP="002A73A8" w:rsidRDefault="002A73A8" w14:paraId="7180826E" w14:textId="77777777"/>
    <w:p w:rsidR="002A73A8" w:rsidP="002A73A8" w:rsidRDefault="002A73A8" w14:paraId="6A189D36" w14:textId="77777777"/>
    <w:p w:rsidR="002A73A8" w:rsidP="002A73A8" w:rsidRDefault="002A73A8" w14:paraId="4D540625" w14:textId="77777777">
      <w:r>
        <w:t>E. Heinen</w:t>
      </w:r>
    </w:p>
    <w:p w:rsidR="002A73A8" w:rsidP="00547CD6" w:rsidRDefault="002A73A8" w14:paraId="65E01AAE" w14:textId="77777777"/>
    <w:p w:rsidR="002A73A8" w:rsidP="00547CD6" w:rsidRDefault="002A73A8" w14:paraId="16CC18C9" w14:textId="77777777"/>
    <w:p w:rsidR="00547CD6" w:rsidP="00547CD6" w:rsidRDefault="006D1B22" w14:paraId="74E3DF86" w14:textId="06A15A2F">
      <w:r>
        <w:t>D</w:t>
      </w:r>
      <w:r w:rsidR="00547CD6">
        <w:t>e </w:t>
      </w:r>
      <w:r>
        <w:t>S</w:t>
      </w:r>
      <w:r w:rsidR="00547CD6">
        <w:t xml:space="preserve">taatssecretaris </w:t>
      </w:r>
      <w:r w:rsidR="006D5677">
        <w:t>Rechtsbescherming</w:t>
      </w:r>
      <w:r w:rsidR="006E0A7A">
        <w:t>,</w:t>
      </w:r>
    </w:p>
    <w:p w:rsidR="00547CD6" w:rsidP="00547CD6" w:rsidRDefault="00547CD6" w14:paraId="6503175B" w14:textId="77777777"/>
    <w:p w:rsidR="00547CD6" w:rsidP="00547CD6" w:rsidRDefault="00547CD6" w14:paraId="42A3EBAE" w14:textId="77777777"/>
    <w:p w:rsidR="00547CD6" w:rsidP="00547CD6" w:rsidRDefault="00547CD6" w14:paraId="25954216" w14:textId="77777777"/>
    <w:p w:rsidR="00547CD6" w:rsidP="00547CD6" w:rsidRDefault="00547CD6" w14:paraId="6A151198" w14:textId="77777777"/>
    <w:p w:rsidR="00547CD6" w:rsidP="00547CD6" w:rsidRDefault="00547CD6" w14:paraId="4550D89F" w14:textId="77777777">
      <w:r>
        <w:t>T.H.D. Struycken</w:t>
      </w:r>
    </w:p>
    <w:p w:rsidR="00547CD6" w:rsidP="00547CD6" w:rsidRDefault="00547CD6" w14:paraId="499334E3" w14:textId="77777777"/>
    <w:p w:rsidRPr="00E6447F" w:rsidR="00E6447F" w:rsidP="000142E2" w:rsidRDefault="00E6447F" w14:paraId="307B9706" w14:textId="77777777">
      <w:pPr>
        <w:spacing w:line="276" w:lineRule="auto"/>
      </w:pPr>
    </w:p>
    <w:p w:rsidRPr="00E6447F" w:rsidR="000142E2" w:rsidP="000142E2" w:rsidRDefault="000142E2" w14:paraId="39654B35" w14:textId="77777777">
      <w:pPr>
        <w:spacing w:line="276" w:lineRule="auto"/>
      </w:pPr>
    </w:p>
    <w:p w:rsidRPr="00E6447F" w:rsidR="000142E2" w:rsidP="000142E2" w:rsidRDefault="000142E2" w14:paraId="7E0304B2" w14:textId="77777777">
      <w:pPr>
        <w:spacing w:line="276" w:lineRule="auto"/>
      </w:pPr>
    </w:p>
    <w:p w:rsidRPr="00E6447F" w:rsidR="000142E2" w:rsidP="000142E2" w:rsidRDefault="000142E2" w14:paraId="54D815B3" w14:textId="77777777">
      <w:pPr>
        <w:spacing w:line="276" w:lineRule="auto"/>
      </w:pPr>
    </w:p>
    <w:p w:rsidRPr="00E6447F" w:rsidR="000142E2" w:rsidP="000142E2" w:rsidRDefault="000142E2" w14:paraId="00C569BE" w14:textId="77777777">
      <w:pPr>
        <w:spacing w:line="276" w:lineRule="auto"/>
      </w:pPr>
    </w:p>
    <w:p w:rsidRPr="00E6447F" w:rsidR="000142E2" w:rsidP="000142E2" w:rsidRDefault="000142E2" w14:paraId="30765F36" w14:textId="77777777">
      <w:pPr>
        <w:spacing w:line="276" w:lineRule="auto"/>
      </w:pPr>
    </w:p>
    <w:p w:rsidR="000142E2" w:rsidP="000142E2" w:rsidRDefault="000142E2" w14:paraId="482F7582" w14:textId="77777777">
      <w:pPr>
        <w:spacing w:line="276" w:lineRule="auto"/>
      </w:pPr>
    </w:p>
    <w:p w:rsidRPr="00E6447F" w:rsidR="002A73A8" w:rsidP="000142E2" w:rsidRDefault="002A73A8" w14:paraId="4FF3A5C4" w14:textId="77777777">
      <w:pPr>
        <w:spacing w:line="276" w:lineRule="auto"/>
      </w:pPr>
    </w:p>
    <w:p w:rsidRPr="00E6447F" w:rsidR="000142E2" w:rsidP="000142E2" w:rsidRDefault="000142E2" w14:paraId="5FBBC7DD" w14:textId="77777777">
      <w:pPr>
        <w:spacing w:line="276" w:lineRule="auto"/>
      </w:pPr>
    </w:p>
    <w:p w:rsidRPr="00E6447F" w:rsidR="000142E2" w:rsidP="000142E2" w:rsidRDefault="000142E2" w14:paraId="41EF6451" w14:textId="77777777">
      <w:pPr>
        <w:spacing w:line="276" w:lineRule="auto"/>
      </w:pPr>
    </w:p>
    <w:p w:rsidRPr="00E6447F" w:rsidR="000142E2" w:rsidP="000142E2" w:rsidRDefault="000142E2" w14:paraId="17E85B02" w14:textId="77777777">
      <w:pPr>
        <w:spacing w:line="276" w:lineRule="auto"/>
      </w:pPr>
    </w:p>
    <w:p w:rsidRPr="00E6447F" w:rsidR="00E6447F" w:rsidP="000142E2" w:rsidRDefault="00E6447F" w14:paraId="2B8167EF" w14:textId="77777777">
      <w:pPr>
        <w:pStyle w:val="Geenafstand"/>
        <w:spacing w:line="276" w:lineRule="auto"/>
        <w:rPr>
          <w:rFonts w:ascii="Verdana" w:hAnsi="Verdana"/>
          <w:b/>
          <w:bCs/>
          <w:sz w:val="18"/>
          <w:szCs w:val="18"/>
        </w:rPr>
      </w:pPr>
    </w:p>
    <w:p w:rsidR="006D1B22" w:rsidP="00285B2E" w:rsidRDefault="006D1B22" w14:paraId="5ABD5638" w14:textId="77777777">
      <w:pPr>
        <w:pStyle w:val="Geenafstand"/>
        <w:spacing w:line="276" w:lineRule="auto"/>
        <w:rPr>
          <w:rFonts w:ascii="Verdana" w:hAnsi="Verdana"/>
          <w:b/>
          <w:bCs/>
          <w:sz w:val="18"/>
          <w:szCs w:val="18"/>
        </w:rPr>
      </w:pPr>
    </w:p>
    <w:p w:rsidR="006D1B22" w:rsidP="006D1B22" w:rsidRDefault="00285B2E" w14:paraId="1783DA54" w14:textId="77777777">
      <w:pPr>
        <w:pStyle w:val="Geenafstand"/>
        <w:pBdr>
          <w:bottom w:val="single" w:color="auto" w:sz="4" w:space="1"/>
        </w:pBdr>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lastRenderedPageBreak/>
        <w:t xml:space="preserve">Vragen van het lid Inge van Dijk (CDA) aan de minister van Financiën en de staatssecretaris van Justitie en Veiligheid over het bericht 'Einde Buy Now Pay Later stap dichterbij' </w:t>
      </w:r>
    </w:p>
    <w:p w:rsidRPr="006E0A7A" w:rsidR="006D1B22" w:rsidP="006D1B22" w:rsidRDefault="00285B2E" w14:paraId="1208166A" w14:textId="4621BE07">
      <w:pPr>
        <w:pStyle w:val="Geenafstand"/>
        <w:pBdr>
          <w:bottom w:val="single" w:color="auto" w:sz="4" w:space="1"/>
        </w:pBdr>
        <w:spacing w:line="276" w:lineRule="auto"/>
        <w:rPr>
          <w:rFonts w:ascii="Verdana" w:hAnsi="Verdana"/>
          <w:b/>
          <w:bCs/>
          <w:sz w:val="18"/>
          <w:szCs w:val="18"/>
        </w:rPr>
      </w:pPr>
      <w:r>
        <w:rPr>
          <w:rFonts w:ascii="Verdana" w:hAnsi="Verdana" w:eastAsia="DejaVuSerifCondensed" w:cs="DejaVuSerifCondensed"/>
          <w:b/>
          <w:bCs/>
          <w:sz w:val="18"/>
          <w:szCs w:val="18"/>
        </w:rPr>
        <w:t>(ingezonden 22 oktober 2024</w:t>
      </w:r>
      <w:r w:rsidR="006D1B22">
        <w:rPr>
          <w:rFonts w:ascii="Verdana" w:hAnsi="Verdana" w:eastAsia="DejaVuSerifCondensed" w:cs="DejaVuSerifCondensed"/>
          <w:b/>
          <w:bCs/>
          <w:sz w:val="18"/>
          <w:szCs w:val="18"/>
        </w:rPr>
        <w:t xml:space="preserve">, </w:t>
      </w:r>
      <w:r w:rsidRPr="006E0A7A" w:rsidR="006D1B22">
        <w:rPr>
          <w:rFonts w:ascii="Verdana" w:hAnsi="Verdana"/>
          <w:b/>
          <w:bCs/>
          <w:sz w:val="18"/>
          <w:szCs w:val="18"/>
        </w:rPr>
        <w:t>2024Z16548</w:t>
      </w:r>
      <w:r w:rsidR="006D1B22">
        <w:rPr>
          <w:rFonts w:ascii="Verdana" w:hAnsi="Verdana"/>
          <w:b/>
          <w:bCs/>
          <w:sz w:val="18"/>
          <w:szCs w:val="18"/>
        </w:rPr>
        <w:t>)</w:t>
      </w:r>
    </w:p>
    <w:p w:rsidR="00285B2E" w:rsidP="00285B2E" w:rsidRDefault="00285B2E" w14:paraId="6066D259" w14:textId="5B50A9B6">
      <w:pPr>
        <w:pStyle w:val="Geenafstand"/>
        <w:spacing w:line="276" w:lineRule="auto"/>
        <w:rPr>
          <w:rFonts w:ascii="Verdana" w:hAnsi="Verdana" w:eastAsia="DejaVuSerifCondensed" w:cs="DejaVuSerifCondensed"/>
          <w:b/>
          <w:bCs/>
          <w:sz w:val="18"/>
          <w:szCs w:val="18"/>
        </w:rPr>
      </w:pPr>
    </w:p>
    <w:p w:rsidR="00285B2E" w:rsidP="00285B2E" w:rsidRDefault="00285B2E" w14:paraId="63A0788F" w14:textId="77777777">
      <w:pPr>
        <w:pStyle w:val="Geenafstand"/>
        <w:spacing w:line="276" w:lineRule="auto"/>
        <w:rPr>
          <w:rFonts w:ascii="Verdana" w:hAnsi="Verdana" w:eastAsia="DejaVuSerifCondensed" w:cs="DejaVuSerifCondensed"/>
          <w:sz w:val="18"/>
          <w:szCs w:val="18"/>
        </w:rPr>
      </w:pPr>
    </w:p>
    <w:p w:rsidR="00285B2E" w:rsidP="00285B2E" w:rsidRDefault="00285B2E" w14:paraId="1E3DEE67"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1</w:t>
      </w:r>
    </w:p>
    <w:p w:rsidRPr="006D1B22" w:rsidR="00285B2E" w:rsidP="00285B2E" w:rsidRDefault="00285B2E" w14:paraId="48EFA0D6"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Bent u bekend met de uitspraak van het Hof van Justitie van de EU inzake Buy Now Pay Later (BNPL), dat er wél sprake is van een kredietvergoeding wanneer de kredietgever, om economisch voordeel te krijgen, bij het sluiten van de overeenkomst er op anticipeert dat de consument de betalingsverplichting niet na zal komen?</w:t>
      </w:r>
      <w:r w:rsidRPr="006D1B22">
        <w:rPr>
          <w:rStyle w:val="Voetnootmarkering"/>
          <w:rFonts w:ascii="Verdana" w:hAnsi="Verdana" w:eastAsia="DejaVuSerifCondensed" w:cs="DejaVuSerifCondensed"/>
          <w:b/>
          <w:bCs/>
          <w:sz w:val="18"/>
          <w:szCs w:val="18"/>
        </w:rPr>
        <w:footnoteReference w:id="2"/>
      </w:r>
    </w:p>
    <w:p w:rsidR="00285B2E" w:rsidP="00285B2E" w:rsidRDefault="00285B2E" w14:paraId="2BFA0D28" w14:textId="77777777">
      <w:pPr>
        <w:pStyle w:val="Geenafstand"/>
        <w:spacing w:line="276" w:lineRule="auto"/>
        <w:rPr>
          <w:rFonts w:ascii="Verdana" w:hAnsi="Verdana" w:eastAsia="DejaVuSerifCondensed" w:cs="DejaVuSerifCondensed"/>
          <w:sz w:val="18"/>
          <w:szCs w:val="18"/>
        </w:rPr>
      </w:pPr>
    </w:p>
    <w:p w:rsidR="00285B2E" w:rsidP="00285B2E" w:rsidRDefault="00285B2E" w14:paraId="32D78216" w14:textId="7A2A13F6">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 xml:space="preserve">Antwoord </w:t>
      </w:r>
      <w:r w:rsidR="006D1B22">
        <w:rPr>
          <w:rFonts w:ascii="Verdana" w:hAnsi="Verdana" w:eastAsia="DejaVuSerifCondensed" w:cs="DejaVuSerifCondensed"/>
          <w:b/>
          <w:bCs/>
          <w:sz w:val="18"/>
          <w:szCs w:val="18"/>
        </w:rPr>
        <w:t xml:space="preserve">op vraag </w:t>
      </w:r>
      <w:r>
        <w:rPr>
          <w:rFonts w:ascii="Verdana" w:hAnsi="Verdana" w:eastAsia="DejaVuSerifCondensed" w:cs="DejaVuSerifCondensed"/>
          <w:b/>
          <w:bCs/>
          <w:sz w:val="18"/>
          <w:szCs w:val="18"/>
        </w:rPr>
        <w:t>1</w:t>
      </w:r>
    </w:p>
    <w:p w:rsidR="00285B2E" w:rsidP="00285B2E" w:rsidRDefault="00285B2E" w14:paraId="10A65592" w14:textId="7777777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Ja.</w:t>
      </w:r>
    </w:p>
    <w:p w:rsidR="00285B2E" w:rsidP="00285B2E" w:rsidRDefault="00285B2E" w14:paraId="582D71C4" w14:textId="77777777">
      <w:pPr>
        <w:pStyle w:val="Geenafstand"/>
        <w:spacing w:line="276" w:lineRule="auto"/>
        <w:rPr>
          <w:rFonts w:ascii="Verdana" w:hAnsi="Verdana" w:eastAsia="DejaVuSerifCondensed" w:cs="DejaVuSerifCondensed"/>
          <w:sz w:val="18"/>
          <w:szCs w:val="18"/>
        </w:rPr>
      </w:pPr>
    </w:p>
    <w:p w:rsidR="00285B2E" w:rsidP="00285B2E" w:rsidRDefault="00285B2E" w14:paraId="62726117"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2</w:t>
      </w:r>
    </w:p>
    <w:p w:rsidRPr="006D1B22" w:rsidR="00285B2E" w:rsidP="00285B2E" w:rsidRDefault="00285B2E" w14:paraId="590396FB"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Bent u bekend met het onderzoek van de AFM dat BNPL-aanbieders tot 40% van hun inkomsten halen uit te laat betalen, en dat dit zo’n groot deel van de inkomsten is, dat dit een onderdeel is van het verdienmodel?</w:t>
      </w:r>
    </w:p>
    <w:p w:rsidR="00285B2E" w:rsidP="00285B2E" w:rsidRDefault="00285B2E" w14:paraId="79C3FD09" w14:textId="77777777">
      <w:pPr>
        <w:pStyle w:val="Geenafstand"/>
        <w:spacing w:line="276" w:lineRule="auto"/>
        <w:rPr>
          <w:rFonts w:ascii="Verdana" w:hAnsi="Verdana" w:eastAsia="DejaVuSerifCondensed" w:cs="DejaVuSerifCondensed"/>
          <w:sz w:val="18"/>
          <w:szCs w:val="18"/>
        </w:rPr>
      </w:pPr>
    </w:p>
    <w:p w:rsidR="00285B2E" w:rsidP="00285B2E" w:rsidRDefault="006D1B22" w14:paraId="6ECF4B03" w14:textId="71D49E64">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Antwoord op vraag</w:t>
      </w:r>
      <w:r w:rsidR="00285B2E">
        <w:rPr>
          <w:rFonts w:ascii="Verdana" w:hAnsi="Verdana" w:eastAsia="DejaVuSerifCondensed" w:cs="DejaVuSerifCondensed"/>
          <w:b/>
          <w:bCs/>
          <w:sz w:val="18"/>
          <w:szCs w:val="18"/>
        </w:rPr>
        <w:t xml:space="preserve"> 2</w:t>
      </w:r>
    </w:p>
    <w:p w:rsidR="00285B2E" w:rsidP="00285B2E" w:rsidRDefault="00285B2E" w14:paraId="217D9EF6" w14:textId="7777777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Wij zijn bekend met het rapport van de AFM. De AFM stelt dat in 2021 de aanmaningskosten een substantieel deel (tot 40%) vormden van de inkomsten van sommige BNPL-aanbieders en deze inkomsten kunnen winstgevend zijn.</w:t>
      </w:r>
      <w:r>
        <w:rPr>
          <w:rStyle w:val="Voetnootmarkering"/>
          <w:rFonts w:ascii="Verdana" w:hAnsi="Verdana" w:eastAsia="DejaVuSerifCondensed" w:cs="DejaVuSerifCondensed"/>
          <w:sz w:val="18"/>
          <w:szCs w:val="18"/>
        </w:rPr>
        <w:footnoteReference w:id="3"/>
      </w:r>
      <w:r>
        <w:rPr>
          <w:rFonts w:ascii="Verdana" w:hAnsi="Verdana" w:eastAsia="DejaVuSerifCondensed" w:cs="DejaVuSerifCondensed"/>
          <w:sz w:val="18"/>
          <w:szCs w:val="18"/>
        </w:rPr>
        <w:t xml:space="preserve"> </w:t>
      </w:r>
    </w:p>
    <w:p w:rsidR="00285B2E" w:rsidP="00285B2E" w:rsidRDefault="00285B2E" w14:paraId="6B481A5B" w14:textId="77777777">
      <w:pPr>
        <w:pStyle w:val="Geenafstand"/>
        <w:spacing w:line="276" w:lineRule="auto"/>
        <w:rPr>
          <w:rFonts w:ascii="Verdana" w:hAnsi="Verdana" w:eastAsia="DejaVuSerifCondensed" w:cs="DejaVuSerifCondensed"/>
          <w:sz w:val="18"/>
          <w:szCs w:val="18"/>
        </w:rPr>
      </w:pPr>
    </w:p>
    <w:p w:rsidR="00285B2E" w:rsidP="00285B2E" w:rsidRDefault="00285B2E" w14:paraId="482810D7"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3</w:t>
      </w:r>
    </w:p>
    <w:p w:rsidRPr="006D1B22" w:rsidR="00285B2E" w:rsidP="00285B2E" w:rsidRDefault="00285B2E" w14:paraId="441AE4A4"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Klopt het daarom dat BNPL niet buiten de Richtlijn consumentenkrediet kan vallen, en daarom net zo goed aan de regels moet voldoen?</w:t>
      </w:r>
    </w:p>
    <w:p w:rsidR="00285B2E" w:rsidP="00285B2E" w:rsidRDefault="00285B2E" w14:paraId="56C24DEE" w14:textId="77777777">
      <w:pPr>
        <w:pStyle w:val="Geenafstand"/>
        <w:spacing w:line="276" w:lineRule="auto"/>
        <w:rPr>
          <w:rFonts w:ascii="Verdana" w:hAnsi="Verdana" w:eastAsia="DejaVuSerifCondensed" w:cs="DejaVuSerifCondensed"/>
          <w:sz w:val="18"/>
          <w:szCs w:val="18"/>
        </w:rPr>
      </w:pPr>
    </w:p>
    <w:p w:rsidR="00285B2E" w:rsidP="00285B2E" w:rsidRDefault="006D1B22" w14:paraId="773481F1" w14:textId="56C287B8">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 xml:space="preserve">Antwoord op vraag </w:t>
      </w:r>
      <w:r w:rsidR="00285B2E">
        <w:rPr>
          <w:rFonts w:ascii="Verdana" w:hAnsi="Verdana" w:eastAsia="DejaVuSerifCondensed" w:cs="DejaVuSerifCondensed"/>
          <w:b/>
          <w:bCs/>
          <w:sz w:val="18"/>
          <w:szCs w:val="18"/>
        </w:rPr>
        <w:t>3</w:t>
      </w:r>
    </w:p>
    <w:p w:rsidR="00285B2E" w:rsidP="00285B2E" w:rsidRDefault="00285B2E" w14:paraId="3469FCA1" w14:textId="65291EB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Het Hof van Justitie van de Europese Unie (hierna: Hof) heeft op 17 oktober jl. uitspraak</w:t>
      </w:r>
      <w:r w:rsidR="0020574B">
        <w:rPr>
          <w:rStyle w:val="Voetnootmarkering"/>
          <w:rFonts w:ascii="Verdana" w:hAnsi="Verdana" w:eastAsia="DejaVuSerifCondensed" w:cs="DejaVuSerifCondensed"/>
          <w:sz w:val="18"/>
          <w:szCs w:val="18"/>
        </w:rPr>
        <w:footnoteReference w:id="4"/>
      </w:r>
      <w:r>
        <w:rPr>
          <w:rFonts w:ascii="Verdana" w:hAnsi="Verdana" w:eastAsia="DejaVuSerifCondensed" w:cs="DejaVuSerifCondensed"/>
          <w:sz w:val="18"/>
          <w:szCs w:val="18"/>
        </w:rPr>
        <w:t xml:space="preserve"> gedaan over de betreffende zaak waar onder meer het verdienmodel van een BNPL-aanbieder ter discussie stond. De Nederlandse staat heeft tijdens dit proces zijn zienswijze gedeeld met het Hof. Samenvattend oordeelt het Hof dat de rente en de kosten van niet-nakoming in beginsel geen deel uitmaken van de „rente” en de „andere kosten” in de zin van artikel 2, lid 2, onder f), van richtlijn 2008/48, ongeacht of de toepassing en de hoogte van die rente en die kosten bij wet zijn voorzien dan wel in de kredietovereenkomst zijn vastgelegd. BNPL is in beginsel uitgezonderd van de Richtlijn consumentenkrediet, tenzij de BNPL-aanbieder al bij het sluiten van de overeenkomst anticipeert op wanbetaling om economisch voordeel te behalen, oftewel de niet-nakomingskosten deel uitmaken van het verdienmodel van de aanbieder. Het Hof verwijst in de uitspraak tevens naar de zienswijze van Nederland. Of er sprake is van een economisch voordeel hangt af van de omstandigheden rond de sluiting van de betrokken overeenkomst en andere relevante omstandigheden, zoals met name de wettelijke dan wel contractuele aard van de rente en de kosten van niet-nakoming, de termijnen waarbinnen die rente en kosten opeisbaar worden en het bedrag van deze rente en kosten. Om te kunnen bepalen of de betreffende BNPL-aanbieder in deze specifieke zaak binnen het toepassingsbereik van de huidige Richtlijn consumentenkrediet valt en welke implicaties dit heeft, </w:t>
      </w:r>
      <w:r>
        <w:rPr>
          <w:rFonts w:ascii="Verdana" w:hAnsi="Verdana" w:eastAsia="DejaVuSerifCondensed" w:cs="DejaVuSerifCondensed"/>
          <w:kern w:val="0"/>
          <w:sz w:val="18"/>
          <w:szCs w:val="18"/>
          <w14:ligatures w14:val="none"/>
        </w:rPr>
        <w:t>moet de uitspraak van de rechter worden afgewacht</w:t>
      </w:r>
      <w:r>
        <w:rPr>
          <w:rFonts w:ascii="Verdana" w:hAnsi="Verdana" w:eastAsia="DejaVuSerifCondensed" w:cs="DejaVuSerifCondensed"/>
          <w:sz w:val="18"/>
          <w:szCs w:val="18"/>
        </w:rPr>
        <w:t>. Voor deze casus zal de Hoge Raad de vragen van de kantonrechter te Arnhem beantwoorden, waarna de kantonrechter, die over de feitelijke beoordeling gaat, uitspraak zal doen</w:t>
      </w:r>
      <w:r w:rsidR="0020574B">
        <w:rPr>
          <w:rFonts w:ascii="Verdana" w:hAnsi="Verdana" w:eastAsia="DejaVuSerifCondensed" w:cs="DejaVuSerifCondensed"/>
          <w:sz w:val="18"/>
          <w:szCs w:val="18"/>
        </w:rPr>
        <w:t>. Een nadere uitleg hierover treft u aan in de heden verzonden Kamerbrief over BNPL.</w:t>
      </w:r>
    </w:p>
    <w:p w:rsidR="00285B2E" w:rsidP="00285B2E" w:rsidRDefault="00285B2E" w14:paraId="610D6C8D" w14:textId="77777777">
      <w:pPr>
        <w:pStyle w:val="Geenafstand"/>
        <w:spacing w:line="276" w:lineRule="auto"/>
        <w:rPr>
          <w:rFonts w:ascii="Verdana" w:hAnsi="Verdana" w:eastAsia="DejaVuSerifCondensed" w:cs="DejaVuSerifCondensed"/>
          <w:b/>
          <w:bCs/>
          <w:sz w:val="18"/>
          <w:szCs w:val="18"/>
        </w:rPr>
      </w:pPr>
    </w:p>
    <w:p w:rsidR="00285B2E" w:rsidP="00285B2E" w:rsidRDefault="00285B2E" w14:paraId="5B0A42AD"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4</w:t>
      </w:r>
    </w:p>
    <w:p w:rsidRPr="006D1B22" w:rsidR="00285B2E" w:rsidP="00285B2E" w:rsidRDefault="00285B2E" w14:paraId="33ACBE71"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Bent u het met ons eens dat voor BNPL dus moet worden gewaarschuwd voor de risico’s van kredieten, dat duidelijk moet zijn wat de kosten zijn en waarbij de kredietwaardigheid van de consument moet worden beoordeeld?</w:t>
      </w:r>
    </w:p>
    <w:p w:rsidR="00285B2E" w:rsidP="00285B2E" w:rsidRDefault="00285B2E" w14:paraId="0512B57E" w14:textId="77777777">
      <w:pPr>
        <w:pStyle w:val="Geenafstand"/>
        <w:spacing w:line="276" w:lineRule="auto"/>
        <w:rPr>
          <w:rFonts w:ascii="Verdana" w:hAnsi="Verdana" w:eastAsia="DejaVuSerifCondensed" w:cs="DejaVuSerifCondensed"/>
          <w:b/>
          <w:bCs/>
          <w:sz w:val="18"/>
          <w:szCs w:val="18"/>
        </w:rPr>
      </w:pPr>
    </w:p>
    <w:p w:rsidR="00285B2E" w:rsidP="00285B2E" w:rsidRDefault="006D1B22" w14:paraId="39C95E58" w14:textId="720DFAA9">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 xml:space="preserve">Antwoord op vraag </w:t>
      </w:r>
      <w:r w:rsidR="00285B2E">
        <w:rPr>
          <w:rFonts w:ascii="Verdana" w:hAnsi="Verdana" w:eastAsia="DejaVuSerifCondensed" w:cs="DejaVuSerifCondensed"/>
          <w:b/>
          <w:bCs/>
          <w:sz w:val="18"/>
          <w:szCs w:val="18"/>
        </w:rPr>
        <w:t>4</w:t>
      </w:r>
    </w:p>
    <w:p w:rsidR="00285B2E" w:rsidP="00285B2E" w:rsidRDefault="00285B2E" w14:paraId="7D3518F4" w14:textId="7777777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Nederland heeft zich er tijdens de onderhandelingen over de herziening van de richtlijn consumentenkrediet sterk voor ingezet om BNPL onder de reikwijdte van de herziene Europese Richtlijn consumentenkrediet te plaatsen, zodat onder meer de in de vraag genoemde maatregelen, verplicht worden voor BNPL-aanbieders. Deze inzet is succesvol geweest; de aanbieders van BNPL-betaaldiensten komen dan ook te vallen onder de herziene Europese Richtlijn consumentenkrediet. Vanaf dan moeten ook de aanbieders van BNPL-betaaldiensten aan dezelfde, strenge regels voldoen als de aanbieders van consumptief krediet. In de praktijk betekent dit dat de aanbieders onder andere een krediettoets moeten gaan uitvoeren (waaronder een BKR-toets) en moeten voldoen aan regels ten aanzien van informatieverstrekking en reclame-uitingen.</w:t>
      </w:r>
    </w:p>
    <w:p w:rsidR="00285B2E" w:rsidP="00285B2E" w:rsidRDefault="00285B2E" w14:paraId="790B3150" w14:textId="77777777">
      <w:pPr>
        <w:pStyle w:val="Geenafstand"/>
        <w:spacing w:line="276" w:lineRule="auto"/>
        <w:rPr>
          <w:rFonts w:ascii="Verdana" w:hAnsi="Verdana" w:eastAsia="DejaVuSerifCondensed" w:cs="DejaVuSerifCondensed"/>
          <w:b/>
          <w:bCs/>
          <w:sz w:val="18"/>
          <w:szCs w:val="18"/>
        </w:rPr>
      </w:pPr>
    </w:p>
    <w:p w:rsidR="00285B2E" w:rsidP="00285B2E" w:rsidRDefault="00285B2E" w14:paraId="3D6FC0D3" w14:textId="77777777">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Vraag 5</w:t>
      </w:r>
    </w:p>
    <w:p w:rsidRPr="006D1B22" w:rsidR="00285B2E" w:rsidP="00285B2E" w:rsidRDefault="00285B2E" w14:paraId="034534C0" w14:textId="77777777">
      <w:pPr>
        <w:pStyle w:val="Geenafstand"/>
        <w:spacing w:line="276" w:lineRule="auto"/>
        <w:rPr>
          <w:rFonts w:ascii="Verdana" w:hAnsi="Verdana" w:eastAsia="DejaVuSerifCondensed" w:cs="DejaVuSerifCondensed"/>
          <w:b/>
          <w:bCs/>
          <w:sz w:val="18"/>
          <w:szCs w:val="18"/>
        </w:rPr>
      </w:pPr>
      <w:r w:rsidRPr="006D1B22">
        <w:rPr>
          <w:rFonts w:ascii="Verdana" w:hAnsi="Verdana" w:eastAsia="DejaVuSerifCondensed" w:cs="DejaVuSerifCondensed"/>
          <w:b/>
          <w:bCs/>
          <w:sz w:val="18"/>
          <w:szCs w:val="18"/>
        </w:rPr>
        <w:t>Kunt u nagaan bij de Hoge Raad wat hun tijdsplanning is om deze uitspraak verder te beoordelen?</w:t>
      </w:r>
    </w:p>
    <w:p w:rsidR="00285B2E" w:rsidP="00285B2E" w:rsidRDefault="00285B2E" w14:paraId="110551EA" w14:textId="77777777">
      <w:pPr>
        <w:pStyle w:val="Geenafstand"/>
        <w:spacing w:line="276" w:lineRule="auto"/>
        <w:rPr>
          <w:rFonts w:ascii="Verdana" w:hAnsi="Verdana" w:eastAsia="DejaVuSerifCondensed" w:cs="DejaVuSerifCondensed"/>
          <w:sz w:val="18"/>
          <w:szCs w:val="18"/>
        </w:rPr>
      </w:pPr>
    </w:p>
    <w:p w:rsidR="00285B2E" w:rsidP="00285B2E" w:rsidRDefault="006D1B22" w14:paraId="14243F47" w14:textId="0BB6BE4D">
      <w:pPr>
        <w:pStyle w:val="Geenafstand"/>
        <w:spacing w:line="276" w:lineRule="auto"/>
        <w:rPr>
          <w:rFonts w:ascii="Verdana" w:hAnsi="Verdana" w:eastAsia="DejaVuSerifCondensed" w:cs="DejaVuSerifCondensed"/>
          <w:b/>
          <w:bCs/>
          <w:sz w:val="18"/>
          <w:szCs w:val="18"/>
        </w:rPr>
      </w:pPr>
      <w:r>
        <w:rPr>
          <w:rFonts w:ascii="Verdana" w:hAnsi="Verdana" w:eastAsia="DejaVuSerifCondensed" w:cs="DejaVuSerifCondensed"/>
          <w:b/>
          <w:bCs/>
          <w:sz w:val="18"/>
          <w:szCs w:val="18"/>
        </w:rPr>
        <w:t xml:space="preserve">Antwoord op vraag </w:t>
      </w:r>
      <w:r w:rsidR="00285B2E">
        <w:rPr>
          <w:rFonts w:ascii="Verdana" w:hAnsi="Verdana" w:eastAsia="DejaVuSerifCondensed" w:cs="DejaVuSerifCondensed"/>
          <w:b/>
          <w:bCs/>
          <w:sz w:val="18"/>
          <w:szCs w:val="18"/>
        </w:rPr>
        <w:t>5</w:t>
      </w:r>
    </w:p>
    <w:p w:rsidR="00285B2E" w:rsidP="00285B2E" w:rsidRDefault="00285B2E" w14:paraId="4D9C32ED" w14:textId="77777777">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Na ontvangst van de uitspraak van het Hof worden de partijen in de procedure en de belanghebbende die zich in de procedure heeft gemeld, door de Hoge Raad uitgenodigd om schriftelijke opmerkingen te maken naar aanleiding van de uitspraak van het Hof (het partijdebat). Vervolgens wordt aan de procureur-generaal bij de Hoge Raad gelegenheid gegeven voor het nemen van een nadere conclusie in de zaak. Daarna bepaalt de Hoge Raad de dag waarop hij uitspraak zal doen. De Hoge Raad heeft aangegeven dat de tijd waarop hij zal beslissen naar huidige verwachting zal worden bepaald op een dag in de tweede helft van 2025.</w:t>
      </w:r>
    </w:p>
    <w:p w:rsidRPr="00E6447F" w:rsidR="008C4CD6" w:rsidP="00285B2E" w:rsidRDefault="008C4CD6" w14:paraId="18C4CCFF" w14:textId="17AE95F0">
      <w:pPr>
        <w:pStyle w:val="Geenafstand"/>
        <w:spacing w:line="276" w:lineRule="auto"/>
        <w:rPr>
          <w:rFonts w:ascii="Verdana" w:hAnsi="Verdana" w:eastAsia="DejaVuSerifCondensed" w:cs="DejaVuSerifCondensed"/>
          <w:sz w:val="18"/>
          <w:szCs w:val="18"/>
        </w:rPr>
      </w:pPr>
    </w:p>
    <w:sectPr w:rsidRPr="00E6447F" w:rsidR="008C4CD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1E7E8" w14:textId="77777777" w:rsidR="00D623AD" w:rsidRDefault="00D623AD">
      <w:pPr>
        <w:spacing w:line="240" w:lineRule="auto"/>
      </w:pPr>
      <w:r>
        <w:separator/>
      </w:r>
    </w:p>
  </w:endnote>
  <w:endnote w:type="continuationSeparator" w:id="0">
    <w:p w14:paraId="081BE3D4" w14:textId="77777777" w:rsidR="00D623AD" w:rsidRDefault="00D62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57355" w14:textId="77777777" w:rsidR="00E8412D" w:rsidRDefault="00E8412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1E5CE" w14:textId="77777777" w:rsidR="00D623AD" w:rsidRDefault="00D623AD">
      <w:pPr>
        <w:spacing w:line="240" w:lineRule="auto"/>
      </w:pPr>
      <w:r>
        <w:separator/>
      </w:r>
    </w:p>
  </w:footnote>
  <w:footnote w:type="continuationSeparator" w:id="0">
    <w:p w14:paraId="31A95832" w14:textId="77777777" w:rsidR="00D623AD" w:rsidRDefault="00D623AD">
      <w:pPr>
        <w:spacing w:line="240" w:lineRule="auto"/>
      </w:pPr>
      <w:r>
        <w:continuationSeparator/>
      </w:r>
    </w:p>
  </w:footnote>
  <w:footnote w:id="1">
    <w:p w14:paraId="53CDC558" w14:textId="77777777" w:rsidR="000142E2" w:rsidRPr="000142E2" w:rsidRDefault="000142E2" w:rsidP="000142E2">
      <w:pPr>
        <w:pStyle w:val="Voetnoottekst"/>
        <w:rPr>
          <w:rFonts w:ascii="Verdana" w:hAnsi="Verdana"/>
          <w:sz w:val="16"/>
          <w:szCs w:val="16"/>
        </w:rPr>
      </w:pPr>
      <w:r w:rsidRPr="000142E2">
        <w:rPr>
          <w:rStyle w:val="Voetnootmarkering"/>
          <w:rFonts w:ascii="Verdana" w:hAnsi="Verdana"/>
          <w:sz w:val="16"/>
          <w:szCs w:val="16"/>
        </w:rPr>
        <w:footnoteRef/>
      </w:r>
      <w:r w:rsidRPr="000142E2">
        <w:rPr>
          <w:rFonts w:ascii="Verdana" w:hAnsi="Verdana"/>
          <w:sz w:val="16"/>
          <w:szCs w:val="16"/>
        </w:rPr>
        <w:t xml:space="preserve"> </w:t>
      </w:r>
      <w:hyperlink r:id="rId1" w:history="1">
        <w:r w:rsidRPr="000142E2">
          <w:rPr>
            <w:rStyle w:val="Hyperlink"/>
            <w:rFonts w:ascii="Verdana" w:hAnsi="Verdana"/>
            <w:sz w:val="16"/>
            <w:szCs w:val="16"/>
          </w:rPr>
          <w:t>https://schuldinfo.nl/nieuwsbericht/tx_news/einde-buy-now-pay-later-stap-dichterbij/?tx_news_pi1%5Bcontroller%5D=News&amp;tx_news_pi1%5Baction%5D=detail&amp;cHash=7498bceb55386775c8ed4986e85498d7</w:t>
        </w:r>
      </w:hyperlink>
      <w:r w:rsidRPr="000142E2">
        <w:rPr>
          <w:rFonts w:ascii="Verdana" w:hAnsi="Verdana"/>
          <w:sz w:val="16"/>
          <w:szCs w:val="16"/>
        </w:rPr>
        <w:t xml:space="preserve"> </w:t>
      </w:r>
    </w:p>
  </w:footnote>
  <w:footnote w:id="2">
    <w:p w14:paraId="7C5A8769" w14:textId="77777777" w:rsidR="00285B2E" w:rsidRDefault="00285B2E" w:rsidP="00285B2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2" w:history="1">
        <w:r>
          <w:rPr>
            <w:rStyle w:val="Hyperlink"/>
            <w:rFonts w:ascii="Verdana" w:hAnsi="Verdana"/>
            <w:sz w:val="16"/>
            <w:szCs w:val="16"/>
          </w:rPr>
          <w:t>https://schuldinfo.nl/nieuwsbericht/tx_news/einde-buy-now-pay-later-stap-dichterbij/?tx_news_pi1%5Bcontroller%5D=News&amp;tx_news_pi1%5Baction%5D=detail&amp;cHash=7498bceb55386775c8ed4986e85498d7</w:t>
        </w:r>
      </w:hyperlink>
      <w:r>
        <w:rPr>
          <w:rFonts w:ascii="Verdana" w:hAnsi="Verdana"/>
          <w:sz w:val="16"/>
          <w:szCs w:val="16"/>
        </w:rPr>
        <w:t xml:space="preserve"> </w:t>
      </w:r>
    </w:p>
  </w:footnote>
  <w:footnote w:id="3">
    <w:p w14:paraId="3809B4C4" w14:textId="77777777" w:rsidR="00285B2E" w:rsidRDefault="00285B2E" w:rsidP="00285B2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3" w:anchor=":~:text=De%20AFM%20Marktupdate%20laat%20zien,jaar%20en%20stijgt%20met%2032%25" w:history="1">
        <w:r>
          <w:rPr>
            <w:rStyle w:val="Hyperlink"/>
            <w:rFonts w:ascii="Verdana" w:hAnsi="Verdana"/>
            <w:sz w:val="16"/>
            <w:szCs w:val="16"/>
          </w:rPr>
          <w:t>https://www.afm.nl/nl-nl/sector/actueel/2024/april/bnpl-marktbeeld-experiment</w:t>
        </w:r>
      </w:hyperlink>
    </w:p>
  </w:footnote>
  <w:footnote w:id="4">
    <w:p w14:paraId="7D48C70F" w14:textId="258E55A6" w:rsidR="0020574B" w:rsidRDefault="0020574B">
      <w:pPr>
        <w:pStyle w:val="Voetnoottekst"/>
      </w:pPr>
      <w:r>
        <w:rPr>
          <w:rStyle w:val="Voetnootmarkering"/>
        </w:rPr>
        <w:footnoteRef/>
      </w:r>
      <w:r>
        <w:t xml:space="preserve"> </w:t>
      </w:r>
      <w:r w:rsidRPr="002070B1">
        <w:rPr>
          <w:sz w:val="16"/>
          <w:szCs w:val="16"/>
        </w:rPr>
        <w:t>Hof van Justitie 17 oktober 2024, ECLI:EU:C:2024:895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0671" w14:textId="77777777" w:rsidR="00E8412D" w:rsidRDefault="005E277E">
    <w:r>
      <w:rPr>
        <w:noProof/>
      </w:rPr>
      <mc:AlternateContent>
        <mc:Choice Requires="wps">
          <w:drawing>
            <wp:anchor distT="0" distB="0" distL="0" distR="0" simplePos="0" relativeHeight="251652608" behindDoc="0" locked="1" layoutInCell="1" allowOverlap="1" wp14:anchorId="028310A3" wp14:editId="6170E04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59FFB5" w14:textId="77777777" w:rsidR="00E8412D" w:rsidRDefault="005E277E">
                          <w:pPr>
                            <w:pStyle w:val="Referentiegegevensbold"/>
                          </w:pPr>
                          <w:r>
                            <w:t>Directoraat-Generaal Rechtspleging en Rechtshandhaving</w:t>
                          </w:r>
                        </w:p>
                        <w:p w14:paraId="58B38690" w14:textId="77777777" w:rsidR="00E8412D" w:rsidRDefault="005E277E">
                          <w:pPr>
                            <w:pStyle w:val="Referentiegegevens"/>
                          </w:pPr>
                          <w:r>
                            <w:t>Directie Rechtsbestel</w:t>
                          </w:r>
                        </w:p>
                        <w:p w14:paraId="7A3E2AE9" w14:textId="77777777" w:rsidR="00E8412D" w:rsidRDefault="005E277E">
                          <w:pPr>
                            <w:pStyle w:val="Referentiegegevens"/>
                          </w:pPr>
                          <w:r>
                            <w:t>Strafr.Bestel en Arbeidsvoor</w:t>
                          </w:r>
                        </w:p>
                        <w:p w14:paraId="3E011C5D" w14:textId="77777777" w:rsidR="00E8412D" w:rsidRDefault="00E8412D">
                          <w:pPr>
                            <w:pStyle w:val="WitregelW2"/>
                          </w:pPr>
                        </w:p>
                        <w:p w14:paraId="4EE4B4F1" w14:textId="4BA8A18D" w:rsidR="006D1B22" w:rsidRPr="006D1B22" w:rsidRDefault="006D1B22" w:rsidP="006D1B22">
                          <w:pPr>
                            <w:pStyle w:val="Referentiegegevensbold"/>
                          </w:pPr>
                          <w:r>
                            <w:t>Datum</w:t>
                          </w:r>
                        </w:p>
                        <w:p w14:paraId="2819899C" w14:textId="77777777" w:rsidR="006D1B22" w:rsidRDefault="006D1B22" w:rsidP="006D1B22">
                          <w:pPr>
                            <w:rPr>
                              <w:sz w:val="13"/>
                              <w:szCs w:val="13"/>
                            </w:rPr>
                          </w:pPr>
                          <w:r w:rsidRPr="006D1B22">
                            <w:rPr>
                              <w:sz w:val="13"/>
                              <w:szCs w:val="13"/>
                            </w:rPr>
                            <w:t>21 januari 2025</w:t>
                          </w:r>
                        </w:p>
                        <w:p w14:paraId="32C9211F" w14:textId="27010BE8" w:rsidR="00E8412D" w:rsidRPr="006D1B22" w:rsidRDefault="00E8412D">
                          <w:pPr>
                            <w:pStyle w:val="WitregelW1"/>
                            <w:rPr>
                              <w:sz w:val="13"/>
                              <w:szCs w:val="13"/>
                            </w:rPr>
                          </w:pPr>
                        </w:p>
                        <w:p w14:paraId="756AE368" w14:textId="77777777" w:rsidR="006D1B22" w:rsidRPr="006D1B22" w:rsidRDefault="006D1B22" w:rsidP="006D1B22">
                          <w:pPr>
                            <w:rPr>
                              <w:sz w:val="13"/>
                              <w:szCs w:val="13"/>
                            </w:rPr>
                          </w:pPr>
                        </w:p>
                        <w:p w14:paraId="690875E1" w14:textId="29E9F683" w:rsidR="00E8412D" w:rsidRDefault="006D1B22">
                          <w:pPr>
                            <w:pStyle w:val="Referentiegegevensbold"/>
                          </w:pPr>
                          <w:r>
                            <w:t>O</w:t>
                          </w:r>
                          <w:r w:rsidR="005E277E">
                            <w:t>nze referentie</w:t>
                          </w:r>
                        </w:p>
                        <w:p w14:paraId="049F2DDB" w14:textId="77777777" w:rsidR="00E8412D" w:rsidRDefault="005E277E">
                          <w:pPr>
                            <w:pStyle w:val="Referentiegegevens"/>
                          </w:pPr>
                          <w:r>
                            <w:t>5938147</w:t>
                          </w:r>
                        </w:p>
                      </w:txbxContent>
                    </wps:txbx>
                    <wps:bodyPr vert="horz" wrap="square" lIns="0" tIns="0" rIns="0" bIns="0" anchor="t" anchorCtr="0"/>
                  </wps:wsp>
                </a:graphicData>
              </a:graphic>
            </wp:anchor>
          </w:drawing>
        </mc:Choice>
        <mc:Fallback>
          <w:pict>
            <v:shapetype w14:anchorId="028310A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559FFB5" w14:textId="77777777" w:rsidR="00E8412D" w:rsidRDefault="005E277E">
                    <w:pPr>
                      <w:pStyle w:val="Referentiegegevensbold"/>
                    </w:pPr>
                    <w:r>
                      <w:t>Directoraat-Generaal Rechtspleging en Rechtshandhaving</w:t>
                    </w:r>
                  </w:p>
                  <w:p w14:paraId="58B38690" w14:textId="77777777" w:rsidR="00E8412D" w:rsidRDefault="005E277E">
                    <w:pPr>
                      <w:pStyle w:val="Referentiegegevens"/>
                    </w:pPr>
                    <w:r>
                      <w:t>Directie Rechtsbestel</w:t>
                    </w:r>
                  </w:p>
                  <w:p w14:paraId="7A3E2AE9" w14:textId="77777777" w:rsidR="00E8412D" w:rsidRDefault="005E277E">
                    <w:pPr>
                      <w:pStyle w:val="Referentiegegevens"/>
                    </w:pPr>
                    <w:r>
                      <w:t>Strafr.Bestel en Arbeidsvoor</w:t>
                    </w:r>
                  </w:p>
                  <w:p w14:paraId="3E011C5D" w14:textId="77777777" w:rsidR="00E8412D" w:rsidRDefault="00E8412D">
                    <w:pPr>
                      <w:pStyle w:val="WitregelW2"/>
                    </w:pPr>
                  </w:p>
                  <w:p w14:paraId="4EE4B4F1" w14:textId="4BA8A18D" w:rsidR="006D1B22" w:rsidRPr="006D1B22" w:rsidRDefault="006D1B22" w:rsidP="006D1B22">
                    <w:pPr>
                      <w:pStyle w:val="Referentiegegevensbold"/>
                    </w:pPr>
                    <w:r>
                      <w:t>Datum</w:t>
                    </w:r>
                  </w:p>
                  <w:p w14:paraId="2819899C" w14:textId="77777777" w:rsidR="006D1B22" w:rsidRDefault="006D1B22" w:rsidP="006D1B22">
                    <w:pPr>
                      <w:rPr>
                        <w:sz w:val="13"/>
                        <w:szCs w:val="13"/>
                      </w:rPr>
                    </w:pPr>
                    <w:r w:rsidRPr="006D1B22">
                      <w:rPr>
                        <w:sz w:val="13"/>
                        <w:szCs w:val="13"/>
                      </w:rPr>
                      <w:t>21 januari 2025</w:t>
                    </w:r>
                  </w:p>
                  <w:p w14:paraId="32C9211F" w14:textId="27010BE8" w:rsidR="00E8412D" w:rsidRPr="006D1B22" w:rsidRDefault="00E8412D">
                    <w:pPr>
                      <w:pStyle w:val="WitregelW1"/>
                      <w:rPr>
                        <w:sz w:val="13"/>
                        <w:szCs w:val="13"/>
                      </w:rPr>
                    </w:pPr>
                  </w:p>
                  <w:p w14:paraId="756AE368" w14:textId="77777777" w:rsidR="006D1B22" w:rsidRPr="006D1B22" w:rsidRDefault="006D1B22" w:rsidP="006D1B22">
                    <w:pPr>
                      <w:rPr>
                        <w:sz w:val="13"/>
                        <w:szCs w:val="13"/>
                      </w:rPr>
                    </w:pPr>
                  </w:p>
                  <w:p w14:paraId="690875E1" w14:textId="29E9F683" w:rsidR="00E8412D" w:rsidRDefault="006D1B22">
                    <w:pPr>
                      <w:pStyle w:val="Referentiegegevensbold"/>
                    </w:pPr>
                    <w:r>
                      <w:t>O</w:t>
                    </w:r>
                    <w:r w:rsidR="005E277E">
                      <w:t>nze referentie</w:t>
                    </w:r>
                  </w:p>
                  <w:p w14:paraId="049F2DDB" w14:textId="77777777" w:rsidR="00E8412D" w:rsidRDefault="005E277E">
                    <w:pPr>
                      <w:pStyle w:val="Referentiegegevens"/>
                    </w:pPr>
                    <w:r>
                      <w:t>5938147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49D392D" wp14:editId="3EA7486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FBF747" w14:textId="77777777" w:rsidR="009E7B4D" w:rsidRDefault="009E7B4D"/>
                      </w:txbxContent>
                    </wps:txbx>
                    <wps:bodyPr vert="horz" wrap="square" lIns="0" tIns="0" rIns="0" bIns="0" anchor="t" anchorCtr="0"/>
                  </wps:wsp>
                </a:graphicData>
              </a:graphic>
            </wp:anchor>
          </w:drawing>
        </mc:Choice>
        <mc:Fallback>
          <w:pict>
            <v:shape w14:anchorId="249D392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3FBF747" w14:textId="77777777" w:rsidR="009E7B4D" w:rsidRDefault="009E7B4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2910463" wp14:editId="00621E9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DE3FD7" w14:textId="50F90570" w:rsidR="00E8412D" w:rsidRDefault="005E277E">
                          <w:pPr>
                            <w:pStyle w:val="Referentiegegevens"/>
                          </w:pPr>
                          <w:r>
                            <w:t xml:space="preserve">Pagina </w:t>
                          </w:r>
                          <w:r>
                            <w:fldChar w:fldCharType="begin"/>
                          </w:r>
                          <w:r>
                            <w:instrText>PAGE</w:instrText>
                          </w:r>
                          <w:r>
                            <w:fldChar w:fldCharType="separate"/>
                          </w:r>
                          <w:r w:rsidR="008C4CD6">
                            <w:rPr>
                              <w:noProof/>
                            </w:rPr>
                            <w:t>2</w:t>
                          </w:r>
                          <w:r>
                            <w:fldChar w:fldCharType="end"/>
                          </w:r>
                          <w:r>
                            <w:t xml:space="preserve"> van </w:t>
                          </w:r>
                          <w:r>
                            <w:fldChar w:fldCharType="begin"/>
                          </w:r>
                          <w:r>
                            <w:instrText>NUMPAGES</w:instrText>
                          </w:r>
                          <w:r>
                            <w:fldChar w:fldCharType="separate"/>
                          </w:r>
                          <w:r w:rsidR="008C4CD6">
                            <w:rPr>
                              <w:noProof/>
                            </w:rPr>
                            <w:t>1</w:t>
                          </w:r>
                          <w:r>
                            <w:fldChar w:fldCharType="end"/>
                          </w:r>
                        </w:p>
                      </w:txbxContent>
                    </wps:txbx>
                    <wps:bodyPr vert="horz" wrap="square" lIns="0" tIns="0" rIns="0" bIns="0" anchor="t" anchorCtr="0"/>
                  </wps:wsp>
                </a:graphicData>
              </a:graphic>
            </wp:anchor>
          </w:drawing>
        </mc:Choice>
        <mc:Fallback>
          <w:pict>
            <v:shape w14:anchorId="3291046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FDE3FD7" w14:textId="50F90570" w:rsidR="00E8412D" w:rsidRDefault="005E277E">
                    <w:pPr>
                      <w:pStyle w:val="Referentiegegevens"/>
                    </w:pPr>
                    <w:r>
                      <w:t xml:space="preserve">Pagina </w:t>
                    </w:r>
                    <w:r>
                      <w:fldChar w:fldCharType="begin"/>
                    </w:r>
                    <w:r>
                      <w:instrText>PAGE</w:instrText>
                    </w:r>
                    <w:r>
                      <w:fldChar w:fldCharType="separate"/>
                    </w:r>
                    <w:r w:rsidR="008C4CD6">
                      <w:rPr>
                        <w:noProof/>
                      </w:rPr>
                      <w:t>2</w:t>
                    </w:r>
                    <w:r>
                      <w:fldChar w:fldCharType="end"/>
                    </w:r>
                    <w:r>
                      <w:t xml:space="preserve"> van </w:t>
                    </w:r>
                    <w:r>
                      <w:fldChar w:fldCharType="begin"/>
                    </w:r>
                    <w:r>
                      <w:instrText>NUMPAGES</w:instrText>
                    </w:r>
                    <w:r>
                      <w:fldChar w:fldCharType="separate"/>
                    </w:r>
                    <w:r w:rsidR="008C4CD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D071F" w14:textId="77777777" w:rsidR="00E8412D" w:rsidRDefault="005E277E">
    <w:pPr>
      <w:spacing w:after="6377" w:line="14" w:lineRule="exact"/>
    </w:pPr>
    <w:r>
      <w:rPr>
        <w:noProof/>
      </w:rPr>
      <mc:AlternateContent>
        <mc:Choice Requires="wps">
          <w:drawing>
            <wp:anchor distT="0" distB="0" distL="0" distR="0" simplePos="0" relativeHeight="251655680" behindDoc="0" locked="1" layoutInCell="1" allowOverlap="1" wp14:anchorId="4F3B308F" wp14:editId="2CC2CB4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D950EB" w14:textId="7E5AC503" w:rsidR="00E8412D" w:rsidRDefault="005E277E">
                          <w:r>
                            <w:t>Aan de Voorzitter van de Tweede Kamer</w:t>
                          </w:r>
                          <w:r w:rsidR="006D1B22">
                            <w:br/>
                          </w:r>
                          <w:r>
                            <w:t>der Staten-Generaal</w:t>
                          </w:r>
                        </w:p>
                        <w:p w14:paraId="0A023F8F" w14:textId="77777777" w:rsidR="00E8412D" w:rsidRDefault="005E277E">
                          <w:r>
                            <w:t xml:space="preserve">Postbus 20018 </w:t>
                          </w:r>
                        </w:p>
                        <w:p w14:paraId="134D11EA" w14:textId="77777777" w:rsidR="00E8412D" w:rsidRDefault="005E277E">
                          <w:r>
                            <w:t>2500 EA  DEN HAAG</w:t>
                          </w:r>
                        </w:p>
                      </w:txbxContent>
                    </wps:txbx>
                    <wps:bodyPr vert="horz" wrap="square" lIns="0" tIns="0" rIns="0" bIns="0" anchor="t" anchorCtr="0"/>
                  </wps:wsp>
                </a:graphicData>
              </a:graphic>
            </wp:anchor>
          </w:drawing>
        </mc:Choice>
        <mc:Fallback>
          <w:pict>
            <v:shapetype w14:anchorId="4F3B308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6D950EB" w14:textId="7E5AC503" w:rsidR="00E8412D" w:rsidRDefault="005E277E">
                    <w:r>
                      <w:t>Aan de Voorzitter van de Tweede Kamer</w:t>
                    </w:r>
                    <w:r w:rsidR="006D1B22">
                      <w:br/>
                    </w:r>
                    <w:r>
                      <w:t>der Staten-Generaal</w:t>
                    </w:r>
                  </w:p>
                  <w:p w14:paraId="0A023F8F" w14:textId="77777777" w:rsidR="00E8412D" w:rsidRDefault="005E277E">
                    <w:r>
                      <w:t xml:space="preserve">Postbus 20018 </w:t>
                    </w:r>
                  </w:p>
                  <w:p w14:paraId="134D11EA" w14:textId="77777777" w:rsidR="00E8412D" w:rsidRDefault="005E277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7FCFED1" wp14:editId="72CCA49D">
              <wp:simplePos x="0" y="0"/>
              <wp:positionH relativeFrom="margin">
                <wp:align>right</wp:align>
              </wp:positionH>
              <wp:positionV relativeFrom="page">
                <wp:posOffset>3352800</wp:posOffset>
              </wp:positionV>
              <wp:extent cx="4787900" cy="539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9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8412D" w14:paraId="0434351C" w14:textId="77777777">
                            <w:trPr>
                              <w:trHeight w:val="240"/>
                            </w:trPr>
                            <w:tc>
                              <w:tcPr>
                                <w:tcW w:w="1140" w:type="dxa"/>
                              </w:tcPr>
                              <w:p w14:paraId="5166F3C6" w14:textId="77777777" w:rsidR="00E8412D" w:rsidRDefault="005E277E">
                                <w:r>
                                  <w:t>Datum</w:t>
                                </w:r>
                              </w:p>
                            </w:tc>
                            <w:tc>
                              <w:tcPr>
                                <w:tcW w:w="5918" w:type="dxa"/>
                              </w:tcPr>
                              <w:p w14:paraId="75A2DE39" w14:textId="29461567" w:rsidR="00E8412D" w:rsidRDefault="006D1B22">
                                <w:r>
                                  <w:t>21 januari 2025</w:t>
                                </w:r>
                              </w:p>
                            </w:tc>
                          </w:tr>
                          <w:tr w:rsidR="00E8412D" w14:paraId="146B2D66" w14:textId="77777777">
                            <w:trPr>
                              <w:trHeight w:val="240"/>
                            </w:trPr>
                            <w:tc>
                              <w:tcPr>
                                <w:tcW w:w="1140" w:type="dxa"/>
                              </w:tcPr>
                              <w:p w14:paraId="61E62526" w14:textId="77777777" w:rsidR="00E8412D" w:rsidRDefault="005E277E">
                                <w:r>
                                  <w:t>Betreft</w:t>
                                </w:r>
                              </w:p>
                            </w:tc>
                            <w:tc>
                              <w:tcPr>
                                <w:tcW w:w="5918" w:type="dxa"/>
                              </w:tcPr>
                              <w:p w14:paraId="552C0290" w14:textId="7E81C38E" w:rsidR="00E8412D" w:rsidRDefault="006D1B22">
                                <w:r>
                                  <w:t>Antwoorden Kamervragen over</w:t>
                                </w:r>
                                <w:r w:rsidR="000142E2">
                                  <w:t xml:space="preserve"> de uitspraak van het EU-Hof over BNPL</w:t>
                                </w:r>
                              </w:p>
                            </w:tc>
                          </w:tr>
                        </w:tbl>
                        <w:p w14:paraId="6EB968C9" w14:textId="77777777" w:rsidR="009E7B4D" w:rsidRDefault="009E7B4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7FCFED1" id="46feebd0-aa3c-11ea-a756-beb5f67e67be" o:spid="_x0000_s1030" type="#_x0000_t202" style="position:absolute;margin-left:325.8pt;margin-top:264pt;width:377pt;height:4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8412D" w14:paraId="0434351C" w14:textId="77777777">
                      <w:trPr>
                        <w:trHeight w:val="240"/>
                      </w:trPr>
                      <w:tc>
                        <w:tcPr>
                          <w:tcW w:w="1140" w:type="dxa"/>
                        </w:tcPr>
                        <w:p w14:paraId="5166F3C6" w14:textId="77777777" w:rsidR="00E8412D" w:rsidRDefault="005E277E">
                          <w:r>
                            <w:t>Datum</w:t>
                          </w:r>
                        </w:p>
                      </w:tc>
                      <w:tc>
                        <w:tcPr>
                          <w:tcW w:w="5918" w:type="dxa"/>
                        </w:tcPr>
                        <w:p w14:paraId="75A2DE39" w14:textId="29461567" w:rsidR="00E8412D" w:rsidRDefault="006D1B22">
                          <w:r>
                            <w:t>21 januari 2025</w:t>
                          </w:r>
                        </w:p>
                      </w:tc>
                    </w:tr>
                    <w:tr w:rsidR="00E8412D" w14:paraId="146B2D66" w14:textId="77777777">
                      <w:trPr>
                        <w:trHeight w:val="240"/>
                      </w:trPr>
                      <w:tc>
                        <w:tcPr>
                          <w:tcW w:w="1140" w:type="dxa"/>
                        </w:tcPr>
                        <w:p w14:paraId="61E62526" w14:textId="77777777" w:rsidR="00E8412D" w:rsidRDefault="005E277E">
                          <w:r>
                            <w:t>Betreft</w:t>
                          </w:r>
                        </w:p>
                      </w:tc>
                      <w:tc>
                        <w:tcPr>
                          <w:tcW w:w="5918" w:type="dxa"/>
                        </w:tcPr>
                        <w:p w14:paraId="552C0290" w14:textId="7E81C38E" w:rsidR="00E8412D" w:rsidRDefault="006D1B22">
                          <w:r>
                            <w:t>Antwoorden Kamervragen over</w:t>
                          </w:r>
                          <w:r w:rsidR="000142E2">
                            <w:t xml:space="preserve"> de uitspraak van het EU-Hof over BNPL</w:t>
                          </w:r>
                        </w:p>
                      </w:tc>
                    </w:tr>
                  </w:tbl>
                  <w:p w14:paraId="6EB968C9" w14:textId="77777777" w:rsidR="009E7B4D" w:rsidRDefault="009E7B4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75F8245" wp14:editId="0615837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A66AA1" w14:textId="77777777" w:rsidR="00E8412D" w:rsidRDefault="005E277E">
                          <w:pPr>
                            <w:pStyle w:val="Referentiegegevensbold"/>
                          </w:pPr>
                          <w:r>
                            <w:t>Directoraat-Generaal Rechtspleging en Rechtshandhaving</w:t>
                          </w:r>
                        </w:p>
                        <w:p w14:paraId="79558B3C" w14:textId="77777777" w:rsidR="00E8412D" w:rsidRDefault="005E277E">
                          <w:pPr>
                            <w:pStyle w:val="Referentiegegevens"/>
                          </w:pPr>
                          <w:r>
                            <w:t>Directie Rechtsbestel</w:t>
                          </w:r>
                        </w:p>
                        <w:p w14:paraId="61CB7A73" w14:textId="77777777" w:rsidR="00E8412D" w:rsidRDefault="005E277E">
                          <w:pPr>
                            <w:pStyle w:val="Referentiegegevens"/>
                          </w:pPr>
                          <w:r>
                            <w:t>Strafr.Bestel en Arbeidsvoor</w:t>
                          </w:r>
                        </w:p>
                        <w:p w14:paraId="56257F25" w14:textId="77777777" w:rsidR="00E8412D" w:rsidRDefault="00E8412D">
                          <w:pPr>
                            <w:pStyle w:val="WitregelW1"/>
                          </w:pPr>
                        </w:p>
                        <w:p w14:paraId="778B8175" w14:textId="77777777" w:rsidR="00E8412D" w:rsidRDefault="005E277E">
                          <w:pPr>
                            <w:pStyle w:val="Referentiegegevens"/>
                          </w:pPr>
                          <w:r>
                            <w:t>Turfmarkt 147</w:t>
                          </w:r>
                        </w:p>
                        <w:p w14:paraId="3DF26F99" w14:textId="77777777" w:rsidR="00E8412D" w:rsidRPr="000142E2" w:rsidRDefault="005E277E">
                          <w:pPr>
                            <w:pStyle w:val="Referentiegegevens"/>
                            <w:rPr>
                              <w:lang w:val="de-DE"/>
                            </w:rPr>
                          </w:pPr>
                          <w:r w:rsidRPr="000142E2">
                            <w:rPr>
                              <w:lang w:val="de-DE"/>
                            </w:rPr>
                            <w:t>2511 DP   Den Haag</w:t>
                          </w:r>
                        </w:p>
                        <w:p w14:paraId="18B0116F" w14:textId="77777777" w:rsidR="00E8412D" w:rsidRPr="000142E2" w:rsidRDefault="005E277E">
                          <w:pPr>
                            <w:pStyle w:val="Referentiegegevens"/>
                            <w:rPr>
                              <w:lang w:val="de-DE"/>
                            </w:rPr>
                          </w:pPr>
                          <w:r w:rsidRPr="000142E2">
                            <w:rPr>
                              <w:lang w:val="de-DE"/>
                            </w:rPr>
                            <w:t>Postbus 20301</w:t>
                          </w:r>
                        </w:p>
                        <w:p w14:paraId="3599826D" w14:textId="77777777" w:rsidR="00E8412D" w:rsidRPr="000142E2" w:rsidRDefault="005E277E">
                          <w:pPr>
                            <w:pStyle w:val="Referentiegegevens"/>
                            <w:rPr>
                              <w:lang w:val="de-DE"/>
                            </w:rPr>
                          </w:pPr>
                          <w:r w:rsidRPr="000142E2">
                            <w:rPr>
                              <w:lang w:val="de-DE"/>
                            </w:rPr>
                            <w:t>2500 EH   Den Haag</w:t>
                          </w:r>
                        </w:p>
                        <w:p w14:paraId="5D2D64CA" w14:textId="77777777" w:rsidR="00E8412D" w:rsidRPr="000142E2" w:rsidRDefault="005E277E">
                          <w:pPr>
                            <w:pStyle w:val="Referentiegegevens"/>
                            <w:rPr>
                              <w:lang w:val="de-DE"/>
                            </w:rPr>
                          </w:pPr>
                          <w:r w:rsidRPr="000142E2">
                            <w:rPr>
                              <w:lang w:val="de-DE"/>
                            </w:rPr>
                            <w:t>www.rijksoverheid.nl/jenv</w:t>
                          </w:r>
                        </w:p>
                        <w:p w14:paraId="31808761" w14:textId="77777777" w:rsidR="00E8412D" w:rsidRPr="000142E2" w:rsidRDefault="00E8412D">
                          <w:pPr>
                            <w:pStyle w:val="WitregelW2"/>
                            <w:rPr>
                              <w:lang w:val="de-DE"/>
                            </w:rPr>
                          </w:pPr>
                        </w:p>
                        <w:p w14:paraId="2AD66098" w14:textId="77777777" w:rsidR="00E8412D" w:rsidRDefault="005E277E">
                          <w:pPr>
                            <w:pStyle w:val="Referentiegegevensbold"/>
                          </w:pPr>
                          <w:r>
                            <w:t>Onze referentie</w:t>
                          </w:r>
                        </w:p>
                        <w:p w14:paraId="7D445E36" w14:textId="2A7A4FB7" w:rsidR="00E8412D" w:rsidRDefault="006D1B22">
                          <w:pPr>
                            <w:pStyle w:val="Referentiegegevens"/>
                          </w:pPr>
                          <w:r>
                            <w:t>4938147</w:t>
                          </w:r>
                        </w:p>
                      </w:txbxContent>
                    </wps:txbx>
                    <wps:bodyPr vert="horz" wrap="square" lIns="0" tIns="0" rIns="0" bIns="0" anchor="t" anchorCtr="0"/>
                  </wps:wsp>
                </a:graphicData>
              </a:graphic>
            </wp:anchor>
          </w:drawing>
        </mc:Choice>
        <mc:Fallback>
          <w:pict>
            <v:shape w14:anchorId="575F824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6A66AA1" w14:textId="77777777" w:rsidR="00E8412D" w:rsidRDefault="005E277E">
                    <w:pPr>
                      <w:pStyle w:val="Referentiegegevensbold"/>
                    </w:pPr>
                    <w:r>
                      <w:t>Directoraat-Generaal Rechtspleging en Rechtshandhaving</w:t>
                    </w:r>
                  </w:p>
                  <w:p w14:paraId="79558B3C" w14:textId="77777777" w:rsidR="00E8412D" w:rsidRDefault="005E277E">
                    <w:pPr>
                      <w:pStyle w:val="Referentiegegevens"/>
                    </w:pPr>
                    <w:r>
                      <w:t>Directie Rechtsbestel</w:t>
                    </w:r>
                  </w:p>
                  <w:p w14:paraId="61CB7A73" w14:textId="77777777" w:rsidR="00E8412D" w:rsidRDefault="005E277E">
                    <w:pPr>
                      <w:pStyle w:val="Referentiegegevens"/>
                    </w:pPr>
                    <w:r>
                      <w:t>Strafr.Bestel en Arbeidsvoor</w:t>
                    </w:r>
                  </w:p>
                  <w:p w14:paraId="56257F25" w14:textId="77777777" w:rsidR="00E8412D" w:rsidRDefault="00E8412D">
                    <w:pPr>
                      <w:pStyle w:val="WitregelW1"/>
                    </w:pPr>
                  </w:p>
                  <w:p w14:paraId="778B8175" w14:textId="77777777" w:rsidR="00E8412D" w:rsidRDefault="005E277E">
                    <w:pPr>
                      <w:pStyle w:val="Referentiegegevens"/>
                    </w:pPr>
                    <w:r>
                      <w:t>Turfmarkt 147</w:t>
                    </w:r>
                  </w:p>
                  <w:p w14:paraId="3DF26F99" w14:textId="77777777" w:rsidR="00E8412D" w:rsidRPr="000142E2" w:rsidRDefault="005E277E">
                    <w:pPr>
                      <w:pStyle w:val="Referentiegegevens"/>
                      <w:rPr>
                        <w:lang w:val="de-DE"/>
                      </w:rPr>
                    </w:pPr>
                    <w:r w:rsidRPr="000142E2">
                      <w:rPr>
                        <w:lang w:val="de-DE"/>
                      </w:rPr>
                      <w:t>2511 DP   Den Haag</w:t>
                    </w:r>
                  </w:p>
                  <w:p w14:paraId="18B0116F" w14:textId="77777777" w:rsidR="00E8412D" w:rsidRPr="000142E2" w:rsidRDefault="005E277E">
                    <w:pPr>
                      <w:pStyle w:val="Referentiegegevens"/>
                      <w:rPr>
                        <w:lang w:val="de-DE"/>
                      </w:rPr>
                    </w:pPr>
                    <w:r w:rsidRPr="000142E2">
                      <w:rPr>
                        <w:lang w:val="de-DE"/>
                      </w:rPr>
                      <w:t>Postbus 20301</w:t>
                    </w:r>
                  </w:p>
                  <w:p w14:paraId="3599826D" w14:textId="77777777" w:rsidR="00E8412D" w:rsidRPr="000142E2" w:rsidRDefault="005E277E">
                    <w:pPr>
                      <w:pStyle w:val="Referentiegegevens"/>
                      <w:rPr>
                        <w:lang w:val="de-DE"/>
                      </w:rPr>
                    </w:pPr>
                    <w:r w:rsidRPr="000142E2">
                      <w:rPr>
                        <w:lang w:val="de-DE"/>
                      </w:rPr>
                      <w:t>2500 EH   Den Haag</w:t>
                    </w:r>
                  </w:p>
                  <w:p w14:paraId="5D2D64CA" w14:textId="77777777" w:rsidR="00E8412D" w:rsidRPr="000142E2" w:rsidRDefault="005E277E">
                    <w:pPr>
                      <w:pStyle w:val="Referentiegegevens"/>
                      <w:rPr>
                        <w:lang w:val="de-DE"/>
                      </w:rPr>
                    </w:pPr>
                    <w:r w:rsidRPr="000142E2">
                      <w:rPr>
                        <w:lang w:val="de-DE"/>
                      </w:rPr>
                      <w:t>www.rijksoverheid.nl/jenv</w:t>
                    </w:r>
                  </w:p>
                  <w:p w14:paraId="31808761" w14:textId="77777777" w:rsidR="00E8412D" w:rsidRPr="000142E2" w:rsidRDefault="00E8412D">
                    <w:pPr>
                      <w:pStyle w:val="WitregelW2"/>
                      <w:rPr>
                        <w:lang w:val="de-DE"/>
                      </w:rPr>
                    </w:pPr>
                  </w:p>
                  <w:p w14:paraId="2AD66098" w14:textId="77777777" w:rsidR="00E8412D" w:rsidRDefault="005E277E">
                    <w:pPr>
                      <w:pStyle w:val="Referentiegegevensbold"/>
                    </w:pPr>
                    <w:r>
                      <w:t>Onze referentie</w:t>
                    </w:r>
                  </w:p>
                  <w:p w14:paraId="7D445E36" w14:textId="2A7A4FB7" w:rsidR="00E8412D" w:rsidRDefault="006D1B22">
                    <w:pPr>
                      <w:pStyle w:val="Referentiegegevens"/>
                    </w:pPr>
                    <w:r>
                      <w:t>4938147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261ED8A" wp14:editId="01E2712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309D92" w14:textId="77777777" w:rsidR="009E7B4D" w:rsidRDefault="009E7B4D"/>
                      </w:txbxContent>
                    </wps:txbx>
                    <wps:bodyPr vert="horz" wrap="square" lIns="0" tIns="0" rIns="0" bIns="0" anchor="t" anchorCtr="0"/>
                  </wps:wsp>
                </a:graphicData>
              </a:graphic>
            </wp:anchor>
          </w:drawing>
        </mc:Choice>
        <mc:Fallback>
          <w:pict>
            <v:shape w14:anchorId="0261ED8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B309D92" w14:textId="77777777" w:rsidR="009E7B4D" w:rsidRDefault="009E7B4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1C54A4" wp14:editId="44E7F62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ADEC40" w14:textId="3120E1CB" w:rsidR="00E8412D" w:rsidRDefault="005E277E">
                          <w:pPr>
                            <w:pStyle w:val="Referentiegegevens"/>
                          </w:pPr>
                          <w:r>
                            <w:t xml:space="preserve">Pagina </w:t>
                          </w:r>
                          <w:r>
                            <w:fldChar w:fldCharType="begin"/>
                          </w:r>
                          <w:r>
                            <w:instrText>PAGE</w:instrText>
                          </w:r>
                          <w:r>
                            <w:fldChar w:fldCharType="separate"/>
                          </w:r>
                          <w:r w:rsidR="004F40C6">
                            <w:rPr>
                              <w:noProof/>
                            </w:rPr>
                            <w:t>1</w:t>
                          </w:r>
                          <w:r>
                            <w:fldChar w:fldCharType="end"/>
                          </w:r>
                          <w:r>
                            <w:t xml:space="preserve"> van </w:t>
                          </w:r>
                          <w:r>
                            <w:fldChar w:fldCharType="begin"/>
                          </w:r>
                          <w:r>
                            <w:instrText>NUMPAGES</w:instrText>
                          </w:r>
                          <w:r>
                            <w:fldChar w:fldCharType="separate"/>
                          </w:r>
                          <w:r w:rsidR="004F40C6">
                            <w:rPr>
                              <w:noProof/>
                            </w:rPr>
                            <w:t>1</w:t>
                          </w:r>
                          <w:r>
                            <w:fldChar w:fldCharType="end"/>
                          </w:r>
                        </w:p>
                      </w:txbxContent>
                    </wps:txbx>
                    <wps:bodyPr vert="horz" wrap="square" lIns="0" tIns="0" rIns="0" bIns="0" anchor="t" anchorCtr="0"/>
                  </wps:wsp>
                </a:graphicData>
              </a:graphic>
            </wp:anchor>
          </w:drawing>
        </mc:Choice>
        <mc:Fallback>
          <w:pict>
            <v:shape w14:anchorId="671C54A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AADEC40" w14:textId="3120E1CB" w:rsidR="00E8412D" w:rsidRDefault="005E277E">
                    <w:pPr>
                      <w:pStyle w:val="Referentiegegevens"/>
                    </w:pPr>
                    <w:r>
                      <w:t xml:space="preserve">Pagina </w:t>
                    </w:r>
                    <w:r>
                      <w:fldChar w:fldCharType="begin"/>
                    </w:r>
                    <w:r>
                      <w:instrText>PAGE</w:instrText>
                    </w:r>
                    <w:r>
                      <w:fldChar w:fldCharType="separate"/>
                    </w:r>
                    <w:r w:rsidR="004F40C6">
                      <w:rPr>
                        <w:noProof/>
                      </w:rPr>
                      <w:t>1</w:t>
                    </w:r>
                    <w:r>
                      <w:fldChar w:fldCharType="end"/>
                    </w:r>
                    <w:r>
                      <w:t xml:space="preserve"> van </w:t>
                    </w:r>
                    <w:r>
                      <w:fldChar w:fldCharType="begin"/>
                    </w:r>
                    <w:r>
                      <w:instrText>NUMPAGES</w:instrText>
                    </w:r>
                    <w:r>
                      <w:fldChar w:fldCharType="separate"/>
                    </w:r>
                    <w:r w:rsidR="004F40C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DA5165" wp14:editId="7F71376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1AA243" w14:textId="77777777" w:rsidR="00E8412D" w:rsidRDefault="005E277E">
                          <w:pPr>
                            <w:spacing w:line="240" w:lineRule="auto"/>
                          </w:pPr>
                          <w:r>
                            <w:rPr>
                              <w:noProof/>
                            </w:rPr>
                            <w:drawing>
                              <wp:inline distT="0" distB="0" distL="0" distR="0" wp14:anchorId="39550F73" wp14:editId="0F3E7E5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DA516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71AA243" w14:textId="77777777" w:rsidR="00E8412D" w:rsidRDefault="005E277E">
                    <w:pPr>
                      <w:spacing w:line="240" w:lineRule="auto"/>
                    </w:pPr>
                    <w:r>
                      <w:rPr>
                        <w:noProof/>
                      </w:rPr>
                      <w:drawing>
                        <wp:inline distT="0" distB="0" distL="0" distR="0" wp14:anchorId="39550F73" wp14:editId="0F3E7E5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674E99" wp14:editId="573F17E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92EF05" w14:textId="77777777" w:rsidR="00E8412D" w:rsidRDefault="005E277E">
                          <w:pPr>
                            <w:spacing w:line="240" w:lineRule="auto"/>
                          </w:pPr>
                          <w:r>
                            <w:rPr>
                              <w:noProof/>
                            </w:rPr>
                            <w:drawing>
                              <wp:inline distT="0" distB="0" distL="0" distR="0" wp14:anchorId="6B8218C9" wp14:editId="78FDCBE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674E9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C92EF05" w14:textId="77777777" w:rsidR="00E8412D" w:rsidRDefault="005E277E">
                    <w:pPr>
                      <w:spacing w:line="240" w:lineRule="auto"/>
                    </w:pPr>
                    <w:r>
                      <w:rPr>
                        <w:noProof/>
                      </w:rPr>
                      <w:drawing>
                        <wp:inline distT="0" distB="0" distL="0" distR="0" wp14:anchorId="6B8218C9" wp14:editId="78FDCBE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A83D37A" wp14:editId="1E54C6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3DB116" w14:textId="77777777" w:rsidR="00E8412D" w:rsidRDefault="005E277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A83D37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23DB116" w14:textId="77777777" w:rsidR="00E8412D" w:rsidRDefault="005E277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A5145"/>
    <w:multiLevelType w:val="multilevel"/>
    <w:tmpl w:val="E903A5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624D2FE"/>
    <w:multiLevelType w:val="multilevel"/>
    <w:tmpl w:val="51E519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3B5508B"/>
    <w:multiLevelType w:val="multilevel"/>
    <w:tmpl w:val="E565B79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F111134"/>
    <w:multiLevelType w:val="multilevel"/>
    <w:tmpl w:val="121597E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1CD56D"/>
    <w:multiLevelType w:val="multilevel"/>
    <w:tmpl w:val="CB7DC17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AC0639F"/>
    <w:multiLevelType w:val="multilevel"/>
    <w:tmpl w:val="142E9C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29B511E"/>
    <w:multiLevelType w:val="hybridMultilevel"/>
    <w:tmpl w:val="7B280C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36532EE"/>
    <w:multiLevelType w:val="hybridMultilevel"/>
    <w:tmpl w:val="3C2CB2D4"/>
    <w:lvl w:ilvl="0" w:tplc="2D3CD4FA">
      <w:start w:val="1"/>
      <w:numFmt w:val="decimal"/>
      <w:lvlText w:val="(%1)"/>
      <w:lvlJc w:val="left"/>
      <w:pPr>
        <w:ind w:left="360" w:hanging="360"/>
      </w:pPr>
      <w:rPr>
        <w:rFonts w:eastAsia="DejaVuSerifCondensed" w:cs="DejaVuSerifCondensed"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D6"/>
    <w:rsid w:val="000142E2"/>
    <w:rsid w:val="000523EB"/>
    <w:rsid w:val="0008008A"/>
    <w:rsid w:val="001229E2"/>
    <w:rsid w:val="0020574B"/>
    <w:rsid w:val="00285B2E"/>
    <w:rsid w:val="002A73A8"/>
    <w:rsid w:val="003C4819"/>
    <w:rsid w:val="003D00B2"/>
    <w:rsid w:val="004F40C6"/>
    <w:rsid w:val="005016B2"/>
    <w:rsid w:val="00547CD6"/>
    <w:rsid w:val="00567556"/>
    <w:rsid w:val="005E277E"/>
    <w:rsid w:val="005E43E9"/>
    <w:rsid w:val="006230F0"/>
    <w:rsid w:val="006D1B22"/>
    <w:rsid w:val="006D5677"/>
    <w:rsid w:val="006E0A7A"/>
    <w:rsid w:val="00761188"/>
    <w:rsid w:val="008747AE"/>
    <w:rsid w:val="008919CA"/>
    <w:rsid w:val="008C4CD6"/>
    <w:rsid w:val="008D0CE3"/>
    <w:rsid w:val="009B15B0"/>
    <w:rsid w:val="009E7B4D"/>
    <w:rsid w:val="00A50EF6"/>
    <w:rsid w:val="00B84998"/>
    <w:rsid w:val="00BA5A50"/>
    <w:rsid w:val="00C0173A"/>
    <w:rsid w:val="00C0504A"/>
    <w:rsid w:val="00C63EFB"/>
    <w:rsid w:val="00D623AD"/>
    <w:rsid w:val="00E6447F"/>
    <w:rsid w:val="00E84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6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4CD6"/>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8C4CD6"/>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8C4CD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C4CD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8C4CD6"/>
    <w:rPr>
      <w:vertAlign w:val="superscript"/>
    </w:rPr>
  </w:style>
  <w:style w:type="paragraph" w:styleId="Koptekst">
    <w:name w:val="header"/>
    <w:basedOn w:val="Standaard"/>
    <w:link w:val="KoptekstChar"/>
    <w:uiPriority w:val="99"/>
    <w:unhideWhenUsed/>
    <w:rsid w:val="00C63E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3EFB"/>
    <w:rPr>
      <w:rFonts w:ascii="Verdana" w:hAnsi="Verdana"/>
      <w:color w:val="000000"/>
      <w:sz w:val="18"/>
      <w:szCs w:val="18"/>
    </w:rPr>
  </w:style>
  <w:style w:type="paragraph" w:customStyle="1" w:styleId="StandaardAanhef">
    <w:name w:val="Standaard_Aanhef"/>
    <w:basedOn w:val="Standaard"/>
    <w:next w:val="Standaard"/>
    <w:rsid w:val="000142E2"/>
    <w:pPr>
      <w:spacing w:before="100" w:after="240" w:line="240" w:lineRule="exact"/>
    </w:pPr>
  </w:style>
  <w:style w:type="paragraph" w:customStyle="1" w:styleId="StandaardSlotzin">
    <w:name w:val="Standaard_Slotzin"/>
    <w:basedOn w:val="Standaard"/>
    <w:next w:val="Standaard"/>
    <w:rsid w:val="000142E2"/>
    <w:pPr>
      <w:spacing w:before="240" w:line="240" w:lineRule="exact"/>
    </w:pPr>
  </w:style>
  <w:style w:type="paragraph" w:styleId="Revisie">
    <w:name w:val="Revision"/>
    <w:hidden/>
    <w:uiPriority w:val="99"/>
    <w:semiHidden/>
    <w:rsid w:val="003C481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C4819"/>
    <w:rPr>
      <w:sz w:val="16"/>
      <w:szCs w:val="16"/>
    </w:rPr>
  </w:style>
  <w:style w:type="paragraph" w:styleId="Tekstopmerking">
    <w:name w:val="annotation text"/>
    <w:basedOn w:val="Standaard"/>
    <w:link w:val="TekstopmerkingChar"/>
    <w:uiPriority w:val="99"/>
    <w:unhideWhenUsed/>
    <w:rsid w:val="003C4819"/>
    <w:pPr>
      <w:spacing w:line="240" w:lineRule="auto"/>
    </w:pPr>
    <w:rPr>
      <w:sz w:val="20"/>
      <w:szCs w:val="20"/>
    </w:rPr>
  </w:style>
  <w:style w:type="character" w:customStyle="1" w:styleId="TekstopmerkingChar">
    <w:name w:val="Tekst opmerking Char"/>
    <w:basedOn w:val="Standaardalinea-lettertype"/>
    <w:link w:val="Tekstopmerking"/>
    <w:uiPriority w:val="99"/>
    <w:rsid w:val="003C481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C4819"/>
    <w:rPr>
      <w:b/>
      <w:bCs/>
    </w:rPr>
  </w:style>
  <w:style w:type="character" w:customStyle="1" w:styleId="OnderwerpvanopmerkingChar">
    <w:name w:val="Onderwerp van opmerking Char"/>
    <w:basedOn w:val="TekstopmerkingChar"/>
    <w:link w:val="Onderwerpvanopmerking"/>
    <w:uiPriority w:val="99"/>
    <w:semiHidden/>
    <w:rsid w:val="003C481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925640">
      <w:bodyDiv w:val="1"/>
      <w:marLeft w:val="0"/>
      <w:marRight w:val="0"/>
      <w:marTop w:val="0"/>
      <w:marBottom w:val="0"/>
      <w:divBdr>
        <w:top w:val="none" w:sz="0" w:space="0" w:color="auto"/>
        <w:left w:val="none" w:sz="0" w:space="0" w:color="auto"/>
        <w:bottom w:val="none" w:sz="0" w:space="0" w:color="auto"/>
        <w:right w:val="none" w:sz="0" w:space="0" w:color="auto"/>
      </w:divBdr>
    </w:div>
    <w:div w:id="1563054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afm.nl/nl-nl/sector/actueel/2024/april/bnpl-marktbeeld-experiment" TargetMode="External"/><Relationship Id="rId2" Type="http://schemas.openxmlformats.org/officeDocument/2006/relationships/hyperlink" Target="https://schuldinfo.nl/nieuwsbericht/tx_news/einde-buy-now-pay-later-stap-dichterbij/?tx_news_pi1%5Bcontroller%5D=News&amp;tx_news_pi1%5Baction%5D=detail&amp;cHash=7498bceb55386775c8ed4986e85498d7" TargetMode="External"/><Relationship Id="rId1" Type="http://schemas.openxmlformats.org/officeDocument/2006/relationships/hyperlink" Target="https://schuldinfo.nl/nieuwsbericht/tx_news/einde-buy-now-pay-later-stap-dichterbij/?tx_news_pi1%5Bcontroller%5D=News&amp;tx_news_pi1%5Baction%5D=detail&amp;cHash=7498bceb55386775c8ed4986e85498d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805</ap:Words>
  <ap:Characters>4433</ap:Characters>
  <ap:DocSecurity>0</ap:DocSecurity>
  <ap:Lines>36</ap:Lines>
  <ap:Paragraphs>10</ap:Paragraphs>
  <ap:ScaleCrop>false</ap:ScaleCrop>
  <ap:LinksUpToDate>false</ap:LinksUpToDate>
  <ap:CharactersWithSpaces>5228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2025-01-21T14:36:00.0000000Z</dcterms:created>
  <dcterms:modified xsi:type="dcterms:W3CDTF">2025-01-21T14:36:00.0000000Z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Aanbiedingsbrief Kamervragen inzake</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november 2024</vt:lpwstr>
  </property>
  <property fmtid="{D5CDD505-2E9C-101B-9397-08002B2CF9AE}" pid="13" name="Opgesteld door, Naam">
    <vt:lpwstr>M. Geurs</vt:lpwstr>
  </property>
  <property fmtid="{D5CDD505-2E9C-101B-9397-08002B2CF9AE}" pid="14" name="Opgesteld door, Telefoonnummer">
    <vt:lpwstr/>
  </property>
  <property fmtid="{D5CDD505-2E9C-101B-9397-08002B2CF9AE}" pid="15" name="Kenmerk">
    <vt:lpwstr>5938147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MSIP_Label_6800fede-0e59-47ad-af95-4e63bbdb932d_Enabled">
    <vt:lpwstr>true</vt:lpwstr>
  </property>
  <property fmtid="{D5CDD505-2E9C-101B-9397-08002B2CF9AE}" pid="29" name="MSIP_Label_6800fede-0e59-47ad-af95-4e63bbdb932d_SetDate">
    <vt:lpwstr>2024-11-12T13:49:31Z</vt:lpwstr>
  </property>
  <property fmtid="{D5CDD505-2E9C-101B-9397-08002B2CF9AE}" pid="30" name="MSIP_Label_6800fede-0e59-47ad-af95-4e63bbdb932d_Method">
    <vt:lpwstr>Standard</vt:lpwstr>
  </property>
  <property fmtid="{D5CDD505-2E9C-101B-9397-08002B2CF9AE}" pid="31" name="MSIP_Label_6800fede-0e59-47ad-af95-4e63bbdb932d_Name">
    <vt:lpwstr>FIN-DGGT-Rijksoverheid</vt:lpwstr>
  </property>
  <property fmtid="{D5CDD505-2E9C-101B-9397-08002B2CF9AE}" pid="32" name="MSIP_Label_6800fede-0e59-47ad-af95-4e63bbdb932d_SiteId">
    <vt:lpwstr>84712536-f524-40a0-913b-5d25ba502732</vt:lpwstr>
  </property>
  <property fmtid="{D5CDD505-2E9C-101B-9397-08002B2CF9AE}" pid="33" name="MSIP_Label_6800fede-0e59-47ad-af95-4e63bbdb932d_ActionId">
    <vt:lpwstr>319602b9-78b4-4a8d-8afd-96cc25229636</vt:lpwstr>
  </property>
  <property fmtid="{D5CDD505-2E9C-101B-9397-08002B2CF9AE}" pid="34" name="MSIP_Label_6800fede-0e59-47ad-af95-4e63bbdb932d_ContentBits">
    <vt:lpwstr>0</vt:lpwstr>
  </property>
</Properties>
</file>