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F20F3" w:rsidR="00924CB3" w:rsidP="009E30C9" w:rsidRDefault="00C17370" w14:paraId="036E717D" w14:textId="5AC5C755">
      <w:pPr>
        <w:pStyle w:val="Salutation"/>
        <w:spacing w:line="276" w:lineRule="auto"/>
        <w:rPr>
          <w:color w:val="auto"/>
        </w:rPr>
      </w:pPr>
      <w:bookmarkStart w:name="_GoBack" w:id="0"/>
      <w:bookmarkEnd w:id="0"/>
      <w:r w:rsidRPr="00EF20F3">
        <w:rPr>
          <w:color w:val="auto"/>
        </w:rPr>
        <w:t>Geachte voorzitter,</w:t>
      </w:r>
    </w:p>
    <w:p w:rsidRPr="00EF20F3" w:rsidR="00971BB8" w:rsidP="009E30C9" w:rsidRDefault="00686781" w14:paraId="42BA5055" w14:textId="0A0B1F9F">
      <w:pPr>
        <w:spacing w:line="276" w:lineRule="auto"/>
        <w:rPr>
          <w:color w:val="auto"/>
        </w:rPr>
      </w:pPr>
      <w:r w:rsidRPr="00EF20F3">
        <w:rPr>
          <w:color w:val="auto"/>
        </w:rPr>
        <w:t xml:space="preserve">Het doel van het Impulsprogramma Chemische Stoffen (2023-2026) is om knelpunten in </w:t>
      </w:r>
      <w:r w:rsidRPr="00EF20F3" w:rsidR="002960DF">
        <w:rPr>
          <w:color w:val="auto"/>
        </w:rPr>
        <w:t xml:space="preserve">de uitvoering van </w:t>
      </w:r>
      <w:r w:rsidRPr="00EF20F3">
        <w:rPr>
          <w:color w:val="auto"/>
        </w:rPr>
        <w:t>het beleid voor chemische stoffen aan te pakken. Hiermee wordt gewerkt aan een gezonde</w:t>
      </w:r>
      <w:r w:rsidRPr="00EF20F3" w:rsidR="000738F2">
        <w:rPr>
          <w:color w:val="auto"/>
        </w:rPr>
        <w:t xml:space="preserve"> en</w:t>
      </w:r>
      <w:r w:rsidRPr="00EF20F3">
        <w:rPr>
          <w:color w:val="auto"/>
        </w:rPr>
        <w:t xml:space="preserve"> schone leefomgeving. Het gaat daarbij ook om de noodzakelijke versterking van de uitvoering en om het oplossen van kennishiaten. Deze </w:t>
      </w:r>
      <w:r w:rsidR="00CF3BEE">
        <w:rPr>
          <w:color w:val="auto"/>
        </w:rPr>
        <w:t>Kamer</w:t>
      </w:r>
      <w:r w:rsidRPr="00EF20F3">
        <w:rPr>
          <w:color w:val="auto"/>
        </w:rPr>
        <w:t>brief gaat in op de voortgang van het Impulsprogramma Chemische Stoffen</w:t>
      </w:r>
      <w:r w:rsidRPr="00EF20F3" w:rsidR="002C259E">
        <w:rPr>
          <w:color w:val="auto"/>
        </w:rPr>
        <w:t>, recente ontwikkelingen binnen het stoffenbeleid</w:t>
      </w:r>
      <w:r w:rsidRPr="00EF20F3">
        <w:rPr>
          <w:color w:val="auto"/>
        </w:rPr>
        <w:t xml:space="preserve"> en op toezeggingen aan </w:t>
      </w:r>
      <w:r w:rsidRPr="00EF20F3" w:rsidR="00FD0F5D">
        <w:rPr>
          <w:color w:val="auto"/>
        </w:rPr>
        <w:t>de</w:t>
      </w:r>
      <w:r w:rsidRPr="00EF20F3">
        <w:rPr>
          <w:color w:val="auto"/>
        </w:rPr>
        <w:t xml:space="preserve"> Kamer over de uitvoering van dit programma. </w:t>
      </w:r>
      <w:r w:rsidR="00CF3BEE">
        <w:rPr>
          <w:color w:val="auto"/>
        </w:rPr>
        <w:t>De onderstaande onderwerpen worden behandeld</w:t>
      </w:r>
      <w:r w:rsidRPr="00EF20F3" w:rsidR="00ED503F">
        <w:rPr>
          <w:color w:val="auto"/>
        </w:rPr>
        <w:t>.</w:t>
      </w:r>
      <w:r w:rsidRPr="00EF20F3" w:rsidR="006C7A17">
        <w:rPr>
          <w:color w:val="auto"/>
        </w:rPr>
        <w:br/>
      </w:r>
    </w:p>
    <w:p w:rsidRPr="00EF20F3" w:rsidR="008904C2" w:rsidP="009E30C9" w:rsidRDefault="008904C2" w14:paraId="05DA21A1" w14:textId="58092A33">
      <w:pPr>
        <w:pStyle w:val="ListParagraph"/>
        <w:numPr>
          <w:ilvl w:val="0"/>
          <w:numId w:val="31"/>
        </w:numPr>
        <w:spacing w:line="276" w:lineRule="auto"/>
        <w:rPr>
          <w:color w:val="auto"/>
        </w:rPr>
      </w:pPr>
      <w:bookmarkStart w:name="_Hlk176452974" w:id="1"/>
      <w:bookmarkStart w:name="_Hlk183707951" w:id="2"/>
      <w:r w:rsidRPr="00EF20F3">
        <w:rPr>
          <w:color w:val="auto"/>
        </w:rPr>
        <w:t>Evaluatie ZZS Try-out</w:t>
      </w:r>
      <w:r w:rsidRPr="00EF20F3" w:rsidR="00C35FB7">
        <w:rPr>
          <w:color w:val="auto"/>
        </w:rPr>
        <w:t>;</w:t>
      </w:r>
      <w:r w:rsidRPr="00EF20F3">
        <w:rPr>
          <w:color w:val="auto"/>
        </w:rPr>
        <w:tab/>
      </w:r>
      <w:bookmarkEnd w:id="1"/>
    </w:p>
    <w:p w:rsidRPr="00EF20F3" w:rsidR="008904C2" w:rsidP="009E30C9" w:rsidRDefault="00866B4A" w14:paraId="1C48CF8B" w14:textId="081336A5">
      <w:pPr>
        <w:pStyle w:val="ListParagraph"/>
        <w:numPr>
          <w:ilvl w:val="0"/>
          <w:numId w:val="31"/>
        </w:numPr>
        <w:spacing w:line="276" w:lineRule="auto"/>
        <w:rPr>
          <w:color w:val="auto"/>
        </w:rPr>
      </w:pPr>
      <w:r w:rsidRPr="00EF20F3">
        <w:rPr>
          <w:color w:val="auto"/>
        </w:rPr>
        <w:t>Kennisnotitie</w:t>
      </w:r>
      <w:r w:rsidR="00B96089">
        <w:rPr>
          <w:color w:val="auto"/>
        </w:rPr>
        <w:t>:</w:t>
      </w:r>
      <w:r w:rsidRPr="00EF20F3">
        <w:rPr>
          <w:color w:val="auto"/>
        </w:rPr>
        <w:t xml:space="preserve"> </w:t>
      </w:r>
      <w:r w:rsidR="00B96089">
        <w:rPr>
          <w:color w:val="auto"/>
        </w:rPr>
        <w:t>B</w:t>
      </w:r>
      <w:r w:rsidRPr="00EF20F3" w:rsidR="008904C2">
        <w:rPr>
          <w:color w:val="auto"/>
        </w:rPr>
        <w:t>erekening mengsel-toxische druk voor oppervlaktewateren bij immissietoetsen</w:t>
      </w:r>
      <w:r w:rsidRPr="00EF20F3" w:rsidR="00C35FB7">
        <w:rPr>
          <w:color w:val="auto"/>
        </w:rPr>
        <w:t>;</w:t>
      </w:r>
    </w:p>
    <w:p w:rsidRPr="00EF20F3" w:rsidR="008904C2" w:rsidP="009E30C9" w:rsidRDefault="00866B4A" w14:paraId="304EC7DC" w14:textId="0418074C">
      <w:pPr>
        <w:pStyle w:val="ListParagraph"/>
        <w:numPr>
          <w:ilvl w:val="0"/>
          <w:numId w:val="31"/>
        </w:numPr>
        <w:spacing w:line="276" w:lineRule="auto"/>
        <w:rPr>
          <w:color w:val="auto"/>
        </w:rPr>
      </w:pPr>
      <w:r w:rsidRPr="00EF20F3">
        <w:rPr>
          <w:color w:val="auto"/>
        </w:rPr>
        <w:t>Kennisnotitie</w:t>
      </w:r>
      <w:r w:rsidR="00B96089">
        <w:rPr>
          <w:color w:val="auto"/>
        </w:rPr>
        <w:t>: T</w:t>
      </w:r>
      <w:r w:rsidRPr="00EF20F3" w:rsidR="008904C2">
        <w:rPr>
          <w:color w:val="auto"/>
        </w:rPr>
        <w:t xml:space="preserve">oepassing allocatiefactor in de </w:t>
      </w:r>
      <w:r w:rsidRPr="00EF20F3" w:rsidR="0059641E">
        <w:rPr>
          <w:color w:val="auto"/>
        </w:rPr>
        <w:t>vergunningverlening</w:t>
      </w:r>
      <w:r w:rsidRPr="00EF20F3" w:rsidR="008904C2">
        <w:rPr>
          <w:color w:val="auto"/>
        </w:rPr>
        <w:t xml:space="preserve"> van industriële emissies</w:t>
      </w:r>
      <w:r w:rsidRPr="00EF20F3" w:rsidR="00C35FB7">
        <w:rPr>
          <w:color w:val="auto"/>
        </w:rPr>
        <w:t>;</w:t>
      </w:r>
    </w:p>
    <w:p w:rsidRPr="00EF20F3" w:rsidR="00EB7063" w:rsidP="009E30C9" w:rsidRDefault="00866B4A" w14:paraId="24DE76E1" w14:textId="41007CE8">
      <w:pPr>
        <w:pStyle w:val="ListParagraph"/>
        <w:numPr>
          <w:ilvl w:val="0"/>
          <w:numId w:val="31"/>
        </w:numPr>
        <w:spacing w:line="276" w:lineRule="auto"/>
        <w:rPr>
          <w:color w:val="auto"/>
        </w:rPr>
      </w:pPr>
      <w:r w:rsidRPr="00EF20F3">
        <w:rPr>
          <w:color w:val="auto"/>
        </w:rPr>
        <w:t>Kennisnotitie</w:t>
      </w:r>
      <w:r w:rsidR="00B96089">
        <w:rPr>
          <w:color w:val="auto"/>
        </w:rPr>
        <w:t>: A</w:t>
      </w:r>
      <w:r w:rsidRPr="00EF20F3" w:rsidR="00EB7063">
        <w:rPr>
          <w:color w:val="auto"/>
        </w:rPr>
        <w:t>ctualisatie beperkte immissietoets (BIT)</w:t>
      </w:r>
      <w:r w:rsidRPr="00EF20F3" w:rsidR="00C13415">
        <w:rPr>
          <w:color w:val="auto"/>
        </w:rPr>
        <w:t>;</w:t>
      </w:r>
    </w:p>
    <w:p w:rsidRPr="00EF20F3" w:rsidR="002A135E" w:rsidP="009E30C9" w:rsidRDefault="0023222D" w14:paraId="51686045" w14:textId="486B35F4">
      <w:pPr>
        <w:pStyle w:val="ListParagraph"/>
        <w:numPr>
          <w:ilvl w:val="0"/>
          <w:numId w:val="31"/>
        </w:numPr>
        <w:spacing w:line="276" w:lineRule="auto"/>
        <w:rPr>
          <w:color w:val="auto"/>
        </w:rPr>
      </w:pPr>
      <w:r w:rsidRPr="00EF20F3">
        <w:rPr>
          <w:color w:val="auto"/>
        </w:rPr>
        <w:t xml:space="preserve">Ontwikkelingen </w:t>
      </w:r>
      <w:r w:rsidRPr="00EF20F3" w:rsidR="009F4AA7">
        <w:rPr>
          <w:color w:val="auto"/>
        </w:rPr>
        <w:t xml:space="preserve">juridisch </w:t>
      </w:r>
      <w:r w:rsidRPr="00EF20F3">
        <w:rPr>
          <w:color w:val="auto"/>
        </w:rPr>
        <w:t xml:space="preserve">onderzoek </w:t>
      </w:r>
      <w:r w:rsidRPr="00EF20F3" w:rsidR="00866B4A">
        <w:rPr>
          <w:color w:val="auto"/>
        </w:rPr>
        <w:t>mogelijkheden</w:t>
      </w:r>
      <w:r w:rsidRPr="00EF20F3" w:rsidR="009F4AA7">
        <w:rPr>
          <w:color w:val="auto"/>
        </w:rPr>
        <w:t xml:space="preserve"> wettelijke</w:t>
      </w:r>
      <w:r w:rsidRPr="00EF20F3">
        <w:rPr>
          <w:color w:val="auto"/>
        </w:rPr>
        <w:t xml:space="preserve"> verankering voorzorgsbeginsel</w:t>
      </w:r>
      <w:r w:rsidRPr="00EF20F3" w:rsidR="00C35FB7">
        <w:rPr>
          <w:color w:val="auto"/>
        </w:rPr>
        <w:t>;</w:t>
      </w:r>
      <w:r w:rsidRPr="00EF20F3">
        <w:rPr>
          <w:color w:val="auto"/>
        </w:rPr>
        <w:t xml:space="preserve"> </w:t>
      </w:r>
    </w:p>
    <w:p w:rsidRPr="00EF20F3" w:rsidR="00B108B6" w:rsidP="009E30C9" w:rsidRDefault="00B77455" w14:paraId="3DF32452" w14:textId="40BB350D">
      <w:pPr>
        <w:pStyle w:val="ListParagraph"/>
        <w:numPr>
          <w:ilvl w:val="0"/>
          <w:numId w:val="31"/>
        </w:numPr>
        <w:spacing w:line="276" w:lineRule="auto"/>
        <w:rPr>
          <w:color w:val="auto"/>
        </w:rPr>
      </w:pPr>
      <w:r w:rsidRPr="00EF20F3">
        <w:rPr>
          <w:rFonts w:eastAsiaTheme="minorHAnsi" w:cstheme="minorBidi"/>
          <w:color w:val="auto"/>
          <w:kern w:val="2"/>
          <w:lang w:eastAsia="en-US"/>
          <w14:ligatures w14:val="standardContextual"/>
        </w:rPr>
        <w:t>Toepassingen van carbendazim, tebuconazool en propiconazool als biocide</w:t>
      </w:r>
      <w:r w:rsidRPr="00EF20F3" w:rsidR="000B16EB">
        <w:rPr>
          <w:rFonts w:eastAsiaTheme="minorHAnsi" w:cstheme="minorBidi"/>
          <w:color w:val="auto"/>
          <w:kern w:val="2"/>
          <w:lang w:eastAsia="en-US"/>
          <w14:ligatures w14:val="standardContextual"/>
        </w:rPr>
        <w:t>n</w:t>
      </w:r>
      <w:r w:rsidRPr="00EF20F3">
        <w:rPr>
          <w:rFonts w:eastAsiaTheme="minorHAnsi" w:cstheme="minorBidi"/>
          <w:color w:val="auto"/>
          <w:kern w:val="2"/>
          <w:lang w:eastAsia="en-US"/>
          <w14:ligatures w14:val="standardContextual"/>
        </w:rPr>
        <w:t xml:space="preserve"> in Nederland</w:t>
      </w:r>
      <w:r w:rsidRPr="00EF20F3" w:rsidR="00C35FB7">
        <w:rPr>
          <w:rFonts w:eastAsiaTheme="minorHAnsi" w:cstheme="minorBidi"/>
          <w:color w:val="auto"/>
          <w:kern w:val="2"/>
          <w:lang w:eastAsia="en-US"/>
          <w14:ligatures w14:val="standardContextual"/>
        </w:rPr>
        <w:t>;</w:t>
      </w:r>
    </w:p>
    <w:p w:rsidRPr="009D2CF6" w:rsidR="00B03790" w:rsidP="00E35818" w:rsidRDefault="00E35818" w14:paraId="79095952" w14:textId="6C65B45A">
      <w:pPr>
        <w:pStyle w:val="ListParagraph"/>
        <w:numPr>
          <w:ilvl w:val="0"/>
          <w:numId w:val="31"/>
        </w:numPr>
        <w:spacing w:line="276" w:lineRule="auto"/>
        <w:rPr>
          <w:color w:val="auto"/>
        </w:rPr>
      </w:pPr>
      <w:r w:rsidRPr="00E35818">
        <w:rPr>
          <w:color w:val="auto"/>
        </w:rPr>
        <w:t>Het voorzorgbeginsel</w:t>
      </w:r>
      <w:r w:rsidRPr="00F91517">
        <w:t xml:space="preserve">, </w:t>
      </w:r>
      <w:r w:rsidRPr="00E35818">
        <w:rPr>
          <w:color w:val="auto"/>
        </w:rPr>
        <w:t xml:space="preserve">dataverzameling biociden met </w:t>
      </w:r>
      <w:r w:rsidR="005A3173">
        <w:rPr>
          <w:color w:val="auto"/>
        </w:rPr>
        <w:t xml:space="preserve">een </w:t>
      </w:r>
      <w:r w:rsidRPr="00E35818">
        <w:rPr>
          <w:color w:val="auto"/>
        </w:rPr>
        <w:t>nationaal afzetregister, nationaal beleid en de circulaireplasticnorm, de ZZS-lijst, de pZZS-lijst i.r.t het voorzorgsprincipe</w:t>
      </w:r>
      <w:r>
        <w:rPr>
          <w:color w:val="auto"/>
        </w:rPr>
        <w:t>.</w:t>
      </w:r>
      <w:bookmarkEnd w:id="2"/>
      <w:r w:rsidRPr="009D2CF6" w:rsidR="009F4AA7">
        <w:rPr>
          <w:color w:val="auto"/>
        </w:rPr>
        <w:br/>
      </w:r>
    </w:p>
    <w:p w:rsidRPr="00EF20F3" w:rsidR="00E16C5C" w:rsidP="009E30C9" w:rsidRDefault="0023222D" w14:paraId="60B6E3A5" w14:textId="6047B595">
      <w:pPr>
        <w:pStyle w:val="ListParagraph"/>
        <w:numPr>
          <w:ilvl w:val="0"/>
          <w:numId w:val="27"/>
        </w:numPr>
        <w:autoSpaceDN/>
        <w:spacing w:after="160" w:line="276" w:lineRule="auto"/>
        <w:textAlignment w:val="auto"/>
        <w:rPr>
          <w:rFonts w:eastAsiaTheme="minorHAnsi" w:cstheme="minorBidi"/>
          <w:color w:val="auto"/>
          <w:kern w:val="2"/>
          <w:lang w:val="en-US" w:eastAsia="en-US"/>
          <w14:ligatures w14:val="standardContextual"/>
        </w:rPr>
      </w:pPr>
      <w:bookmarkStart w:name="_Hlk175640194" w:id="3"/>
      <w:bookmarkStart w:name="_Hlk175640244" w:id="4"/>
      <w:r w:rsidRPr="00EF20F3">
        <w:rPr>
          <w:rFonts w:eastAsiaTheme="minorHAnsi" w:cstheme="minorBidi"/>
          <w:b/>
          <w:bCs/>
          <w:color w:val="auto"/>
          <w:kern w:val="2"/>
          <w:lang w:val="en-US" w:eastAsia="en-US"/>
          <w14:ligatures w14:val="standardContextual"/>
        </w:rPr>
        <w:t>Evaluatie ZZS Try-out</w:t>
      </w:r>
    </w:p>
    <w:p w:rsidRPr="00EF20F3" w:rsidR="00E16C5C" w:rsidP="009E30C9" w:rsidRDefault="00E16C5C" w14:paraId="39218A23" w14:textId="06C03412">
      <w:pPr>
        <w:autoSpaceDN/>
        <w:spacing w:after="160" w:line="276" w:lineRule="auto"/>
        <w:textAlignment w:val="auto"/>
        <w:rPr>
          <w:rFonts w:eastAsiaTheme="minorHAnsi" w:cstheme="minorBidi"/>
          <w:color w:val="auto"/>
          <w:kern w:val="2"/>
          <w:lang w:eastAsia="en-US"/>
          <w14:ligatures w14:val="standardContextual"/>
        </w:rPr>
      </w:pPr>
      <w:r w:rsidRPr="00EF20F3">
        <w:rPr>
          <w:rFonts w:eastAsiaTheme="minorHAnsi" w:cstheme="minorBidi"/>
          <w:color w:val="auto"/>
          <w:kern w:val="2"/>
          <w:lang w:eastAsia="en-US"/>
          <w14:ligatures w14:val="standardContextual"/>
        </w:rPr>
        <w:t>In 2023 is onder het Impulsprogramma Chemische Stoffen het project Versterking VTH Try-Out ZZS (Vergunningverlening, Toezicht en Handhaving Try-Out Zeer Zorgwekkende Stoffen) gestart. Deze Try-Out ZZS is een samenwerking tussen OmgevingsdienstNL en het RIVM</w:t>
      </w:r>
      <w:r w:rsidRPr="00EF20F3" w:rsidR="002960DF">
        <w:rPr>
          <w:rFonts w:eastAsiaTheme="minorHAnsi" w:cstheme="minorBidi"/>
          <w:color w:val="auto"/>
          <w:kern w:val="2"/>
          <w:lang w:eastAsia="en-US"/>
          <w14:ligatures w14:val="standardContextual"/>
        </w:rPr>
        <w:t>.</w:t>
      </w:r>
      <w:r w:rsidRPr="00EF20F3">
        <w:rPr>
          <w:rFonts w:eastAsiaTheme="minorHAnsi" w:cstheme="minorBidi"/>
          <w:color w:val="auto"/>
          <w:kern w:val="2"/>
          <w:lang w:eastAsia="en-US"/>
          <w14:ligatures w14:val="standardContextual"/>
        </w:rPr>
        <w:t xml:space="preserve"> </w:t>
      </w:r>
      <w:r w:rsidRPr="00EF20F3" w:rsidR="002960DF">
        <w:rPr>
          <w:rFonts w:eastAsiaTheme="minorHAnsi" w:cstheme="minorBidi"/>
          <w:color w:val="auto"/>
          <w:kern w:val="2"/>
          <w:lang w:eastAsia="en-US"/>
          <w14:ligatures w14:val="standardContextual"/>
        </w:rPr>
        <w:t xml:space="preserve">Het </w:t>
      </w:r>
      <w:r w:rsidRPr="00EF20F3">
        <w:rPr>
          <w:rFonts w:eastAsiaTheme="minorHAnsi" w:cstheme="minorBidi"/>
          <w:color w:val="auto"/>
          <w:kern w:val="2"/>
          <w:lang w:eastAsia="en-US"/>
          <w14:ligatures w14:val="standardContextual"/>
        </w:rPr>
        <w:t xml:space="preserve">heeft als doel de uitvoering van het bestaande emissiebeleid van de Zeer Zorgwekkende Stoffen (ZZS) door de bevoegde gezagen en hun omgevingsdiensten te </w:t>
      </w:r>
      <w:r w:rsidRPr="00EF20F3" w:rsidR="00484DFF">
        <w:rPr>
          <w:rFonts w:eastAsiaTheme="minorHAnsi" w:cstheme="minorBidi"/>
          <w:color w:val="auto"/>
          <w:kern w:val="2"/>
          <w:lang w:eastAsia="en-US"/>
          <w14:ligatures w14:val="standardContextual"/>
        </w:rPr>
        <w:t>versterken</w:t>
      </w:r>
      <w:r w:rsidRPr="00EF20F3">
        <w:rPr>
          <w:rFonts w:eastAsiaTheme="minorHAnsi" w:cstheme="minorBidi"/>
          <w:color w:val="auto"/>
          <w:kern w:val="2"/>
          <w:lang w:eastAsia="en-US"/>
          <w14:ligatures w14:val="standardContextual"/>
        </w:rPr>
        <w:t>. Onder de Try-Out ZZS hebben het RIVM en OmgevingsdienstNL een infrastructuur gebouwd om de kennis over ZZS</w:t>
      </w:r>
      <w:r w:rsidRPr="00EF20F3" w:rsidR="00484DFF">
        <w:rPr>
          <w:rFonts w:eastAsiaTheme="minorHAnsi" w:cstheme="minorBidi"/>
          <w:color w:val="auto"/>
          <w:kern w:val="2"/>
          <w:lang w:eastAsia="en-US"/>
          <w14:ligatures w14:val="standardContextual"/>
        </w:rPr>
        <w:t>-emissiebeleid</w:t>
      </w:r>
      <w:r w:rsidRPr="00EF20F3">
        <w:rPr>
          <w:rFonts w:eastAsiaTheme="minorHAnsi" w:cstheme="minorBidi"/>
          <w:color w:val="auto"/>
          <w:kern w:val="2"/>
          <w:lang w:eastAsia="en-US"/>
          <w14:ligatures w14:val="standardContextual"/>
        </w:rPr>
        <w:t xml:space="preserve"> toegankelijker te maken en sneller uit te wisselen. </w:t>
      </w:r>
      <w:r w:rsidRPr="00EF20F3">
        <w:rPr>
          <w:rFonts w:eastAsiaTheme="minorHAnsi" w:cstheme="minorBidi"/>
          <w:color w:val="auto"/>
          <w:kern w:val="2"/>
          <w:lang w:eastAsia="en-US"/>
          <w14:ligatures w14:val="standardContextual"/>
        </w:rPr>
        <w:lastRenderedPageBreak/>
        <w:t xml:space="preserve">Hiermee wordt de vergunningverlening, toezicht en handhaving van ZZS-emissies versterkt. Eerder is aan de Kamer vermeld dat er in de loop van 2024 een tussentijdse evaluatie van de Try-Out ZZS zal plaatsvinden. Deze evaluatie is inmiddels voltooid. </w:t>
      </w:r>
      <w:r w:rsidR="00AA0611">
        <w:rPr>
          <w:rFonts w:eastAsiaTheme="minorHAnsi" w:cstheme="minorBidi"/>
          <w:color w:val="auto"/>
          <w:kern w:val="2"/>
          <w:lang w:eastAsia="en-US"/>
          <w14:ligatures w14:val="standardContextual"/>
        </w:rPr>
        <w:t>Hierbij</w:t>
      </w:r>
      <w:r w:rsidRPr="00EF20F3">
        <w:rPr>
          <w:rFonts w:eastAsiaTheme="minorHAnsi" w:cstheme="minorBidi"/>
          <w:color w:val="auto"/>
          <w:kern w:val="2"/>
          <w:lang w:eastAsia="en-US"/>
          <w14:ligatures w14:val="standardContextual"/>
        </w:rPr>
        <w:t xml:space="preserve"> </w:t>
      </w:r>
      <w:r w:rsidRPr="00EF20F3" w:rsidR="00EB059D">
        <w:rPr>
          <w:rFonts w:eastAsiaTheme="minorHAnsi" w:cstheme="minorBidi"/>
          <w:color w:val="auto"/>
          <w:kern w:val="2"/>
          <w:lang w:eastAsia="en-US"/>
          <w14:ligatures w14:val="standardContextual"/>
        </w:rPr>
        <w:t>wordt</w:t>
      </w:r>
      <w:r w:rsidRPr="00EF20F3">
        <w:rPr>
          <w:rFonts w:eastAsiaTheme="minorHAnsi" w:cstheme="minorBidi"/>
          <w:color w:val="auto"/>
          <w:kern w:val="2"/>
          <w:lang w:eastAsia="en-US"/>
          <w14:ligatures w14:val="standardContextual"/>
        </w:rPr>
        <w:t xml:space="preserve"> </w:t>
      </w:r>
      <w:r w:rsidRPr="00EF20F3" w:rsidR="00EB059D">
        <w:rPr>
          <w:rFonts w:eastAsiaTheme="minorHAnsi" w:cstheme="minorBidi"/>
          <w:color w:val="auto"/>
          <w:kern w:val="2"/>
          <w:lang w:eastAsia="en-US"/>
          <w14:ligatures w14:val="standardContextual"/>
        </w:rPr>
        <w:t>dit</w:t>
      </w:r>
      <w:r w:rsidRPr="00EF20F3">
        <w:rPr>
          <w:rFonts w:eastAsiaTheme="minorHAnsi" w:cstheme="minorBidi"/>
          <w:color w:val="auto"/>
          <w:kern w:val="2"/>
          <w:lang w:eastAsia="en-US"/>
          <w14:ligatures w14:val="standardContextual"/>
        </w:rPr>
        <w:t xml:space="preserve"> rapport aan </w:t>
      </w:r>
      <w:r w:rsidRPr="00EF20F3" w:rsidR="00EB059D">
        <w:rPr>
          <w:rFonts w:eastAsiaTheme="minorHAnsi" w:cstheme="minorBidi"/>
          <w:color w:val="auto"/>
          <w:kern w:val="2"/>
          <w:lang w:eastAsia="en-US"/>
          <w14:ligatures w14:val="standardContextual"/>
        </w:rPr>
        <w:t>de</w:t>
      </w:r>
      <w:r w:rsidRPr="00EF20F3">
        <w:rPr>
          <w:rFonts w:eastAsiaTheme="minorHAnsi" w:cstheme="minorBidi"/>
          <w:color w:val="auto"/>
          <w:kern w:val="2"/>
          <w:lang w:eastAsia="en-US"/>
          <w14:ligatures w14:val="standardContextual"/>
        </w:rPr>
        <w:t xml:space="preserve"> Kamer </w:t>
      </w:r>
      <w:r w:rsidRPr="00EF20F3" w:rsidR="00EB059D">
        <w:rPr>
          <w:rFonts w:eastAsiaTheme="minorHAnsi" w:cstheme="minorBidi"/>
          <w:color w:val="auto"/>
          <w:kern w:val="2"/>
          <w:lang w:eastAsia="en-US"/>
          <w14:ligatures w14:val="standardContextual"/>
        </w:rPr>
        <w:t>aangeboden</w:t>
      </w:r>
      <w:r w:rsidRPr="00EF20F3" w:rsidR="00866B4A">
        <w:rPr>
          <w:rFonts w:eastAsiaTheme="minorHAnsi" w:cstheme="minorBidi"/>
          <w:color w:val="auto"/>
          <w:kern w:val="2"/>
          <w:lang w:eastAsia="en-US"/>
          <w14:ligatures w14:val="standardContextual"/>
        </w:rPr>
        <w:t xml:space="preserve"> (bijlage 1)</w:t>
      </w:r>
      <w:r w:rsidRPr="00EF20F3">
        <w:rPr>
          <w:rFonts w:eastAsiaTheme="minorHAnsi" w:cstheme="minorBidi"/>
          <w:color w:val="auto"/>
          <w:kern w:val="2"/>
          <w:lang w:eastAsia="en-US"/>
          <w14:ligatures w14:val="standardContextual"/>
        </w:rPr>
        <w:t xml:space="preserve">. </w:t>
      </w:r>
    </w:p>
    <w:p w:rsidR="00264509" w:rsidP="009E30C9" w:rsidRDefault="00E16C5C" w14:paraId="5ABC0F41" w14:textId="77777777">
      <w:pPr>
        <w:autoSpaceDN/>
        <w:spacing w:after="160" w:line="276" w:lineRule="auto"/>
        <w:textAlignment w:val="auto"/>
        <w:rPr>
          <w:rFonts w:eastAsiaTheme="minorHAnsi" w:cstheme="minorBidi"/>
          <w:color w:val="auto"/>
          <w:kern w:val="2"/>
          <w:lang w:eastAsia="en-US"/>
          <w14:ligatures w14:val="standardContextual"/>
        </w:rPr>
      </w:pPr>
      <w:r w:rsidRPr="00EF20F3">
        <w:rPr>
          <w:rFonts w:eastAsiaTheme="minorHAnsi" w:cstheme="minorBidi"/>
          <w:color w:val="auto"/>
          <w:kern w:val="2"/>
          <w:lang w:eastAsia="en-US"/>
          <w14:ligatures w14:val="standardContextual"/>
        </w:rPr>
        <w:t>Uit de evaluatie blijkt dat er in de afgelopen twee jaar binnen de Try-Out ZZS grote stappen zijn gezet om de VTH-taken in relatie tot ZZS</w:t>
      </w:r>
      <w:r w:rsidRPr="00EF20F3" w:rsidR="00484DFF">
        <w:rPr>
          <w:rFonts w:eastAsiaTheme="minorHAnsi" w:cstheme="minorBidi"/>
          <w:color w:val="auto"/>
          <w:kern w:val="2"/>
          <w:lang w:eastAsia="en-US"/>
          <w14:ligatures w14:val="standardContextual"/>
        </w:rPr>
        <w:t>-emissies</w:t>
      </w:r>
      <w:r w:rsidRPr="00EF20F3">
        <w:rPr>
          <w:rFonts w:eastAsiaTheme="minorHAnsi" w:cstheme="minorBidi"/>
          <w:color w:val="auto"/>
          <w:kern w:val="2"/>
          <w:lang w:eastAsia="en-US"/>
          <w14:ligatures w14:val="standardContextual"/>
        </w:rPr>
        <w:t xml:space="preserve"> verder te ontwikkelen. Een belangrijk onderdeel hiervan is het opzetten van een praktijkgericht netwerk tussen alle omgevingsdiensten en het RIVM. Via dit netwerk worden praktijkvragen, kennis en uitvoeringsexpertise snel en efficiënt met elkaar gedeeld. Dit heeft geleid tot een hoger kennisniveau over ZZS</w:t>
      </w:r>
      <w:r w:rsidRPr="00EF20F3" w:rsidR="00484DFF">
        <w:rPr>
          <w:rFonts w:eastAsiaTheme="minorHAnsi" w:cstheme="minorBidi"/>
          <w:color w:val="auto"/>
          <w:kern w:val="2"/>
          <w:lang w:eastAsia="en-US"/>
          <w14:ligatures w14:val="standardContextual"/>
        </w:rPr>
        <w:t>-emissies</w:t>
      </w:r>
      <w:r w:rsidRPr="00EF20F3">
        <w:rPr>
          <w:rFonts w:eastAsiaTheme="minorHAnsi" w:cstheme="minorBidi"/>
          <w:color w:val="auto"/>
          <w:kern w:val="2"/>
          <w:lang w:eastAsia="en-US"/>
          <w14:ligatures w14:val="standardContextual"/>
        </w:rPr>
        <w:t xml:space="preserve"> bij omgevingsdiensten en nieuwe relevante voorstellen voor nader onderzoek bij het RIVM. Daarnaast dragen de verschillende (boven)regionale bijeenkomsten bij aan de directe praktijkuitwisseling tussen omgevingsdiensten. Hiermee </w:t>
      </w:r>
      <w:r w:rsidRPr="00EF20F3" w:rsidR="002960DF">
        <w:rPr>
          <w:rFonts w:eastAsiaTheme="minorHAnsi" w:cstheme="minorBidi"/>
          <w:color w:val="auto"/>
          <w:kern w:val="2"/>
          <w:lang w:eastAsia="en-US"/>
          <w14:ligatures w14:val="standardContextual"/>
        </w:rPr>
        <w:t xml:space="preserve">is de verbinding tussen </w:t>
      </w:r>
      <w:r w:rsidRPr="00EF20F3">
        <w:rPr>
          <w:rFonts w:eastAsiaTheme="minorHAnsi" w:cstheme="minorBidi"/>
          <w:color w:val="auto"/>
          <w:kern w:val="2"/>
          <w:lang w:eastAsia="en-US"/>
          <w14:ligatures w14:val="standardContextual"/>
        </w:rPr>
        <w:t xml:space="preserve">het RIVM </w:t>
      </w:r>
      <w:r w:rsidRPr="00EF20F3" w:rsidR="002960DF">
        <w:rPr>
          <w:rFonts w:eastAsiaTheme="minorHAnsi" w:cstheme="minorBidi"/>
          <w:color w:val="auto"/>
          <w:kern w:val="2"/>
          <w:lang w:eastAsia="en-US"/>
          <w14:ligatures w14:val="standardContextual"/>
        </w:rPr>
        <w:t xml:space="preserve">en </w:t>
      </w:r>
      <w:r w:rsidRPr="00EF20F3">
        <w:rPr>
          <w:rFonts w:eastAsiaTheme="minorHAnsi" w:cstheme="minorBidi"/>
          <w:color w:val="auto"/>
          <w:kern w:val="2"/>
          <w:lang w:eastAsia="en-US"/>
          <w14:ligatures w14:val="standardContextual"/>
        </w:rPr>
        <w:t>de omgevingsdiensten</w:t>
      </w:r>
      <w:r w:rsidRPr="00EF20F3" w:rsidR="002960DF">
        <w:rPr>
          <w:rFonts w:eastAsiaTheme="minorHAnsi" w:cstheme="minorBidi"/>
          <w:color w:val="auto"/>
          <w:kern w:val="2"/>
          <w:lang w:eastAsia="en-US"/>
          <w14:ligatures w14:val="standardContextual"/>
        </w:rPr>
        <w:t xml:space="preserve"> versterkt</w:t>
      </w:r>
      <w:r w:rsidRPr="00EF20F3">
        <w:rPr>
          <w:rFonts w:eastAsiaTheme="minorHAnsi" w:cstheme="minorBidi"/>
          <w:color w:val="auto"/>
          <w:kern w:val="2"/>
          <w:lang w:eastAsia="en-US"/>
          <w14:ligatures w14:val="standardContextual"/>
        </w:rPr>
        <w:t>.</w:t>
      </w:r>
    </w:p>
    <w:p w:rsidRPr="00E65D29" w:rsidR="00264509" w:rsidP="009E30C9" w:rsidRDefault="00E16C5C" w14:paraId="3C158D0E" w14:textId="1E9F2786">
      <w:pPr>
        <w:autoSpaceDN/>
        <w:spacing w:after="160" w:line="276" w:lineRule="auto"/>
        <w:textAlignment w:val="auto"/>
        <w:rPr>
          <w:rFonts w:eastAsiaTheme="minorHAnsi" w:cstheme="minorBidi"/>
          <w:color w:val="auto"/>
          <w:kern w:val="2"/>
          <w:lang w:eastAsia="en-US"/>
          <w14:ligatures w14:val="standardContextual"/>
        </w:rPr>
      </w:pPr>
      <w:r w:rsidRPr="00EF20F3">
        <w:rPr>
          <w:rFonts w:eastAsiaTheme="minorHAnsi" w:cstheme="minorBidi"/>
          <w:color w:val="auto"/>
          <w:kern w:val="2"/>
          <w:lang w:eastAsia="en-US"/>
          <w14:ligatures w14:val="standardContextual"/>
        </w:rPr>
        <w:t>Vanwege de positieve resultaten wordt deze samenwerking onder de Try-Out ZZS in 2025 voortgezet.</w:t>
      </w:r>
      <w:bookmarkEnd w:id="3"/>
      <w:bookmarkEnd w:id="4"/>
    </w:p>
    <w:p w:rsidRPr="00EF20F3" w:rsidR="00AA3006" w:rsidP="00264509" w:rsidRDefault="00866B4A" w14:paraId="1318A8CF" w14:textId="79ED71CA">
      <w:pPr>
        <w:pStyle w:val="ListParagraph"/>
        <w:numPr>
          <w:ilvl w:val="0"/>
          <w:numId w:val="27"/>
        </w:numPr>
        <w:autoSpaceDE w:val="0"/>
        <w:spacing w:before="240" w:line="276" w:lineRule="auto"/>
        <w:rPr>
          <w:color w:val="auto"/>
        </w:rPr>
      </w:pPr>
      <w:bookmarkStart w:name="_Hlk183704953" w:id="5"/>
      <w:r w:rsidRPr="00EF20F3">
        <w:rPr>
          <w:b/>
          <w:bCs/>
          <w:color w:val="auto"/>
        </w:rPr>
        <w:t>Kennisnotitie</w:t>
      </w:r>
      <w:r w:rsidR="00B61A81">
        <w:rPr>
          <w:b/>
          <w:bCs/>
          <w:color w:val="auto"/>
        </w:rPr>
        <w:t>:</w:t>
      </w:r>
      <w:r w:rsidRPr="00EF20F3">
        <w:rPr>
          <w:b/>
          <w:bCs/>
          <w:color w:val="auto"/>
        </w:rPr>
        <w:t xml:space="preserve"> </w:t>
      </w:r>
      <w:r w:rsidR="00B61A81">
        <w:rPr>
          <w:b/>
          <w:bCs/>
          <w:color w:val="auto"/>
        </w:rPr>
        <w:t>B</w:t>
      </w:r>
      <w:r w:rsidRPr="00EF20F3" w:rsidR="0023222D">
        <w:rPr>
          <w:b/>
          <w:bCs/>
          <w:color w:val="auto"/>
        </w:rPr>
        <w:t xml:space="preserve">erekening </w:t>
      </w:r>
      <w:bookmarkStart w:name="_Hlk184168047" w:id="6"/>
      <w:r w:rsidRPr="00EF20F3" w:rsidR="0023222D">
        <w:rPr>
          <w:b/>
          <w:bCs/>
          <w:color w:val="auto"/>
        </w:rPr>
        <w:t>mengsel-toxische druk voor oppervlaktewateren bij immissietoetsen</w:t>
      </w:r>
      <w:bookmarkEnd w:id="6"/>
    </w:p>
    <w:p w:rsidRPr="00EF20F3" w:rsidR="00686781" w:rsidP="009E30C9" w:rsidRDefault="00686781" w14:paraId="05DD40F2" w14:textId="77777777">
      <w:pPr>
        <w:pStyle w:val="ListParagraph"/>
        <w:autoSpaceDE w:val="0"/>
        <w:spacing w:line="276" w:lineRule="auto"/>
        <w:rPr>
          <w:color w:val="auto"/>
        </w:rPr>
      </w:pPr>
    </w:p>
    <w:p w:rsidR="00085E6C" w:rsidP="009E30C9" w:rsidRDefault="00BD13BD" w14:paraId="7AF07D6C" w14:textId="77777777">
      <w:pPr>
        <w:pStyle w:val="Default"/>
        <w:spacing w:line="276" w:lineRule="auto"/>
        <w:rPr>
          <w:rFonts w:ascii="Verdana" w:hAnsi="Verdana"/>
          <w:color w:val="auto"/>
          <w:sz w:val="18"/>
          <w:szCs w:val="18"/>
        </w:rPr>
      </w:pPr>
      <w:r w:rsidRPr="00EF20F3">
        <w:rPr>
          <w:rFonts w:ascii="Verdana" w:hAnsi="Verdana"/>
          <w:color w:val="auto"/>
          <w:sz w:val="18"/>
          <w:szCs w:val="18"/>
        </w:rPr>
        <w:t xml:space="preserve">In 2021 </w:t>
      </w:r>
      <w:r w:rsidRPr="00EF20F3" w:rsidR="000B534A">
        <w:rPr>
          <w:rFonts w:ascii="Verdana" w:hAnsi="Verdana"/>
          <w:color w:val="auto"/>
          <w:sz w:val="18"/>
          <w:szCs w:val="18"/>
        </w:rPr>
        <w:t xml:space="preserve">is </w:t>
      </w:r>
      <w:r w:rsidRPr="00EF20F3">
        <w:rPr>
          <w:rFonts w:ascii="Verdana" w:hAnsi="Verdana"/>
          <w:color w:val="auto"/>
          <w:sz w:val="18"/>
          <w:szCs w:val="18"/>
        </w:rPr>
        <w:t>een motie</w:t>
      </w:r>
      <w:r w:rsidRPr="00EF20F3">
        <w:rPr>
          <w:rStyle w:val="FootnoteReference"/>
          <w:rFonts w:ascii="Verdana" w:hAnsi="Verdana"/>
          <w:color w:val="auto"/>
          <w:sz w:val="18"/>
          <w:szCs w:val="18"/>
        </w:rPr>
        <w:footnoteReference w:id="1"/>
      </w:r>
      <w:r w:rsidRPr="00EF20F3">
        <w:rPr>
          <w:rFonts w:ascii="Verdana" w:hAnsi="Verdana"/>
          <w:color w:val="auto"/>
          <w:sz w:val="18"/>
          <w:szCs w:val="18"/>
        </w:rPr>
        <w:t xml:space="preserve"> aangenomen over het meewegen van cumulatie bij emissie van </w:t>
      </w:r>
      <w:r w:rsidRPr="00EF20F3" w:rsidR="00652476">
        <w:rPr>
          <w:rFonts w:ascii="Verdana" w:hAnsi="Verdana"/>
          <w:color w:val="auto"/>
          <w:sz w:val="18"/>
          <w:szCs w:val="18"/>
        </w:rPr>
        <w:t>ZZS</w:t>
      </w:r>
      <w:r w:rsidRPr="00EF20F3">
        <w:rPr>
          <w:rFonts w:ascii="Verdana" w:hAnsi="Verdana"/>
          <w:color w:val="auto"/>
          <w:sz w:val="18"/>
          <w:szCs w:val="18"/>
        </w:rPr>
        <w:t xml:space="preserve"> bij de vergunningverlening. </w:t>
      </w:r>
      <w:r w:rsidRPr="00EF20F3" w:rsidR="00F0696A">
        <w:rPr>
          <w:rFonts w:ascii="Verdana" w:hAnsi="Verdana"/>
          <w:color w:val="auto"/>
          <w:sz w:val="18"/>
          <w:szCs w:val="18"/>
        </w:rPr>
        <w:t>Het RIVM heeft in 2023</w:t>
      </w:r>
      <w:r w:rsidRPr="00EF20F3">
        <w:rPr>
          <w:rFonts w:ascii="Verdana" w:hAnsi="Verdana"/>
          <w:color w:val="auto"/>
          <w:sz w:val="18"/>
          <w:szCs w:val="18"/>
        </w:rPr>
        <w:t xml:space="preserve"> een rapport</w:t>
      </w:r>
      <w:r w:rsidRPr="00EF20F3">
        <w:rPr>
          <w:rStyle w:val="FootnoteReference"/>
          <w:rFonts w:ascii="Verdana" w:hAnsi="Verdana"/>
          <w:color w:val="auto"/>
          <w:sz w:val="18"/>
          <w:szCs w:val="18"/>
        </w:rPr>
        <w:footnoteReference w:id="2"/>
      </w:r>
      <w:r w:rsidRPr="00EF20F3">
        <w:rPr>
          <w:rFonts w:ascii="Verdana" w:hAnsi="Verdana"/>
          <w:color w:val="auto"/>
          <w:sz w:val="18"/>
          <w:szCs w:val="18"/>
        </w:rPr>
        <w:t xml:space="preserve"> gepubliceerd waarin opties worden verkend hoe cumulatie voor ZZS beter kan worden meegenomen. Naar aanleiding hiervan introduceerde</w:t>
      </w:r>
      <w:r w:rsidRPr="00EF20F3">
        <w:rPr>
          <w:rStyle w:val="FootnoteReference"/>
          <w:rFonts w:ascii="Verdana" w:hAnsi="Verdana"/>
          <w:color w:val="auto"/>
          <w:sz w:val="18"/>
          <w:szCs w:val="18"/>
        </w:rPr>
        <w:footnoteReference w:id="3"/>
      </w:r>
      <w:r w:rsidRPr="00EF20F3">
        <w:rPr>
          <w:rFonts w:ascii="Verdana" w:hAnsi="Verdana"/>
          <w:color w:val="auto"/>
          <w:sz w:val="18"/>
          <w:szCs w:val="18"/>
        </w:rPr>
        <w:t xml:space="preserve"> het RIVM begin 2024 een wetenschappelijk onderbouwde methode om de risico’s van de uitstoot van meerdere stoffen bij vergunningverlening te kunnen beoordelen (Hazard Index Methode). Deze methode is zowel bij de vergunningverlening lucht als water inzetbaar.</w:t>
      </w:r>
      <w:r w:rsidR="00264509">
        <w:rPr>
          <w:rFonts w:ascii="Verdana" w:hAnsi="Verdana"/>
          <w:color w:val="auto"/>
          <w:sz w:val="18"/>
          <w:szCs w:val="18"/>
        </w:rPr>
        <w:t xml:space="preserve"> </w:t>
      </w:r>
      <w:r w:rsidRPr="00EF20F3" w:rsidR="007120D9">
        <w:rPr>
          <w:rFonts w:ascii="Verdana" w:hAnsi="Verdana"/>
          <w:color w:val="auto"/>
          <w:sz w:val="18"/>
          <w:szCs w:val="18"/>
        </w:rPr>
        <w:t xml:space="preserve">Om een </w:t>
      </w:r>
      <w:r w:rsidRPr="00EF20F3" w:rsidR="00652476">
        <w:rPr>
          <w:rFonts w:ascii="Verdana" w:hAnsi="Verdana"/>
          <w:color w:val="auto"/>
          <w:sz w:val="18"/>
          <w:szCs w:val="18"/>
        </w:rPr>
        <w:t>beter</w:t>
      </w:r>
      <w:r w:rsidRPr="00EF20F3" w:rsidR="007120D9">
        <w:rPr>
          <w:rFonts w:ascii="Verdana" w:hAnsi="Verdana"/>
          <w:color w:val="auto"/>
          <w:sz w:val="18"/>
          <w:szCs w:val="18"/>
        </w:rPr>
        <w:t xml:space="preserve"> beeld te krijgen </w:t>
      </w:r>
      <w:r w:rsidRPr="00EF20F3" w:rsidR="004152D9">
        <w:rPr>
          <w:rFonts w:ascii="Verdana" w:hAnsi="Verdana"/>
          <w:color w:val="auto"/>
          <w:sz w:val="18"/>
          <w:szCs w:val="18"/>
        </w:rPr>
        <w:t>hoe de voorgestelde methode</w:t>
      </w:r>
      <w:r w:rsidRPr="00EF20F3" w:rsidR="002960DF">
        <w:rPr>
          <w:rFonts w:ascii="Verdana" w:hAnsi="Verdana"/>
          <w:color w:val="auto"/>
          <w:sz w:val="18"/>
          <w:szCs w:val="18"/>
        </w:rPr>
        <w:t>s</w:t>
      </w:r>
      <w:r w:rsidRPr="00EF20F3" w:rsidR="004152D9">
        <w:rPr>
          <w:rFonts w:ascii="Verdana" w:hAnsi="Verdana"/>
          <w:color w:val="auto"/>
          <w:sz w:val="18"/>
          <w:szCs w:val="18"/>
        </w:rPr>
        <w:t xml:space="preserve"> praktisch</w:t>
      </w:r>
      <w:r w:rsidRPr="00EF20F3" w:rsidR="00652476">
        <w:rPr>
          <w:rFonts w:ascii="Verdana" w:hAnsi="Verdana"/>
          <w:color w:val="auto"/>
          <w:sz w:val="18"/>
          <w:szCs w:val="18"/>
        </w:rPr>
        <w:t xml:space="preserve">er </w:t>
      </w:r>
      <w:r w:rsidRPr="00EF20F3" w:rsidR="004152D9">
        <w:rPr>
          <w:rFonts w:ascii="Verdana" w:hAnsi="Verdana"/>
          <w:color w:val="auto"/>
          <w:sz w:val="18"/>
          <w:szCs w:val="18"/>
        </w:rPr>
        <w:t xml:space="preserve">toepasbaar zijn </w:t>
      </w:r>
      <w:r w:rsidRPr="00EF20F3" w:rsidR="007120D9">
        <w:rPr>
          <w:rFonts w:ascii="Verdana" w:hAnsi="Verdana"/>
          <w:color w:val="auto"/>
          <w:sz w:val="18"/>
          <w:szCs w:val="18"/>
        </w:rPr>
        <w:t>om cumulatie in de vergunning mee te we</w:t>
      </w:r>
      <w:r w:rsidR="00623B83">
        <w:rPr>
          <w:rFonts w:ascii="Verdana" w:hAnsi="Verdana"/>
          <w:color w:val="auto"/>
          <w:sz w:val="18"/>
          <w:szCs w:val="18"/>
        </w:rPr>
        <w:t>g</w:t>
      </w:r>
      <w:r w:rsidRPr="00EF20F3" w:rsidR="007120D9">
        <w:rPr>
          <w:rFonts w:ascii="Verdana" w:hAnsi="Verdana"/>
          <w:color w:val="auto"/>
          <w:sz w:val="18"/>
          <w:szCs w:val="18"/>
        </w:rPr>
        <w:t xml:space="preserve">en, heeft het RIVM onder het Impulsprogramma Chemische Stoffen een aantal kennisnotities opgesteld. De kennisnotie ‘Berekening mengsel-toxische druk voor oppervlaktewateren bij immissietoetsen’ treft u hierbij aan (bijlage 2). </w:t>
      </w:r>
    </w:p>
    <w:p w:rsidR="00085E6C" w:rsidP="009E30C9" w:rsidRDefault="00085E6C" w14:paraId="1E1DA5D6" w14:textId="77777777">
      <w:pPr>
        <w:pStyle w:val="Default"/>
        <w:spacing w:line="276" w:lineRule="auto"/>
        <w:rPr>
          <w:rFonts w:ascii="Verdana" w:hAnsi="Verdana"/>
          <w:color w:val="auto"/>
          <w:sz w:val="18"/>
          <w:szCs w:val="18"/>
        </w:rPr>
      </w:pPr>
    </w:p>
    <w:p w:rsidR="00CA2B0B" w:rsidP="009E30C9" w:rsidRDefault="007120D9" w14:paraId="49BF14F7" w14:textId="77088D32">
      <w:pPr>
        <w:pStyle w:val="Default"/>
        <w:spacing w:line="276" w:lineRule="auto"/>
        <w:rPr>
          <w:rFonts w:ascii="Verdana" w:hAnsi="Verdana"/>
          <w:color w:val="auto"/>
          <w:sz w:val="18"/>
          <w:szCs w:val="18"/>
        </w:rPr>
      </w:pPr>
      <w:r w:rsidRPr="00EF20F3">
        <w:rPr>
          <w:rFonts w:ascii="Verdana" w:hAnsi="Verdana"/>
          <w:color w:val="auto"/>
          <w:sz w:val="18"/>
          <w:szCs w:val="18"/>
        </w:rPr>
        <w:t>Deze kennisnotitie toetst</w:t>
      </w:r>
      <w:r w:rsidRPr="00EF20F3" w:rsidR="004152D9">
        <w:rPr>
          <w:rFonts w:ascii="Verdana" w:hAnsi="Verdana"/>
          <w:color w:val="auto"/>
          <w:sz w:val="18"/>
          <w:szCs w:val="18"/>
        </w:rPr>
        <w:t xml:space="preserve"> en verfijnt</w:t>
      </w:r>
      <w:r w:rsidRPr="00EF20F3">
        <w:rPr>
          <w:rFonts w:ascii="Verdana" w:hAnsi="Verdana"/>
          <w:color w:val="auto"/>
          <w:sz w:val="18"/>
          <w:szCs w:val="18"/>
        </w:rPr>
        <w:t xml:space="preserve"> de toepasbaarheid van de Hazard Index Methode tijdens de immissietoets water via twee casussen.</w:t>
      </w:r>
      <w:r w:rsidR="00264509">
        <w:rPr>
          <w:rFonts w:ascii="Verdana" w:hAnsi="Verdana"/>
          <w:color w:val="auto"/>
          <w:sz w:val="18"/>
          <w:szCs w:val="18"/>
        </w:rPr>
        <w:t xml:space="preserve"> </w:t>
      </w:r>
      <w:r w:rsidRPr="00EF20F3" w:rsidR="002960DF">
        <w:rPr>
          <w:rFonts w:ascii="Verdana" w:hAnsi="Verdana"/>
          <w:color w:val="auto"/>
          <w:sz w:val="18"/>
          <w:szCs w:val="18"/>
        </w:rPr>
        <w:t xml:space="preserve">Op dit ogenblik blijven bij </w:t>
      </w:r>
      <w:r w:rsidRPr="00EF20F3">
        <w:rPr>
          <w:rFonts w:ascii="Verdana" w:hAnsi="Verdana"/>
          <w:color w:val="auto"/>
          <w:sz w:val="18"/>
          <w:szCs w:val="18"/>
        </w:rPr>
        <w:t>de huidige immissietoets de risico’s van lozing</w:t>
      </w:r>
      <w:r w:rsidRPr="00EF20F3" w:rsidR="000B534A">
        <w:rPr>
          <w:rFonts w:ascii="Verdana" w:hAnsi="Verdana"/>
          <w:color w:val="auto"/>
          <w:sz w:val="18"/>
          <w:szCs w:val="18"/>
        </w:rPr>
        <w:t>en van</w:t>
      </w:r>
      <w:r w:rsidRPr="00EF20F3">
        <w:rPr>
          <w:rFonts w:ascii="Verdana" w:hAnsi="Verdana"/>
          <w:color w:val="auto"/>
          <w:sz w:val="18"/>
          <w:szCs w:val="18"/>
        </w:rPr>
        <w:t xml:space="preserve"> mengsels buiten beeld</w:t>
      </w:r>
      <w:r w:rsidRPr="00EF20F3" w:rsidR="00F0696A">
        <w:rPr>
          <w:rFonts w:ascii="Verdana" w:hAnsi="Verdana"/>
          <w:color w:val="auto"/>
          <w:sz w:val="18"/>
          <w:szCs w:val="18"/>
        </w:rPr>
        <w:t>.</w:t>
      </w:r>
      <w:r w:rsidRPr="00EF20F3">
        <w:rPr>
          <w:rFonts w:ascii="Verdana" w:hAnsi="Verdana"/>
          <w:color w:val="auto"/>
          <w:sz w:val="18"/>
          <w:szCs w:val="18"/>
        </w:rPr>
        <w:t xml:space="preserve"> </w:t>
      </w:r>
      <w:r w:rsidRPr="00EF20F3" w:rsidR="002960DF">
        <w:rPr>
          <w:rFonts w:ascii="Verdana" w:hAnsi="Verdana"/>
          <w:color w:val="auto"/>
          <w:sz w:val="18"/>
          <w:szCs w:val="18"/>
        </w:rPr>
        <w:t xml:space="preserve">Dit geldt dus ook voor de cumulatie van ZZS-emissies. </w:t>
      </w:r>
      <w:r w:rsidRPr="00EF20F3" w:rsidR="00CA2B0B">
        <w:rPr>
          <w:rFonts w:ascii="Verdana" w:hAnsi="Verdana"/>
          <w:color w:val="auto"/>
          <w:sz w:val="18"/>
          <w:szCs w:val="18"/>
        </w:rPr>
        <w:t xml:space="preserve">Immissietoetsen spelen </w:t>
      </w:r>
      <w:r w:rsidRPr="00EF20F3" w:rsidR="002960DF">
        <w:rPr>
          <w:rFonts w:ascii="Verdana" w:hAnsi="Verdana"/>
          <w:color w:val="auto"/>
          <w:sz w:val="18"/>
          <w:szCs w:val="18"/>
        </w:rPr>
        <w:t xml:space="preserve">echter </w:t>
      </w:r>
      <w:r w:rsidRPr="00EF20F3" w:rsidR="00CA2B0B">
        <w:rPr>
          <w:rFonts w:ascii="Verdana" w:hAnsi="Verdana"/>
          <w:color w:val="auto"/>
          <w:sz w:val="18"/>
          <w:szCs w:val="18"/>
        </w:rPr>
        <w:t>een belangrijke rol bij het verlenen van vergunningen aan bedrijven.</w:t>
      </w:r>
      <w:r w:rsidRPr="00EF20F3" w:rsidR="00CA2B0B">
        <w:rPr>
          <w:color w:val="auto"/>
          <w:sz w:val="18"/>
          <w:szCs w:val="18"/>
        </w:rPr>
        <w:t xml:space="preserve"> </w:t>
      </w:r>
      <w:r w:rsidRPr="00EF20F3" w:rsidR="00CA2B0B">
        <w:rPr>
          <w:rFonts w:ascii="Verdana" w:hAnsi="Verdana"/>
          <w:color w:val="auto"/>
          <w:sz w:val="18"/>
          <w:szCs w:val="18"/>
        </w:rPr>
        <w:t xml:space="preserve">Met deze wettelijk verplichte </w:t>
      </w:r>
      <w:r w:rsidRPr="00EF20F3" w:rsidR="002960DF">
        <w:rPr>
          <w:rFonts w:ascii="Verdana" w:hAnsi="Verdana"/>
          <w:color w:val="auto"/>
          <w:sz w:val="18"/>
          <w:szCs w:val="18"/>
        </w:rPr>
        <w:t>immissie</w:t>
      </w:r>
      <w:r w:rsidRPr="00EF20F3" w:rsidR="00CA2B0B">
        <w:rPr>
          <w:rFonts w:ascii="Verdana" w:hAnsi="Verdana"/>
          <w:color w:val="auto"/>
          <w:sz w:val="18"/>
          <w:szCs w:val="18"/>
        </w:rPr>
        <w:t>toetsen worden de milieurisico’s van een bedrijfslozing in kaart gebracht en vervolgens beoordeeld door het bevoegd gezag.</w:t>
      </w:r>
      <w:r w:rsidR="00041680">
        <w:rPr>
          <w:rFonts w:ascii="Verdana" w:hAnsi="Verdana"/>
          <w:color w:val="auto"/>
          <w:sz w:val="18"/>
          <w:szCs w:val="18"/>
        </w:rPr>
        <w:t xml:space="preserve"> </w:t>
      </w:r>
      <w:r w:rsidRPr="00EF20F3" w:rsidR="004152D9">
        <w:rPr>
          <w:rFonts w:ascii="Verdana" w:hAnsi="Verdana"/>
          <w:color w:val="auto"/>
          <w:sz w:val="18"/>
          <w:szCs w:val="18"/>
        </w:rPr>
        <w:t xml:space="preserve">In 2025 wordt </w:t>
      </w:r>
      <w:r w:rsidRPr="00EF20F3" w:rsidR="002960DF">
        <w:rPr>
          <w:rFonts w:ascii="Verdana" w:hAnsi="Verdana"/>
          <w:color w:val="auto"/>
          <w:sz w:val="18"/>
          <w:szCs w:val="18"/>
        </w:rPr>
        <w:t xml:space="preserve">daarom </w:t>
      </w:r>
      <w:r w:rsidRPr="00EF20F3" w:rsidR="004152D9">
        <w:rPr>
          <w:rFonts w:ascii="Verdana" w:hAnsi="Verdana"/>
          <w:color w:val="auto"/>
          <w:sz w:val="18"/>
          <w:szCs w:val="18"/>
        </w:rPr>
        <w:t xml:space="preserve">onder het Impulsprogramma Chemische Stoffen samen met het RIVM en de vergunningverleners verder </w:t>
      </w:r>
      <w:r w:rsidRPr="00EF20F3" w:rsidR="00412385">
        <w:rPr>
          <w:rFonts w:ascii="Verdana" w:hAnsi="Verdana"/>
          <w:color w:val="auto"/>
          <w:sz w:val="18"/>
          <w:szCs w:val="18"/>
        </w:rPr>
        <w:t xml:space="preserve">uitgewerkt </w:t>
      </w:r>
      <w:r w:rsidRPr="00EF20F3" w:rsidR="004152D9">
        <w:rPr>
          <w:rFonts w:ascii="Verdana" w:hAnsi="Verdana"/>
          <w:color w:val="auto"/>
          <w:sz w:val="18"/>
          <w:szCs w:val="18"/>
        </w:rPr>
        <w:t xml:space="preserve">hoe cumulatie van ZZS </w:t>
      </w:r>
      <w:r w:rsidRPr="00EF20F3" w:rsidR="00652476">
        <w:rPr>
          <w:rFonts w:ascii="Verdana" w:hAnsi="Verdana"/>
          <w:color w:val="auto"/>
          <w:sz w:val="18"/>
          <w:szCs w:val="18"/>
        </w:rPr>
        <w:t xml:space="preserve">beter </w:t>
      </w:r>
      <w:r w:rsidRPr="00EF20F3" w:rsidR="004152D9">
        <w:rPr>
          <w:rFonts w:ascii="Verdana" w:hAnsi="Verdana"/>
          <w:color w:val="auto"/>
          <w:sz w:val="18"/>
          <w:szCs w:val="18"/>
        </w:rPr>
        <w:t>meegewogen kan worden in de vergunningverlening.</w:t>
      </w:r>
    </w:p>
    <w:p w:rsidRPr="009E30C9" w:rsidR="00085E6C" w:rsidP="009E30C9" w:rsidRDefault="00085E6C" w14:paraId="44520122" w14:textId="77777777">
      <w:pPr>
        <w:pStyle w:val="Default"/>
        <w:spacing w:line="276" w:lineRule="auto"/>
        <w:rPr>
          <w:rFonts w:ascii="Verdana" w:hAnsi="Verdana"/>
          <w:color w:val="auto"/>
          <w:sz w:val="18"/>
          <w:szCs w:val="18"/>
        </w:rPr>
      </w:pPr>
    </w:p>
    <w:p w:rsidRPr="00EF20F3" w:rsidR="002473CE" w:rsidP="009E30C9" w:rsidRDefault="00CA2B0B" w14:paraId="143105BC" w14:textId="6DBD90B9">
      <w:pPr>
        <w:pStyle w:val="ListParagraph"/>
        <w:numPr>
          <w:ilvl w:val="0"/>
          <w:numId w:val="27"/>
        </w:numPr>
        <w:spacing w:line="276" w:lineRule="auto"/>
        <w:rPr>
          <w:b/>
          <w:bCs/>
          <w:color w:val="auto"/>
        </w:rPr>
      </w:pPr>
      <w:bookmarkStart w:name="_Hlk184167926" w:id="7"/>
      <w:r w:rsidRPr="002473CE">
        <w:rPr>
          <w:b/>
          <w:bCs/>
          <w:color w:val="auto"/>
        </w:rPr>
        <w:t>Kennisnotitie</w:t>
      </w:r>
      <w:r w:rsidR="00B61A81">
        <w:rPr>
          <w:b/>
          <w:bCs/>
          <w:color w:val="auto"/>
        </w:rPr>
        <w:t>:</w:t>
      </w:r>
      <w:r w:rsidRPr="002473CE">
        <w:rPr>
          <w:b/>
          <w:bCs/>
          <w:color w:val="auto"/>
        </w:rPr>
        <w:t xml:space="preserve"> Toepassing van een allocatiefactor in de vergunningverlening van industriële emissies naar lucht </w:t>
      </w:r>
      <w:bookmarkEnd w:id="7"/>
    </w:p>
    <w:p w:rsidRPr="002473CE" w:rsidR="00CA2B0B" w:rsidP="009E30C9" w:rsidRDefault="00CA2B0B" w14:paraId="752B4E1A" w14:textId="77777777">
      <w:pPr>
        <w:pStyle w:val="ListParagraph"/>
        <w:spacing w:line="276" w:lineRule="auto"/>
        <w:rPr>
          <w:color w:val="auto"/>
        </w:rPr>
      </w:pPr>
    </w:p>
    <w:p w:rsidRPr="00EF20F3" w:rsidR="00B93368" w:rsidP="009E30C9" w:rsidRDefault="00D730F1" w14:paraId="42BE0E61" w14:textId="1DD4AC3F">
      <w:pPr>
        <w:spacing w:line="276" w:lineRule="auto"/>
        <w:rPr>
          <w:color w:val="auto"/>
        </w:rPr>
      </w:pPr>
      <w:r w:rsidRPr="00EF20F3">
        <w:rPr>
          <w:color w:val="auto"/>
        </w:rPr>
        <w:t xml:space="preserve">Voor luchtemissies adviseerde het RIVM </w:t>
      </w:r>
      <w:r w:rsidRPr="00EF20F3" w:rsidR="00E2078E">
        <w:rPr>
          <w:color w:val="auto"/>
        </w:rPr>
        <w:t xml:space="preserve">in 2023 </w:t>
      </w:r>
      <w:r w:rsidRPr="00EF20F3">
        <w:rPr>
          <w:color w:val="auto"/>
        </w:rPr>
        <w:t xml:space="preserve">in </w:t>
      </w:r>
      <w:r w:rsidRPr="00EF20F3" w:rsidR="00CD3A10">
        <w:rPr>
          <w:color w:val="auto"/>
        </w:rPr>
        <w:t>het</w:t>
      </w:r>
      <w:r w:rsidRPr="00EF20F3">
        <w:rPr>
          <w:color w:val="auto"/>
        </w:rPr>
        <w:t xml:space="preserve"> </w:t>
      </w:r>
      <w:r w:rsidRPr="00EF20F3" w:rsidR="00E2078E">
        <w:rPr>
          <w:color w:val="auto"/>
        </w:rPr>
        <w:t>onderzoeks</w:t>
      </w:r>
      <w:r w:rsidRPr="00EF20F3">
        <w:rPr>
          <w:color w:val="auto"/>
        </w:rPr>
        <w:t>rapport</w:t>
      </w:r>
      <w:r w:rsidRPr="00EF20F3" w:rsidR="00CD3A10">
        <w:rPr>
          <w:color w:val="auto"/>
          <w:vertAlign w:val="superscript"/>
        </w:rPr>
        <w:t>2</w:t>
      </w:r>
      <w:r w:rsidRPr="00EF20F3" w:rsidR="00CD3A10">
        <w:rPr>
          <w:color w:val="auto"/>
        </w:rPr>
        <w:t xml:space="preserve"> ‘Cumulatie ZZS in de vergunningverlening’ ook </w:t>
      </w:r>
      <w:r w:rsidRPr="00EF20F3">
        <w:rPr>
          <w:color w:val="auto"/>
        </w:rPr>
        <w:t xml:space="preserve">te kijken naar de mogelijkheden van het meenemen van een allocatiefactor bij de afleiding van emissie-eisen. </w:t>
      </w:r>
      <w:r w:rsidRPr="00EF20F3" w:rsidR="00716770">
        <w:rPr>
          <w:color w:val="auto"/>
        </w:rPr>
        <w:t xml:space="preserve">Naar aanleiding hiervan is </w:t>
      </w:r>
      <w:r w:rsidRPr="00EF20F3">
        <w:rPr>
          <w:color w:val="auto"/>
        </w:rPr>
        <w:t>onder het Impulsprogramma Chemische stoffen</w:t>
      </w:r>
      <w:r w:rsidRPr="00EF20F3" w:rsidR="00716770">
        <w:rPr>
          <w:color w:val="auto"/>
        </w:rPr>
        <w:t xml:space="preserve"> de Kennisnotitie </w:t>
      </w:r>
      <w:r w:rsidRPr="00EF20F3" w:rsidR="00E2078E">
        <w:rPr>
          <w:color w:val="auto"/>
        </w:rPr>
        <w:t>‘</w:t>
      </w:r>
      <w:r w:rsidRPr="002473CE" w:rsidR="002473CE">
        <w:rPr>
          <w:color w:val="auto"/>
        </w:rPr>
        <w:t>Toepassing van een allocatiefactor in de vergunningverlening van industriële emissies naar lucht</w:t>
      </w:r>
      <w:r w:rsidR="00B61A81">
        <w:rPr>
          <w:color w:val="auto"/>
        </w:rPr>
        <w:t>’</w:t>
      </w:r>
      <w:r w:rsidRPr="002473CE" w:rsidR="002473CE">
        <w:rPr>
          <w:color w:val="auto"/>
        </w:rPr>
        <w:t xml:space="preserve"> </w:t>
      </w:r>
      <w:r w:rsidRPr="00EF20F3" w:rsidR="00716770">
        <w:rPr>
          <w:color w:val="auto"/>
        </w:rPr>
        <w:t xml:space="preserve">opgesteld (bijlage </w:t>
      </w:r>
      <w:r w:rsidR="002473CE">
        <w:rPr>
          <w:color w:val="auto"/>
        </w:rPr>
        <w:t>3</w:t>
      </w:r>
      <w:r w:rsidRPr="00EF20F3" w:rsidR="00716770">
        <w:rPr>
          <w:color w:val="auto"/>
        </w:rPr>
        <w:t>)</w:t>
      </w:r>
      <w:r w:rsidRPr="00EF20F3">
        <w:rPr>
          <w:color w:val="auto"/>
        </w:rPr>
        <w:t xml:space="preserve">. </w:t>
      </w:r>
      <w:r w:rsidRPr="00EF20F3" w:rsidR="00716770">
        <w:rPr>
          <w:color w:val="auto"/>
        </w:rPr>
        <w:t xml:space="preserve">Uit </w:t>
      </w:r>
      <w:r w:rsidRPr="00EF20F3" w:rsidR="00866B4A">
        <w:rPr>
          <w:color w:val="auto"/>
        </w:rPr>
        <w:t>deze kennisnotitie</w:t>
      </w:r>
      <w:r w:rsidRPr="00EF20F3" w:rsidR="00716770">
        <w:rPr>
          <w:color w:val="auto"/>
        </w:rPr>
        <w:t xml:space="preserve"> blijkt dat </w:t>
      </w:r>
      <w:r w:rsidRPr="00EF20F3" w:rsidR="00412385">
        <w:rPr>
          <w:color w:val="auto"/>
        </w:rPr>
        <w:t>er in de</w:t>
      </w:r>
      <w:r w:rsidRPr="00EF20F3">
        <w:rPr>
          <w:color w:val="auto"/>
        </w:rPr>
        <w:t xml:space="preserve"> leefomgeving </w:t>
      </w:r>
      <w:r w:rsidRPr="00EF20F3" w:rsidR="00412385">
        <w:rPr>
          <w:color w:val="auto"/>
        </w:rPr>
        <w:t>meerdere</w:t>
      </w:r>
      <w:r w:rsidRPr="00EF20F3">
        <w:rPr>
          <w:color w:val="auto"/>
        </w:rPr>
        <w:t xml:space="preserve"> industriële bronnen </w:t>
      </w:r>
      <w:r w:rsidRPr="00EF20F3" w:rsidR="00412385">
        <w:rPr>
          <w:color w:val="auto"/>
        </w:rPr>
        <w:t xml:space="preserve">zijn, </w:t>
      </w:r>
      <w:r w:rsidRPr="00EF20F3">
        <w:rPr>
          <w:color w:val="auto"/>
        </w:rPr>
        <w:t xml:space="preserve">die stoffen uitstoten naar lucht en water. Sommige stoffen zijn te herleiden tot een enkele bron, andere stoffen komen vanuit meerdere bronnen in hetzelfde gebied terecht. Mensen kunnen rechtstreeks worden blootgesteld aan die stoffen via het inademen van lucht of via huidcontact, maar ook indirect via voedsel of drinkwater waarin de stoffen zijn terechtgekomen. </w:t>
      </w:r>
      <w:r w:rsidRPr="00EF20F3" w:rsidR="00E2078E">
        <w:rPr>
          <w:color w:val="auto"/>
        </w:rPr>
        <w:t>Als mensen blootgesteld worden aan een stof via verschillende bronnen (bijvoorbeeld via inademen en inhalatie en opname via voedsel), wordt dit geaggregeerde blootstelling genoemd.</w:t>
      </w:r>
    </w:p>
    <w:p w:rsidRPr="00EF20F3" w:rsidR="00B93368" w:rsidP="009E30C9" w:rsidRDefault="00B93368" w14:paraId="2E972230" w14:textId="77777777">
      <w:pPr>
        <w:spacing w:line="276" w:lineRule="auto"/>
        <w:rPr>
          <w:color w:val="auto"/>
        </w:rPr>
      </w:pPr>
    </w:p>
    <w:p w:rsidRPr="00EF20F3" w:rsidR="006A7633" w:rsidP="009E30C9" w:rsidRDefault="00E2078E" w14:paraId="55B30910" w14:textId="2FBE0D8C">
      <w:pPr>
        <w:autoSpaceDE w:val="0"/>
        <w:spacing w:line="276" w:lineRule="auto"/>
        <w:rPr>
          <w:color w:val="auto"/>
        </w:rPr>
      </w:pPr>
      <w:r w:rsidRPr="00EF20F3">
        <w:rPr>
          <w:color w:val="auto"/>
        </w:rPr>
        <w:t xml:space="preserve">Een allocatiefactor is een factor die rekening kan houden </w:t>
      </w:r>
      <w:r w:rsidRPr="00EF20F3" w:rsidR="00866B4A">
        <w:rPr>
          <w:color w:val="auto"/>
        </w:rPr>
        <w:t>met de</w:t>
      </w:r>
      <w:r w:rsidRPr="00EF20F3">
        <w:rPr>
          <w:color w:val="auto"/>
        </w:rPr>
        <w:t>ze</w:t>
      </w:r>
      <w:r w:rsidRPr="00EF20F3" w:rsidR="00866B4A">
        <w:rPr>
          <w:color w:val="auto"/>
        </w:rPr>
        <w:t xml:space="preserve"> </w:t>
      </w:r>
      <w:r w:rsidRPr="00EF20F3">
        <w:rPr>
          <w:color w:val="auto"/>
        </w:rPr>
        <w:t xml:space="preserve">geaggregeerde </w:t>
      </w:r>
      <w:r w:rsidRPr="00EF20F3" w:rsidR="00866B4A">
        <w:rPr>
          <w:color w:val="auto"/>
        </w:rPr>
        <w:t>blootstelling.</w:t>
      </w:r>
      <w:r w:rsidRPr="00EF20F3" w:rsidR="00B93368">
        <w:rPr>
          <w:color w:val="auto"/>
        </w:rPr>
        <w:t xml:space="preserve"> Deze </w:t>
      </w:r>
      <w:r w:rsidRPr="00EF20F3" w:rsidR="00412385">
        <w:rPr>
          <w:color w:val="auto"/>
        </w:rPr>
        <w:t>RIVM-kennisnotitie</w:t>
      </w:r>
      <w:r w:rsidRPr="00EF20F3" w:rsidR="00B93368">
        <w:rPr>
          <w:color w:val="auto"/>
        </w:rPr>
        <w:t xml:space="preserve"> geeft aan hoe de allocatiefactor meegenomen zou kunnen worden in de vergunningverlening.</w:t>
      </w:r>
      <w:r w:rsidRPr="00EF20F3" w:rsidR="00CA2B0B">
        <w:rPr>
          <w:color w:val="auto"/>
        </w:rPr>
        <w:t xml:space="preserve"> </w:t>
      </w:r>
      <w:r w:rsidRPr="00EF20F3" w:rsidR="00652476">
        <w:rPr>
          <w:color w:val="auto"/>
        </w:rPr>
        <w:t>Dit brengt</w:t>
      </w:r>
      <w:r w:rsidRPr="00EF20F3" w:rsidR="00CA2B0B">
        <w:rPr>
          <w:color w:val="auto"/>
        </w:rPr>
        <w:t xml:space="preserve"> de </w:t>
      </w:r>
      <w:r w:rsidR="00FF0AE7">
        <w:rPr>
          <w:color w:val="auto"/>
        </w:rPr>
        <w:t>blootstelling</w:t>
      </w:r>
      <w:r w:rsidRPr="00EF20F3" w:rsidR="00CA2B0B">
        <w:rPr>
          <w:color w:val="auto"/>
        </w:rPr>
        <w:t xml:space="preserve"> </w:t>
      </w:r>
      <w:r w:rsidR="00FF0AE7">
        <w:rPr>
          <w:color w:val="auto"/>
        </w:rPr>
        <w:t xml:space="preserve">aan </w:t>
      </w:r>
      <w:r w:rsidR="004D7856">
        <w:rPr>
          <w:color w:val="auto"/>
        </w:rPr>
        <w:t>cumulatie</w:t>
      </w:r>
      <w:r w:rsidRPr="00EF20F3" w:rsidR="00CA2B0B">
        <w:rPr>
          <w:color w:val="auto"/>
        </w:rPr>
        <w:t xml:space="preserve"> van gevaarlijke stoffen voor de mens</w:t>
      </w:r>
      <w:r w:rsidRPr="00EF20F3" w:rsidR="00652476">
        <w:rPr>
          <w:color w:val="auto"/>
        </w:rPr>
        <w:t xml:space="preserve"> beter in beeld</w:t>
      </w:r>
      <w:r w:rsidRPr="00EF20F3" w:rsidR="00CA2B0B">
        <w:rPr>
          <w:color w:val="auto"/>
        </w:rPr>
        <w:t>.</w:t>
      </w:r>
      <w:r w:rsidRPr="00EF20F3" w:rsidR="00B93368">
        <w:rPr>
          <w:color w:val="auto"/>
        </w:rPr>
        <w:t xml:space="preserve"> </w:t>
      </w:r>
      <w:r w:rsidRPr="00EF20F3" w:rsidR="00FC11DD">
        <w:rPr>
          <w:color w:val="auto"/>
        </w:rPr>
        <w:t xml:space="preserve">Het </w:t>
      </w:r>
      <w:r w:rsidRPr="00EF20F3" w:rsidR="00652476">
        <w:rPr>
          <w:color w:val="auto"/>
        </w:rPr>
        <w:t>m</w:t>
      </w:r>
      <w:r w:rsidRPr="00EF20F3" w:rsidR="00FC11DD">
        <w:rPr>
          <w:color w:val="auto"/>
        </w:rPr>
        <w:t>inisterie van Infrastructuur en Waterstaat</w:t>
      </w:r>
      <w:r w:rsidRPr="00EF20F3" w:rsidR="00652476">
        <w:rPr>
          <w:color w:val="auto"/>
        </w:rPr>
        <w:t xml:space="preserve"> (I</w:t>
      </w:r>
      <w:r w:rsidRPr="00EF20F3" w:rsidR="009203F1">
        <w:rPr>
          <w:color w:val="auto"/>
        </w:rPr>
        <w:t>en</w:t>
      </w:r>
      <w:r w:rsidRPr="00EF20F3" w:rsidR="00652476">
        <w:rPr>
          <w:color w:val="auto"/>
        </w:rPr>
        <w:t>W)</w:t>
      </w:r>
      <w:r w:rsidRPr="00EF20F3" w:rsidR="00FC11DD">
        <w:rPr>
          <w:color w:val="auto"/>
        </w:rPr>
        <w:t xml:space="preserve"> zal samen met het RIVM en de vergunningverleners op basis van deze notie verder onderzoeken wat de mogelijkheden en voor- en nadelen zijn van het meewegen van een allocatiefactor</w:t>
      </w:r>
      <w:r w:rsidRPr="00EF20F3" w:rsidR="009203F1">
        <w:rPr>
          <w:color w:val="auto"/>
        </w:rPr>
        <w:t>.</w:t>
      </w:r>
      <w:r w:rsidRPr="00EF20F3" w:rsidR="00FC11DD">
        <w:rPr>
          <w:color w:val="auto"/>
        </w:rPr>
        <w:t xml:space="preserve"> </w:t>
      </w:r>
      <w:bookmarkStart w:name="_Hlk176349497" w:id="8"/>
      <w:bookmarkEnd w:id="5"/>
    </w:p>
    <w:p w:rsidRPr="00EF20F3" w:rsidR="00CA2B0B" w:rsidP="009E30C9" w:rsidRDefault="00CA2B0B" w14:paraId="61D09F82" w14:textId="77777777">
      <w:pPr>
        <w:autoSpaceDE w:val="0"/>
        <w:spacing w:line="276" w:lineRule="auto"/>
        <w:rPr>
          <w:color w:val="auto"/>
        </w:rPr>
      </w:pPr>
    </w:p>
    <w:bookmarkEnd w:id="8"/>
    <w:p w:rsidRPr="00EF20F3" w:rsidR="00F3717E" w:rsidP="009E30C9" w:rsidRDefault="00CD3A10" w14:paraId="3D9D3CD5" w14:textId="2C92B1E5">
      <w:pPr>
        <w:pStyle w:val="ListParagraph"/>
        <w:numPr>
          <w:ilvl w:val="0"/>
          <w:numId w:val="27"/>
        </w:numPr>
        <w:spacing w:line="276" w:lineRule="auto"/>
        <w:rPr>
          <w:b/>
          <w:bCs/>
          <w:color w:val="auto"/>
          <w:lang w:eastAsia="en-US"/>
        </w:rPr>
      </w:pPr>
      <w:r w:rsidRPr="00EF20F3">
        <w:rPr>
          <w:b/>
          <w:bCs/>
          <w:color w:val="auto"/>
          <w:lang w:eastAsia="en-US"/>
        </w:rPr>
        <w:t>Kennisnotitie</w:t>
      </w:r>
      <w:r w:rsidR="00B96089">
        <w:rPr>
          <w:b/>
          <w:bCs/>
          <w:color w:val="auto"/>
          <w:lang w:eastAsia="en-US"/>
        </w:rPr>
        <w:t>:</w:t>
      </w:r>
      <w:r w:rsidRPr="00EF20F3">
        <w:rPr>
          <w:b/>
          <w:bCs/>
          <w:color w:val="auto"/>
          <w:lang w:eastAsia="en-US"/>
        </w:rPr>
        <w:t xml:space="preserve"> </w:t>
      </w:r>
      <w:r w:rsidRPr="00EF20F3" w:rsidR="00F3717E">
        <w:rPr>
          <w:b/>
          <w:bCs/>
          <w:color w:val="auto"/>
          <w:lang w:eastAsia="en-US"/>
        </w:rPr>
        <w:t>Actualisatie beperkte immissietoets (BIT)</w:t>
      </w:r>
    </w:p>
    <w:p w:rsidRPr="00EF20F3" w:rsidR="00F3717E" w:rsidP="009E30C9" w:rsidRDefault="00F3717E" w14:paraId="1B870211" w14:textId="77777777">
      <w:pPr>
        <w:spacing w:line="276" w:lineRule="auto"/>
        <w:rPr>
          <w:color w:val="auto"/>
          <w:lang w:eastAsia="en-US"/>
        </w:rPr>
      </w:pPr>
    </w:p>
    <w:p w:rsidRPr="00EF20F3" w:rsidR="00F3717E" w:rsidP="009E30C9" w:rsidRDefault="00F3717E" w14:paraId="64C859D2" w14:textId="3B267F95">
      <w:pPr>
        <w:autoSpaceDE w:val="0"/>
        <w:adjustRightInd w:val="0"/>
        <w:spacing w:line="276" w:lineRule="auto"/>
        <w:textAlignment w:val="auto"/>
        <w:rPr>
          <w:rFonts w:cs="Verdana"/>
          <w:color w:val="auto"/>
        </w:rPr>
      </w:pPr>
      <w:r w:rsidRPr="00EF20F3">
        <w:rPr>
          <w:rFonts w:cs="Verdana"/>
          <w:color w:val="auto"/>
        </w:rPr>
        <w:t xml:space="preserve">De beperkte immissietoets </w:t>
      </w:r>
      <w:r w:rsidRPr="00EF20F3" w:rsidR="00C550E5">
        <w:rPr>
          <w:rFonts w:cs="Verdana"/>
          <w:color w:val="auto"/>
        </w:rPr>
        <w:t xml:space="preserve">(BIT) </w:t>
      </w:r>
      <w:r w:rsidRPr="00EF20F3">
        <w:rPr>
          <w:rFonts w:cs="Verdana"/>
          <w:color w:val="auto"/>
        </w:rPr>
        <w:t>is een tool die vergunningverleners en bedrijven</w:t>
      </w:r>
    </w:p>
    <w:p w:rsidRPr="00EF20F3" w:rsidR="00F3717E" w:rsidP="009E30C9" w:rsidRDefault="00F3717E" w14:paraId="5C731CD9" w14:textId="21F5BF33">
      <w:pPr>
        <w:autoSpaceDE w:val="0"/>
        <w:adjustRightInd w:val="0"/>
        <w:spacing w:line="276" w:lineRule="auto"/>
        <w:textAlignment w:val="auto"/>
        <w:rPr>
          <w:rFonts w:cs="Verdana"/>
          <w:color w:val="auto"/>
        </w:rPr>
      </w:pPr>
      <w:r w:rsidRPr="00EF20F3">
        <w:rPr>
          <w:rFonts w:cs="Verdana"/>
          <w:color w:val="auto"/>
        </w:rPr>
        <w:t>gebruiken als voortoets om snel een eerste indicatie te krijgen</w:t>
      </w:r>
      <w:r w:rsidRPr="00EF20F3" w:rsidR="00CD3A10">
        <w:rPr>
          <w:rFonts w:cs="Verdana"/>
          <w:color w:val="auto"/>
        </w:rPr>
        <w:t xml:space="preserve"> </w:t>
      </w:r>
      <w:r w:rsidRPr="00EF20F3">
        <w:rPr>
          <w:rFonts w:cs="Verdana"/>
          <w:color w:val="auto"/>
        </w:rPr>
        <w:t xml:space="preserve">van de concentratie van een stof </w:t>
      </w:r>
      <w:r w:rsidRPr="00EF20F3" w:rsidR="000B534A">
        <w:rPr>
          <w:rFonts w:cs="Verdana"/>
          <w:color w:val="auto"/>
        </w:rPr>
        <w:t xml:space="preserve">en de invloed </w:t>
      </w:r>
      <w:r w:rsidRPr="00EF20F3">
        <w:rPr>
          <w:rFonts w:cs="Verdana"/>
          <w:color w:val="auto"/>
        </w:rPr>
        <w:t xml:space="preserve">op </w:t>
      </w:r>
      <w:r w:rsidRPr="00EF20F3" w:rsidR="00CD3A10">
        <w:rPr>
          <w:rFonts w:cs="Verdana"/>
          <w:color w:val="auto"/>
        </w:rPr>
        <w:t xml:space="preserve">de leefomgeving </w:t>
      </w:r>
      <w:r w:rsidRPr="00EF20F3">
        <w:rPr>
          <w:rFonts w:cs="Verdana"/>
          <w:color w:val="auto"/>
        </w:rPr>
        <w:t>als gevolg van een</w:t>
      </w:r>
      <w:r w:rsidRPr="00EF20F3" w:rsidR="00CD3A10">
        <w:rPr>
          <w:rFonts w:cs="Verdana"/>
          <w:color w:val="auto"/>
        </w:rPr>
        <w:t xml:space="preserve"> </w:t>
      </w:r>
      <w:r w:rsidRPr="00EF20F3">
        <w:rPr>
          <w:rFonts w:cs="Verdana"/>
          <w:color w:val="auto"/>
        </w:rPr>
        <w:t>industriële puntbronemissie naar de lucht. Deze berekening</w:t>
      </w:r>
      <w:r w:rsidRPr="00EF20F3" w:rsidR="000B534A">
        <w:rPr>
          <w:rFonts w:cs="Verdana"/>
          <w:color w:val="auto"/>
        </w:rPr>
        <w:t>smethode</w:t>
      </w:r>
      <w:r w:rsidRPr="00EF20F3">
        <w:rPr>
          <w:rFonts w:cs="Verdana"/>
          <w:color w:val="auto"/>
        </w:rPr>
        <w:t xml:space="preserve"> wordt </w:t>
      </w:r>
      <w:r w:rsidRPr="00EF20F3" w:rsidR="000B534A">
        <w:rPr>
          <w:rFonts w:cs="Verdana"/>
          <w:color w:val="auto"/>
        </w:rPr>
        <w:t xml:space="preserve">nu al </w:t>
      </w:r>
      <w:r w:rsidRPr="00EF20F3">
        <w:rPr>
          <w:rFonts w:cs="Verdana"/>
          <w:color w:val="auto"/>
        </w:rPr>
        <w:t xml:space="preserve">toegepast </w:t>
      </w:r>
      <w:r w:rsidRPr="00EF20F3" w:rsidR="000B534A">
        <w:rPr>
          <w:rFonts w:cs="Verdana"/>
          <w:color w:val="auto"/>
        </w:rPr>
        <w:t>bij</w:t>
      </w:r>
      <w:r w:rsidRPr="00EF20F3" w:rsidR="00CD3A10">
        <w:rPr>
          <w:rFonts w:cs="Verdana"/>
          <w:color w:val="auto"/>
        </w:rPr>
        <w:t xml:space="preserve"> </w:t>
      </w:r>
      <w:r w:rsidRPr="00EF20F3">
        <w:rPr>
          <w:rFonts w:cs="Verdana"/>
          <w:color w:val="auto"/>
        </w:rPr>
        <w:t xml:space="preserve">de immissietoets </w:t>
      </w:r>
      <w:r w:rsidR="00B96089">
        <w:rPr>
          <w:rFonts w:cs="Verdana"/>
          <w:color w:val="auto"/>
        </w:rPr>
        <w:t>tijdens</w:t>
      </w:r>
      <w:r w:rsidRPr="00EF20F3" w:rsidR="000B534A">
        <w:rPr>
          <w:rFonts w:cs="Verdana"/>
          <w:color w:val="auto"/>
        </w:rPr>
        <w:t xml:space="preserve"> de</w:t>
      </w:r>
      <w:r w:rsidRPr="00EF20F3" w:rsidR="00CD3A10">
        <w:rPr>
          <w:rFonts w:cs="Verdana"/>
          <w:color w:val="auto"/>
        </w:rPr>
        <w:t xml:space="preserve"> vergunningverlening van </w:t>
      </w:r>
      <w:r w:rsidR="00B96089">
        <w:rPr>
          <w:rFonts w:cs="Verdana"/>
          <w:color w:val="auto"/>
        </w:rPr>
        <w:t xml:space="preserve">emissie </w:t>
      </w:r>
      <w:r w:rsidRPr="00EF20F3">
        <w:rPr>
          <w:rFonts w:cs="Verdana"/>
          <w:color w:val="auto"/>
        </w:rPr>
        <w:t>van ZZS.</w:t>
      </w:r>
      <w:r w:rsidRPr="00EF20F3" w:rsidR="00CD3A10">
        <w:rPr>
          <w:rFonts w:cs="Verdana"/>
          <w:color w:val="auto"/>
        </w:rPr>
        <w:t xml:space="preserve"> </w:t>
      </w:r>
      <w:r w:rsidRPr="00EF20F3">
        <w:rPr>
          <w:rFonts w:cs="Verdana"/>
          <w:color w:val="auto"/>
        </w:rPr>
        <w:t xml:space="preserve">Hierbij </w:t>
      </w:r>
      <w:r w:rsidRPr="00EF20F3" w:rsidR="00B62707">
        <w:rPr>
          <w:rFonts w:cs="Verdana"/>
          <w:color w:val="auto"/>
        </w:rPr>
        <w:t>wordt getoetst</w:t>
      </w:r>
      <w:r w:rsidRPr="00EF20F3">
        <w:rPr>
          <w:rFonts w:cs="Verdana"/>
          <w:color w:val="auto"/>
        </w:rPr>
        <w:t xml:space="preserve"> of de berekende immissieconcentratie op leefniveau de</w:t>
      </w:r>
      <w:r w:rsidRPr="00EF20F3" w:rsidR="00CD3A10">
        <w:rPr>
          <w:rFonts w:cs="Verdana"/>
          <w:color w:val="auto"/>
        </w:rPr>
        <w:t xml:space="preserve"> </w:t>
      </w:r>
      <w:r w:rsidRPr="00EF20F3">
        <w:rPr>
          <w:rFonts w:cs="Verdana"/>
          <w:color w:val="auto"/>
        </w:rPr>
        <w:t>immissiegrenswaarde</w:t>
      </w:r>
      <w:r w:rsidRPr="00EF20F3" w:rsidR="000B534A">
        <w:rPr>
          <w:rFonts w:cs="Verdana"/>
          <w:color w:val="auto"/>
        </w:rPr>
        <w:t xml:space="preserve"> (Maximaal Toelaatbaar Risico)</w:t>
      </w:r>
      <w:r w:rsidRPr="00EF20F3" w:rsidR="00B62707">
        <w:rPr>
          <w:rFonts w:cs="Verdana"/>
          <w:color w:val="auto"/>
        </w:rPr>
        <w:t xml:space="preserve"> </w:t>
      </w:r>
      <w:r w:rsidRPr="00EF20F3">
        <w:rPr>
          <w:rFonts w:cs="Verdana"/>
          <w:color w:val="auto"/>
        </w:rPr>
        <w:t>overschrijdt. Wettelijk dient men voor de berekening van de immissie</w:t>
      </w:r>
      <w:r w:rsidRPr="00EF20F3" w:rsidR="00CD3A10">
        <w:rPr>
          <w:rFonts w:cs="Verdana"/>
          <w:color w:val="auto"/>
        </w:rPr>
        <w:t>concentratie</w:t>
      </w:r>
      <w:r w:rsidRPr="00EF20F3" w:rsidR="00B62707">
        <w:rPr>
          <w:rFonts w:cs="Verdana"/>
          <w:color w:val="auto"/>
        </w:rPr>
        <w:t xml:space="preserve"> </w:t>
      </w:r>
      <w:r w:rsidRPr="00EF20F3">
        <w:rPr>
          <w:rFonts w:cs="Verdana"/>
          <w:color w:val="auto"/>
        </w:rPr>
        <w:t>gebruik te maken van geavanceerde verspreidingsmodellen die rekenen</w:t>
      </w:r>
      <w:r w:rsidRPr="00EF20F3" w:rsidR="00A73C38">
        <w:rPr>
          <w:rFonts w:cs="Verdana"/>
          <w:color w:val="auto"/>
        </w:rPr>
        <w:t xml:space="preserve"> </w:t>
      </w:r>
      <w:r w:rsidRPr="00EF20F3">
        <w:rPr>
          <w:rFonts w:cs="Verdana"/>
          <w:color w:val="auto"/>
        </w:rPr>
        <w:t>volgens</w:t>
      </w:r>
      <w:r w:rsidRPr="00EF20F3" w:rsidR="00CD3A10">
        <w:rPr>
          <w:rFonts w:cs="Verdana"/>
          <w:color w:val="auto"/>
        </w:rPr>
        <w:t xml:space="preserve"> </w:t>
      </w:r>
      <w:r w:rsidRPr="00EF20F3" w:rsidR="002F1BBB">
        <w:rPr>
          <w:rFonts w:cs="Verdana"/>
          <w:color w:val="auto"/>
        </w:rPr>
        <w:t xml:space="preserve">de </w:t>
      </w:r>
      <w:r w:rsidRPr="00EF20F3">
        <w:rPr>
          <w:rFonts w:cs="Verdana"/>
          <w:color w:val="auto"/>
        </w:rPr>
        <w:t>Standaard Rekenmethode Luchtkwaliteit</w:t>
      </w:r>
      <w:r w:rsidRPr="00EF20F3" w:rsidR="005E5E80">
        <w:rPr>
          <w:rFonts w:cs="Verdana"/>
          <w:color w:val="auto"/>
        </w:rPr>
        <w:t xml:space="preserve"> 3</w:t>
      </w:r>
      <w:r w:rsidRPr="00EF20F3" w:rsidR="005E5E80">
        <w:rPr>
          <w:rStyle w:val="FootnoteReference"/>
          <w:rFonts w:cs="Verdana"/>
          <w:color w:val="auto"/>
        </w:rPr>
        <w:footnoteReference w:id="4"/>
      </w:r>
      <w:r w:rsidRPr="00EF20F3" w:rsidR="00C550E5">
        <w:rPr>
          <w:rFonts w:cs="Verdana"/>
          <w:color w:val="auto"/>
        </w:rPr>
        <w:t>,</w:t>
      </w:r>
      <w:r w:rsidRPr="00EF20F3" w:rsidR="005E5E80">
        <w:rPr>
          <w:rFonts w:cs="Verdana"/>
          <w:color w:val="auto"/>
        </w:rPr>
        <w:t xml:space="preserve"> </w:t>
      </w:r>
      <w:r w:rsidRPr="00EF20F3">
        <w:rPr>
          <w:rFonts w:cs="Verdana"/>
          <w:color w:val="auto"/>
        </w:rPr>
        <w:t>zoals het Nieuw Nationaal Model (NNM).</w:t>
      </w:r>
    </w:p>
    <w:p w:rsidRPr="00EF20F3" w:rsidR="002F1BBB" w:rsidP="009E30C9" w:rsidRDefault="002F1BBB" w14:paraId="7FDB4111" w14:textId="77777777">
      <w:pPr>
        <w:autoSpaceDE w:val="0"/>
        <w:adjustRightInd w:val="0"/>
        <w:spacing w:line="276" w:lineRule="auto"/>
        <w:textAlignment w:val="auto"/>
        <w:rPr>
          <w:rFonts w:cs="Verdana"/>
          <w:color w:val="auto"/>
        </w:rPr>
      </w:pPr>
    </w:p>
    <w:p w:rsidRPr="00EF20F3" w:rsidR="002F1BBB" w:rsidP="009E30C9" w:rsidRDefault="002F1BBB" w14:paraId="3941428D" w14:textId="5EDE9FD2">
      <w:pPr>
        <w:autoSpaceDE w:val="0"/>
        <w:adjustRightInd w:val="0"/>
        <w:spacing w:line="276" w:lineRule="auto"/>
        <w:textAlignment w:val="auto"/>
        <w:rPr>
          <w:rFonts w:cs="Verdana"/>
          <w:color w:val="auto"/>
        </w:rPr>
      </w:pPr>
      <w:r w:rsidRPr="00EF20F3">
        <w:rPr>
          <w:rFonts w:cs="Verdana"/>
          <w:color w:val="auto"/>
        </w:rPr>
        <w:t xml:space="preserve">Uit eerdere signalen </w:t>
      </w:r>
      <w:r w:rsidRPr="00EF20F3" w:rsidR="000B534A">
        <w:rPr>
          <w:rFonts w:cs="Verdana"/>
          <w:color w:val="auto"/>
        </w:rPr>
        <w:t>uit</w:t>
      </w:r>
      <w:r w:rsidRPr="00EF20F3">
        <w:rPr>
          <w:rFonts w:cs="Verdana"/>
          <w:color w:val="auto"/>
        </w:rPr>
        <w:t xml:space="preserve"> de praktijk en de verkenning door het RIVM</w:t>
      </w:r>
      <w:r w:rsidRPr="00EF20F3">
        <w:rPr>
          <w:rStyle w:val="FootnoteReference"/>
          <w:rFonts w:cs="Verdana"/>
          <w:color w:val="auto"/>
        </w:rPr>
        <w:footnoteReference w:id="5"/>
      </w:r>
      <w:r w:rsidRPr="00EF20F3">
        <w:rPr>
          <w:rFonts w:cs="Verdana"/>
          <w:color w:val="auto"/>
        </w:rPr>
        <w:t xml:space="preserve"> blijkt dat de BIT als voortoets slechts een voorzichtige inschatting oplevert van de daadwerkelijke situatie. De kans op een onderschatting van de daadwerkelijke immissieconcentratie is daarbij </w:t>
      </w:r>
      <w:r w:rsidRPr="00EF20F3" w:rsidR="00FC11DD">
        <w:rPr>
          <w:rFonts w:cs="Verdana"/>
          <w:color w:val="auto"/>
        </w:rPr>
        <w:t>aanwezig</w:t>
      </w:r>
      <w:r w:rsidRPr="00EF20F3">
        <w:rPr>
          <w:rFonts w:cs="Verdana"/>
          <w:color w:val="auto"/>
        </w:rPr>
        <w:t>. D</w:t>
      </w:r>
      <w:r w:rsidRPr="00EF20F3" w:rsidR="000B534A">
        <w:rPr>
          <w:rFonts w:cs="Verdana"/>
          <w:color w:val="auto"/>
        </w:rPr>
        <w:t>e</w:t>
      </w:r>
      <w:r w:rsidRPr="00EF20F3">
        <w:rPr>
          <w:rFonts w:cs="Verdana"/>
          <w:color w:val="auto"/>
        </w:rPr>
        <w:t xml:space="preserve"> BIT </w:t>
      </w:r>
      <w:r w:rsidRPr="00EF20F3" w:rsidR="000B534A">
        <w:rPr>
          <w:rFonts w:cs="Verdana"/>
          <w:color w:val="auto"/>
        </w:rPr>
        <w:t xml:space="preserve">is </w:t>
      </w:r>
      <w:r w:rsidRPr="00EF20F3">
        <w:rPr>
          <w:rFonts w:cs="Verdana"/>
          <w:color w:val="auto"/>
        </w:rPr>
        <w:t xml:space="preserve">op sommige punten gedateerd en in </w:t>
      </w:r>
      <w:r w:rsidRPr="00EF20F3" w:rsidR="00F3717E">
        <w:rPr>
          <w:rFonts w:cs="Verdana"/>
          <w:color w:val="auto"/>
        </w:rPr>
        <w:t>vergelijking met het huidige NNM in veel gevallen niet voldoende</w:t>
      </w:r>
      <w:r w:rsidRPr="00EF20F3" w:rsidR="00D730F1">
        <w:rPr>
          <w:rFonts w:cs="Verdana"/>
          <w:color w:val="auto"/>
        </w:rPr>
        <w:t xml:space="preserve"> </w:t>
      </w:r>
      <w:r w:rsidR="00B96089">
        <w:rPr>
          <w:rFonts w:cs="Verdana"/>
          <w:color w:val="auto"/>
        </w:rPr>
        <w:t>accuraat</w:t>
      </w:r>
      <w:r w:rsidRPr="00EF20F3">
        <w:rPr>
          <w:rFonts w:cs="Verdana"/>
          <w:color w:val="auto"/>
        </w:rPr>
        <w:t xml:space="preserve"> om risico’s voor de leefomgeving goed in te kunnen schatten</w:t>
      </w:r>
      <w:r w:rsidRPr="00EF20F3" w:rsidR="00F3717E">
        <w:rPr>
          <w:rFonts w:cs="Verdana"/>
          <w:color w:val="auto"/>
        </w:rPr>
        <w:t>. Met behulp van het huidige NNM is de BIT daarom</w:t>
      </w:r>
      <w:r w:rsidRPr="00EF20F3" w:rsidR="00D730F1">
        <w:rPr>
          <w:rFonts w:cs="Verdana"/>
          <w:color w:val="auto"/>
        </w:rPr>
        <w:t xml:space="preserve"> </w:t>
      </w:r>
      <w:r w:rsidRPr="00EF20F3" w:rsidR="00F3717E">
        <w:rPr>
          <w:rFonts w:cs="Verdana"/>
          <w:color w:val="auto"/>
        </w:rPr>
        <w:t xml:space="preserve">geactualiseerd. </w:t>
      </w:r>
      <w:r w:rsidRPr="00EF20F3" w:rsidR="00B215E4">
        <w:rPr>
          <w:rFonts w:cs="Verdana"/>
          <w:color w:val="auto"/>
        </w:rPr>
        <w:t>Het RIVM heeft de actualisatie van de BIT uitgewerkt in bijgevoegde kennisnotitie</w:t>
      </w:r>
      <w:r w:rsidRPr="00EF20F3" w:rsidR="00CD3A10">
        <w:rPr>
          <w:rFonts w:cs="Verdana"/>
          <w:color w:val="auto"/>
        </w:rPr>
        <w:t xml:space="preserve"> (bijlage</w:t>
      </w:r>
      <w:r w:rsidR="00041680">
        <w:rPr>
          <w:rFonts w:cs="Verdana"/>
          <w:color w:val="auto"/>
        </w:rPr>
        <w:t xml:space="preserve"> 4</w:t>
      </w:r>
      <w:r w:rsidR="00B96089">
        <w:rPr>
          <w:rFonts w:cs="Verdana"/>
          <w:color w:val="auto"/>
        </w:rPr>
        <w:t>)</w:t>
      </w:r>
      <w:r w:rsidRPr="00EF20F3" w:rsidR="00B215E4">
        <w:rPr>
          <w:rFonts w:cs="Verdana"/>
          <w:color w:val="auto"/>
        </w:rPr>
        <w:t xml:space="preserve">. </w:t>
      </w:r>
      <w:r w:rsidRPr="00EF20F3" w:rsidR="00F3717E">
        <w:rPr>
          <w:rFonts w:cs="Verdana"/>
          <w:color w:val="auto"/>
        </w:rPr>
        <w:t>De</w:t>
      </w:r>
      <w:r w:rsidRPr="00EF20F3" w:rsidR="00D730F1">
        <w:rPr>
          <w:rFonts w:cs="Verdana"/>
          <w:color w:val="auto"/>
        </w:rPr>
        <w:t xml:space="preserve"> </w:t>
      </w:r>
      <w:r w:rsidRPr="00EF20F3" w:rsidR="00F3717E">
        <w:rPr>
          <w:rFonts w:cs="Verdana"/>
          <w:color w:val="auto"/>
        </w:rPr>
        <w:t xml:space="preserve">nieuwe </w:t>
      </w:r>
      <w:r w:rsidRPr="00EF20F3" w:rsidR="00CD3A10">
        <w:rPr>
          <w:rFonts w:cs="Verdana"/>
          <w:color w:val="auto"/>
        </w:rPr>
        <w:t>versie</w:t>
      </w:r>
      <w:r w:rsidRPr="00EF20F3" w:rsidR="00F3717E">
        <w:rPr>
          <w:rFonts w:cs="Verdana"/>
          <w:color w:val="auto"/>
        </w:rPr>
        <w:t xml:space="preserve"> </w:t>
      </w:r>
      <w:r w:rsidRPr="00EF20F3">
        <w:rPr>
          <w:rFonts w:cs="Verdana"/>
          <w:color w:val="auto"/>
        </w:rPr>
        <w:t>sluit beter aan bij de daadwerkelijke belasting voor de leefomgeving.</w:t>
      </w:r>
    </w:p>
    <w:p w:rsidRPr="00EF20F3" w:rsidR="002F1BBB" w:rsidP="009E30C9" w:rsidRDefault="002F1BBB" w14:paraId="755CAB4B" w14:textId="77777777">
      <w:pPr>
        <w:autoSpaceDE w:val="0"/>
        <w:adjustRightInd w:val="0"/>
        <w:spacing w:line="276" w:lineRule="auto"/>
        <w:textAlignment w:val="auto"/>
        <w:rPr>
          <w:rFonts w:cs="Verdana"/>
          <w:color w:val="auto"/>
        </w:rPr>
      </w:pPr>
    </w:p>
    <w:p w:rsidRPr="00EF20F3" w:rsidR="00F3717E" w:rsidP="009E30C9" w:rsidRDefault="00C550E5" w14:paraId="3C6F0B56" w14:textId="32E71E6F">
      <w:pPr>
        <w:autoSpaceDE w:val="0"/>
        <w:adjustRightInd w:val="0"/>
        <w:spacing w:line="276" w:lineRule="auto"/>
        <w:textAlignment w:val="auto"/>
        <w:rPr>
          <w:rFonts w:cs="Verdana"/>
          <w:color w:val="auto"/>
        </w:rPr>
      </w:pPr>
      <w:r w:rsidRPr="00EF20F3">
        <w:rPr>
          <w:rFonts w:cs="Verdana"/>
          <w:color w:val="auto"/>
        </w:rPr>
        <w:t>H</w:t>
      </w:r>
      <w:r w:rsidRPr="00EF20F3" w:rsidR="00F3717E">
        <w:rPr>
          <w:rFonts w:cs="Verdana"/>
          <w:color w:val="auto"/>
        </w:rPr>
        <w:t xml:space="preserve">et modelbeheer van de BIT </w:t>
      </w:r>
      <w:r w:rsidR="00583E2A">
        <w:rPr>
          <w:rFonts w:cs="Verdana"/>
          <w:color w:val="auto"/>
        </w:rPr>
        <w:t>werd</w:t>
      </w:r>
      <w:r w:rsidRPr="00EF20F3">
        <w:rPr>
          <w:rFonts w:cs="Verdana"/>
          <w:color w:val="auto"/>
        </w:rPr>
        <w:t xml:space="preserve"> in december </w:t>
      </w:r>
      <w:r w:rsidR="00583E2A">
        <w:rPr>
          <w:rFonts w:cs="Verdana"/>
          <w:color w:val="auto"/>
        </w:rPr>
        <w:t>2024</w:t>
      </w:r>
      <w:r w:rsidRPr="00EF20F3">
        <w:rPr>
          <w:rFonts w:cs="Verdana"/>
          <w:color w:val="auto"/>
        </w:rPr>
        <w:t xml:space="preserve"> overgebracht </w:t>
      </w:r>
      <w:r w:rsidRPr="00EF20F3" w:rsidR="00F3717E">
        <w:rPr>
          <w:rFonts w:cs="Verdana"/>
          <w:color w:val="auto"/>
        </w:rPr>
        <w:t xml:space="preserve">van </w:t>
      </w:r>
      <w:r w:rsidRPr="00EF20F3" w:rsidR="00CD3A10">
        <w:rPr>
          <w:rFonts w:cs="Verdana"/>
          <w:color w:val="auto"/>
        </w:rPr>
        <w:t>het Informatiepunt Leefomgeving</w:t>
      </w:r>
      <w:r w:rsidRPr="00EF20F3" w:rsidR="00F3717E">
        <w:rPr>
          <w:rFonts w:cs="Verdana"/>
          <w:color w:val="auto"/>
        </w:rPr>
        <w:t xml:space="preserve"> naar het RIVM. De geactualiseerde BIT zal</w:t>
      </w:r>
      <w:r w:rsidRPr="00EF20F3">
        <w:rPr>
          <w:rFonts w:cs="Verdana"/>
          <w:color w:val="auto"/>
        </w:rPr>
        <w:t xml:space="preserve"> op de Risico’s van Stoffen-website</w:t>
      </w:r>
      <w:r w:rsidRPr="00EF20F3">
        <w:rPr>
          <w:rStyle w:val="FootnoteReference"/>
          <w:rFonts w:cs="Verdana"/>
          <w:color w:val="auto"/>
        </w:rPr>
        <w:footnoteReference w:id="6"/>
      </w:r>
      <w:r w:rsidRPr="00EF20F3" w:rsidR="009416EE">
        <w:rPr>
          <w:rFonts w:cs="Verdana"/>
          <w:color w:val="auto"/>
        </w:rPr>
        <w:t xml:space="preserve"> </w:t>
      </w:r>
      <w:r w:rsidRPr="00EF20F3">
        <w:rPr>
          <w:rFonts w:cs="Verdana"/>
          <w:color w:val="auto"/>
        </w:rPr>
        <w:t>worden ontsloten.</w:t>
      </w:r>
    </w:p>
    <w:p w:rsidRPr="00EF20F3" w:rsidR="00F3717E" w:rsidP="009E30C9" w:rsidRDefault="00F3717E" w14:paraId="47C6C5E2" w14:textId="77777777">
      <w:pPr>
        <w:spacing w:line="276" w:lineRule="auto"/>
        <w:rPr>
          <w:color w:val="auto"/>
          <w:lang w:eastAsia="en-US"/>
        </w:rPr>
      </w:pPr>
    </w:p>
    <w:p w:rsidRPr="00EF20F3" w:rsidR="005D5835" w:rsidP="009E30C9" w:rsidRDefault="0023222D" w14:paraId="1FCEB7FA" w14:textId="43415D18">
      <w:pPr>
        <w:pStyle w:val="ListParagraph"/>
        <w:numPr>
          <w:ilvl w:val="0"/>
          <w:numId w:val="27"/>
        </w:numPr>
        <w:spacing w:line="276" w:lineRule="auto"/>
        <w:rPr>
          <w:color w:val="auto"/>
          <w:lang w:eastAsia="en-US"/>
        </w:rPr>
      </w:pPr>
      <w:r w:rsidRPr="00EF20F3">
        <w:rPr>
          <w:b/>
          <w:bCs/>
          <w:color w:val="auto"/>
        </w:rPr>
        <w:t xml:space="preserve">Ontwikkelingen </w:t>
      </w:r>
      <w:r w:rsidRPr="00EF20F3" w:rsidR="009F4AA7">
        <w:rPr>
          <w:b/>
          <w:bCs/>
          <w:color w:val="auto"/>
        </w:rPr>
        <w:t xml:space="preserve">juridisch </w:t>
      </w:r>
      <w:r w:rsidRPr="00EF20F3">
        <w:rPr>
          <w:b/>
          <w:bCs/>
          <w:color w:val="auto"/>
        </w:rPr>
        <w:t xml:space="preserve">onderzoek mogelijke </w:t>
      </w:r>
      <w:r w:rsidRPr="00EF20F3" w:rsidR="009F4AA7">
        <w:rPr>
          <w:b/>
          <w:bCs/>
          <w:color w:val="auto"/>
        </w:rPr>
        <w:t xml:space="preserve">wettelijke </w:t>
      </w:r>
      <w:r w:rsidRPr="00EF20F3">
        <w:rPr>
          <w:b/>
          <w:bCs/>
          <w:color w:val="auto"/>
        </w:rPr>
        <w:t>verankering voorzorgsbeginsel</w:t>
      </w:r>
      <w:r w:rsidRPr="00EF20F3" w:rsidR="009F4AA7">
        <w:rPr>
          <w:b/>
          <w:bCs/>
          <w:color w:val="auto"/>
        </w:rPr>
        <w:t xml:space="preserve"> </w:t>
      </w:r>
    </w:p>
    <w:p w:rsidRPr="00EF20F3" w:rsidR="005D5835" w:rsidP="009E30C9" w:rsidRDefault="005D5835" w14:paraId="3729EFB7" w14:textId="77777777">
      <w:pPr>
        <w:spacing w:line="276" w:lineRule="auto"/>
        <w:rPr>
          <w:rFonts w:eastAsiaTheme="minorHAnsi" w:cstheme="minorBidi"/>
          <w:b/>
          <w:bCs/>
          <w:color w:val="auto"/>
          <w:kern w:val="2"/>
          <w:lang w:eastAsia="en-US"/>
          <w14:ligatures w14:val="standardContextual"/>
        </w:rPr>
      </w:pPr>
    </w:p>
    <w:p w:rsidRPr="00EF20F3" w:rsidR="0090018A" w:rsidP="009E30C9" w:rsidRDefault="00B77455" w14:paraId="70257709" w14:textId="4DF9F993">
      <w:pPr>
        <w:spacing w:line="276" w:lineRule="auto"/>
        <w:rPr>
          <w:rFonts w:eastAsiaTheme="minorHAnsi" w:cstheme="minorBidi"/>
          <w:color w:val="auto"/>
          <w:kern w:val="2"/>
          <w:lang w:eastAsia="en-US"/>
          <w14:ligatures w14:val="standardContextual"/>
        </w:rPr>
      </w:pPr>
      <w:r w:rsidRPr="00EF20F3">
        <w:rPr>
          <w:rFonts w:eastAsiaTheme="minorHAnsi" w:cstheme="minorBidi"/>
          <w:color w:val="auto"/>
          <w:kern w:val="2"/>
          <w:lang w:eastAsia="en-US"/>
          <w14:ligatures w14:val="standardContextual"/>
        </w:rPr>
        <w:t xml:space="preserve">Tijdens het commissiedebat Leefomgeving op 11 september 2024 </w:t>
      </w:r>
      <w:r w:rsidRPr="00EF20F3" w:rsidR="00EB059D">
        <w:rPr>
          <w:rFonts w:eastAsiaTheme="minorHAnsi" w:cstheme="minorBidi"/>
          <w:color w:val="auto"/>
          <w:kern w:val="2"/>
          <w:lang w:eastAsia="en-US"/>
          <w14:ligatures w14:val="standardContextual"/>
        </w:rPr>
        <w:t>is</w:t>
      </w:r>
      <w:r w:rsidRPr="00EF20F3">
        <w:rPr>
          <w:rFonts w:eastAsiaTheme="minorHAnsi" w:cstheme="minorBidi"/>
          <w:color w:val="auto"/>
          <w:kern w:val="2"/>
          <w:lang w:eastAsia="en-US"/>
          <w14:ligatures w14:val="standardContextual"/>
        </w:rPr>
        <w:t xml:space="preserve"> aan Kamerlid Gabriëls</w:t>
      </w:r>
      <w:r w:rsidR="00D9634E">
        <w:rPr>
          <w:rFonts w:eastAsiaTheme="minorHAnsi" w:cstheme="minorBidi"/>
          <w:color w:val="auto"/>
          <w:kern w:val="2"/>
          <w:lang w:eastAsia="en-US"/>
          <w14:ligatures w14:val="standardContextual"/>
        </w:rPr>
        <w:t xml:space="preserve"> </w:t>
      </w:r>
      <w:r w:rsidRPr="00D9634E" w:rsidR="00D9634E">
        <w:rPr>
          <w:rFonts w:eastAsiaTheme="minorHAnsi" w:cstheme="minorBidi"/>
          <w:color w:val="auto"/>
          <w:kern w:val="2"/>
          <w:lang w:eastAsia="en-US"/>
          <w14:ligatures w14:val="standardContextual"/>
        </w:rPr>
        <w:t>(GroenLinks-PvdA)</w:t>
      </w:r>
      <w:r w:rsidRPr="00EF20F3">
        <w:rPr>
          <w:rFonts w:eastAsiaTheme="minorHAnsi" w:cstheme="minorBidi"/>
          <w:color w:val="auto"/>
          <w:kern w:val="2"/>
          <w:lang w:eastAsia="en-US"/>
          <w14:ligatures w14:val="standardContextual"/>
        </w:rPr>
        <w:t xml:space="preserve"> toegezegd</w:t>
      </w:r>
      <w:r w:rsidRPr="00EF20F3">
        <w:rPr>
          <w:rStyle w:val="FootnoteReference"/>
          <w:rFonts w:eastAsiaTheme="minorHAnsi" w:cstheme="minorBidi"/>
          <w:color w:val="auto"/>
          <w:kern w:val="2"/>
          <w:lang w:eastAsia="en-US"/>
          <w14:ligatures w14:val="standardContextual"/>
        </w:rPr>
        <w:footnoteReference w:id="7"/>
      </w:r>
      <w:r w:rsidRPr="00EF20F3">
        <w:rPr>
          <w:rFonts w:eastAsiaTheme="minorHAnsi" w:cstheme="minorBidi"/>
          <w:color w:val="auto"/>
          <w:kern w:val="2"/>
          <w:lang w:eastAsia="en-US"/>
          <w14:ligatures w14:val="standardContextual"/>
        </w:rPr>
        <w:t xml:space="preserve"> om de Kamer te informeren over de uitkomsten van het juridische onderzoek over de verankering van het voorzorgsbeginsel. In </w:t>
      </w:r>
      <w:r w:rsidR="00CF3BEE">
        <w:rPr>
          <w:rFonts w:eastAsiaTheme="minorHAnsi" w:cstheme="minorBidi"/>
          <w:color w:val="auto"/>
          <w:kern w:val="2"/>
          <w:lang w:eastAsia="en-US"/>
          <w14:ligatures w14:val="standardContextual"/>
        </w:rPr>
        <w:t>een</w:t>
      </w:r>
      <w:r w:rsidRPr="00EF20F3">
        <w:rPr>
          <w:rFonts w:eastAsiaTheme="minorHAnsi" w:cstheme="minorBidi"/>
          <w:color w:val="auto"/>
          <w:kern w:val="2"/>
          <w:lang w:eastAsia="en-US"/>
          <w14:ligatures w14:val="standardContextual"/>
        </w:rPr>
        <w:t xml:space="preserve"> eerdere </w:t>
      </w:r>
      <w:r w:rsidR="00CF3BEE">
        <w:rPr>
          <w:rFonts w:eastAsiaTheme="minorHAnsi" w:cstheme="minorBidi"/>
          <w:color w:val="auto"/>
          <w:kern w:val="2"/>
          <w:lang w:eastAsia="en-US"/>
          <w14:ligatures w14:val="standardContextual"/>
        </w:rPr>
        <w:t>Kamer</w:t>
      </w:r>
      <w:r w:rsidRPr="00EF20F3">
        <w:rPr>
          <w:rFonts w:eastAsiaTheme="minorHAnsi" w:cstheme="minorBidi"/>
          <w:color w:val="auto"/>
          <w:kern w:val="2"/>
          <w:lang w:eastAsia="en-US"/>
          <w14:ligatures w14:val="standardContextual"/>
        </w:rPr>
        <w:t>brief</w:t>
      </w:r>
      <w:r w:rsidRPr="00EF20F3" w:rsidR="00D63071">
        <w:rPr>
          <w:rStyle w:val="FootnoteReference"/>
          <w:rFonts w:eastAsiaTheme="minorHAnsi" w:cstheme="minorBidi"/>
          <w:color w:val="auto"/>
          <w:kern w:val="2"/>
          <w:lang w:eastAsia="en-US"/>
          <w14:ligatures w14:val="standardContextual"/>
        </w:rPr>
        <w:footnoteReference w:id="8"/>
      </w:r>
      <w:r w:rsidRPr="00EF20F3">
        <w:rPr>
          <w:rFonts w:eastAsiaTheme="minorHAnsi" w:cstheme="minorBidi"/>
          <w:color w:val="auto"/>
          <w:kern w:val="2"/>
          <w:lang w:eastAsia="en-US"/>
          <w14:ligatures w14:val="standardContextual"/>
        </w:rPr>
        <w:t xml:space="preserve"> </w:t>
      </w:r>
      <w:r w:rsidRPr="00EF20F3" w:rsidR="00D63071">
        <w:rPr>
          <w:rFonts w:eastAsiaTheme="minorHAnsi" w:cstheme="minorBidi"/>
          <w:color w:val="auto"/>
          <w:kern w:val="2"/>
          <w:lang w:eastAsia="en-US"/>
          <w14:ligatures w14:val="standardContextual"/>
        </w:rPr>
        <w:t xml:space="preserve">en tijdens de Begrotingsbehandeling van </w:t>
      </w:r>
      <w:r w:rsidRPr="00EF20F3" w:rsidR="009203F1">
        <w:rPr>
          <w:color w:val="auto"/>
        </w:rPr>
        <w:t xml:space="preserve">het </w:t>
      </w:r>
      <w:r w:rsidRPr="00EF20F3" w:rsidR="00583765">
        <w:rPr>
          <w:color w:val="auto"/>
        </w:rPr>
        <w:t xml:space="preserve">ministerie van IenW </w:t>
      </w:r>
      <w:r w:rsidRPr="00EF20F3" w:rsidR="009203F1">
        <w:rPr>
          <w:rFonts w:eastAsiaTheme="minorHAnsi" w:cstheme="minorBidi"/>
          <w:color w:val="auto"/>
          <w:kern w:val="2"/>
          <w:lang w:eastAsia="en-US"/>
          <w14:ligatures w14:val="standardContextual"/>
        </w:rPr>
        <w:t>van</w:t>
      </w:r>
      <w:r w:rsidRPr="00EF20F3" w:rsidR="00D63071">
        <w:rPr>
          <w:rFonts w:eastAsiaTheme="minorHAnsi" w:cstheme="minorBidi"/>
          <w:color w:val="auto"/>
          <w:kern w:val="2"/>
          <w:lang w:eastAsia="en-US"/>
          <w14:ligatures w14:val="standardContextual"/>
        </w:rPr>
        <w:t xml:space="preserve"> 2025</w:t>
      </w:r>
      <w:r w:rsidRPr="00EF20F3" w:rsidR="00D63071">
        <w:rPr>
          <w:rStyle w:val="FootnoteReference"/>
          <w:rFonts w:eastAsiaTheme="minorHAnsi" w:cstheme="minorBidi"/>
          <w:color w:val="auto"/>
          <w:kern w:val="2"/>
          <w:lang w:eastAsia="en-US"/>
          <w14:ligatures w14:val="standardContextual"/>
        </w:rPr>
        <w:footnoteReference w:id="9"/>
      </w:r>
      <w:r w:rsidRPr="00EF20F3" w:rsidR="00D63071">
        <w:rPr>
          <w:rFonts w:eastAsiaTheme="minorHAnsi" w:cstheme="minorBidi"/>
          <w:color w:val="auto"/>
          <w:kern w:val="2"/>
          <w:lang w:eastAsia="en-US"/>
          <w14:ligatures w14:val="standardContextual"/>
        </w:rPr>
        <w:t xml:space="preserve"> </w:t>
      </w:r>
      <w:r w:rsidRPr="00EF20F3">
        <w:rPr>
          <w:rFonts w:eastAsiaTheme="minorHAnsi" w:cstheme="minorBidi"/>
          <w:color w:val="auto"/>
          <w:kern w:val="2"/>
          <w:lang w:eastAsia="en-US"/>
          <w14:ligatures w14:val="standardContextual"/>
        </w:rPr>
        <w:t>i</w:t>
      </w:r>
      <w:r w:rsidRPr="00EF20F3" w:rsidR="00EB059D">
        <w:rPr>
          <w:rFonts w:eastAsiaTheme="minorHAnsi" w:cstheme="minorBidi"/>
          <w:color w:val="auto"/>
          <w:kern w:val="2"/>
          <w:lang w:eastAsia="en-US"/>
          <w14:ligatures w14:val="standardContextual"/>
        </w:rPr>
        <w:t>s</w:t>
      </w:r>
      <w:r w:rsidRPr="00EF20F3">
        <w:rPr>
          <w:rFonts w:eastAsiaTheme="minorHAnsi" w:cstheme="minorBidi"/>
          <w:color w:val="auto"/>
          <w:kern w:val="2"/>
          <w:lang w:eastAsia="en-US"/>
          <w14:ligatures w14:val="standardContextual"/>
        </w:rPr>
        <w:t xml:space="preserve"> aangegeven dat wordt nagegaan in hoeverre de in regelgeving vastgelegde informatieplichten beter benut kunnen worden. </w:t>
      </w:r>
      <w:r w:rsidRPr="00EF20F3" w:rsidR="006A4CF3">
        <w:rPr>
          <w:rFonts w:eastAsiaTheme="minorHAnsi" w:cstheme="minorBidi"/>
          <w:color w:val="auto"/>
          <w:kern w:val="2"/>
          <w:lang w:eastAsia="en-US"/>
          <w14:ligatures w14:val="standardContextual"/>
        </w:rPr>
        <w:t>Verder wordt</w:t>
      </w:r>
      <w:r w:rsidRPr="00EF20F3">
        <w:rPr>
          <w:rFonts w:eastAsiaTheme="minorHAnsi" w:cstheme="minorBidi"/>
          <w:color w:val="auto"/>
          <w:kern w:val="2"/>
          <w:lang w:eastAsia="en-US"/>
          <w14:ligatures w14:val="standardContextual"/>
        </w:rPr>
        <w:t xml:space="preserve"> nagegaan of er juridische mogelijkheden zijn om de verdeling van de bewijslast tussen</w:t>
      </w:r>
      <w:r w:rsidRPr="00EF20F3" w:rsidR="006A4CF3">
        <w:rPr>
          <w:rFonts w:eastAsiaTheme="minorHAnsi" w:cstheme="minorBidi"/>
          <w:color w:val="auto"/>
          <w:kern w:val="2"/>
          <w:lang w:eastAsia="en-US"/>
          <w14:ligatures w14:val="standardContextual"/>
        </w:rPr>
        <w:t xml:space="preserve"> het</w:t>
      </w:r>
      <w:r w:rsidRPr="00EF20F3">
        <w:rPr>
          <w:rFonts w:eastAsiaTheme="minorHAnsi" w:cstheme="minorBidi"/>
          <w:color w:val="auto"/>
          <w:kern w:val="2"/>
          <w:lang w:eastAsia="en-US"/>
          <w14:ligatures w14:val="standardContextual"/>
        </w:rPr>
        <w:t xml:space="preserve"> bevoegd gezag en </w:t>
      </w:r>
      <w:r w:rsidRPr="00EF20F3" w:rsidR="006A4CF3">
        <w:rPr>
          <w:rFonts w:eastAsiaTheme="minorHAnsi" w:cstheme="minorBidi"/>
          <w:color w:val="auto"/>
          <w:kern w:val="2"/>
          <w:lang w:eastAsia="en-US"/>
          <w14:ligatures w14:val="standardContextual"/>
        </w:rPr>
        <w:t xml:space="preserve">het </w:t>
      </w:r>
      <w:r w:rsidRPr="00EF20F3">
        <w:rPr>
          <w:rFonts w:eastAsiaTheme="minorHAnsi" w:cstheme="minorBidi"/>
          <w:color w:val="auto"/>
          <w:kern w:val="2"/>
          <w:lang w:eastAsia="en-US"/>
          <w14:ligatures w14:val="standardContextual"/>
        </w:rPr>
        <w:t xml:space="preserve">bedrijf aan te scherpen. </w:t>
      </w:r>
    </w:p>
    <w:p w:rsidRPr="00EF20F3" w:rsidR="0090018A" w:rsidP="009E30C9" w:rsidRDefault="0090018A" w14:paraId="0E104BE2" w14:textId="77777777">
      <w:pPr>
        <w:spacing w:line="276" w:lineRule="auto"/>
        <w:rPr>
          <w:rFonts w:eastAsiaTheme="minorHAnsi" w:cstheme="minorBidi"/>
          <w:color w:val="auto"/>
          <w:kern w:val="2"/>
          <w:lang w:eastAsia="en-US"/>
          <w14:ligatures w14:val="standardContextual"/>
        </w:rPr>
      </w:pPr>
    </w:p>
    <w:p w:rsidRPr="00EF20F3" w:rsidR="006152E6" w:rsidP="009E30C9" w:rsidRDefault="0090018A" w14:paraId="6AF55D76" w14:textId="5C0F9CC7">
      <w:pPr>
        <w:spacing w:line="276" w:lineRule="auto"/>
        <w:rPr>
          <w:color w:val="auto"/>
          <w:lang w:eastAsia="en-US"/>
        </w:rPr>
      </w:pPr>
      <w:r w:rsidRPr="00EF20F3">
        <w:rPr>
          <w:color w:val="auto"/>
        </w:rPr>
        <w:t xml:space="preserve">Het juridisch onderzoek is </w:t>
      </w:r>
      <w:r w:rsidRPr="00EF20F3" w:rsidR="00412385">
        <w:rPr>
          <w:color w:val="auto"/>
        </w:rPr>
        <w:t xml:space="preserve">inhoudelijk </w:t>
      </w:r>
      <w:r w:rsidRPr="00EF20F3">
        <w:rPr>
          <w:color w:val="auto"/>
        </w:rPr>
        <w:t xml:space="preserve">afgerond. De uitkomsten worden nu op schrift gezet. U zult </w:t>
      </w:r>
      <w:r w:rsidRPr="00EF20F3" w:rsidR="00033BCE">
        <w:rPr>
          <w:color w:val="auto"/>
        </w:rPr>
        <w:t>deze</w:t>
      </w:r>
      <w:r w:rsidRPr="00EF20F3">
        <w:rPr>
          <w:color w:val="auto"/>
        </w:rPr>
        <w:t xml:space="preserve"> begin 2025 ontvangen.</w:t>
      </w:r>
      <w:r w:rsidRPr="00EF20F3" w:rsidR="00BD3B4F">
        <w:rPr>
          <w:rFonts w:eastAsiaTheme="minorHAnsi" w:cstheme="minorBidi"/>
          <w:b/>
          <w:bCs/>
          <w:color w:val="auto"/>
          <w:kern w:val="2"/>
          <w:lang w:eastAsia="en-US"/>
          <w14:ligatures w14:val="standardContextual"/>
        </w:rPr>
        <w:br/>
      </w:r>
    </w:p>
    <w:p w:rsidRPr="00EF20F3" w:rsidR="00792422" w:rsidP="009E30C9" w:rsidRDefault="00792422" w14:paraId="54CB6F2A" w14:textId="08A67983">
      <w:pPr>
        <w:pStyle w:val="ListParagraph"/>
        <w:numPr>
          <w:ilvl w:val="0"/>
          <w:numId w:val="27"/>
        </w:numPr>
        <w:autoSpaceDE w:val="0"/>
        <w:adjustRightInd w:val="0"/>
        <w:spacing w:line="276" w:lineRule="auto"/>
        <w:textAlignment w:val="auto"/>
        <w:rPr>
          <w:rFonts w:eastAsiaTheme="minorHAnsi" w:cstheme="minorBidi"/>
          <w:b/>
          <w:bCs/>
          <w:color w:val="auto"/>
          <w:kern w:val="2"/>
          <w:lang w:eastAsia="en-US"/>
          <w14:ligatures w14:val="standardContextual"/>
        </w:rPr>
      </w:pPr>
      <w:r w:rsidRPr="00EF20F3">
        <w:rPr>
          <w:rFonts w:eastAsiaTheme="minorHAnsi" w:cstheme="minorBidi"/>
          <w:b/>
          <w:bCs/>
          <w:color w:val="auto"/>
          <w:kern w:val="2"/>
          <w:lang w:eastAsia="en-US"/>
          <w14:ligatures w14:val="standardContextual"/>
        </w:rPr>
        <w:t>Toepassingen van carbendazim, tebuconazool en propiconazool als biocide</w:t>
      </w:r>
      <w:r w:rsidRPr="00EF20F3" w:rsidR="000B16EB">
        <w:rPr>
          <w:rFonts w:eastAsiaTheme="minorHAnsi" w:cstheme="minorBidi"/>
          <w:b/>
          <w:bCs/>
          <w:color w:val="auto"/>
          <w:kern w:val="2"/>
          <w:lang w:eastAsia="en-US"/>
          <w14:ligatures w14:val="standardContextual"/>
        </w:rPr>
        <w:t>n</w:t>
      </w:r>
      <w:r w:rsidRPr="00EF20F3">
        <w:rPr>
          <w:rFonts w:eastAsiaTheme="minorHAnsi" w:cstheme="minorBidi"/>
          <w:b/>
          <w:bCs/>
          <w:color w:val="auto"/>
          <w:kern w:val="2"/>
          <w:lang w:eastAsia="en-US"/>
          <w14:ligatures w14:val="standardContextual"/>
        </w:rPr>
        <w:t xml:space="preserve"> in Nederland</w:t>
      </w:r>
    </w:p>
    <w:p w:rsidR="005A3173" w:rsidP="009E30C9" w:rsidRDefault="00C62CD1" w14:paraId="4B168C2D" w14:textId="2CCFA477">
      <w:pPr>
        <w:pStyle w:val="pf0"/>
        <w:spacing w:line="276" w:lineRule="auto"/>
        <w:rPr>
          <w:rFonts w:ascii="Verdana" w:hAnsi="Verdana"/>
          <w:sz w:val="18"/>
          <w:szCs w:val="18"/>
        </w:rPr>
      </w:pPr>
      <w:r w:rsidRPr="00EF20F3">
        <w:rPr>
          <w:rStyle w:val="cf01"/>
          <w:rFonts w:ascii="Verdana" w:hAnsi="Verdana" w:cs="Calibri"/>
        </w:rPr>
        <w:t>Recent is op verzoek</w:t>
      </w:r>
      <w:r w:rsidR="00CF3BEE">
        <w:rPr>
          <w:rStyle w:val="cf01"/>
          <w:rFonts w:ascii="Verdana" w:hAnsi="Verdana" w:cs="Calibri"/>
        </w:rPr>
        <w:t xml:space="preserve"> van</w:t>
      </w:r>
      <w:r w:rsidRPr="00EF20F3">
        <w:rPr>
          <w:rStyle w:val="cf01"/>
          <w:rFonts w:ascii="Verdana" w:hAnsi="Verdana" w:cs="Calibri"/>
        </w:rPr>
        <w:t xml:space="preserve"> </w:t>
      </w:r>
      <w:r w:rsidRPr="00CF3BEE" w:rsidR="00CF3BEE">
        <w:rPr>
          <w:rStyle w:val="cf01"/>
          <w:rFonts w:ascii="Verdana" w:hAnsi="Verdana" w:cs="Calibri"/>
        </w:rPr>
        <w:t xml:space="preserve">het ministerie van IenW </w:t>
      </w:r>
      <w:r w:rsidRPr="00EF20F3">
        <w:rPr>
          <w:rStyle w:val="cf01"/>
          <w:rFonts w:ascii="Verdana" w:hAnsi="Verdana" w:cs="Calibri"/>
        </w:rPr>
        <w:t xml:space="preserve">een onderzoek uitgevoerd </w:t>
      </w:r>
      <w:r w:rsidRPr="00EF20F3" w:rsidR="0013652C">
        <w:rPr>
          <w:rStyle w:val="cf01"/>
          <w:rFonts w:ascii="Verdana" w:hAnsi="Verdana" w:cs="Calibri"/>
        </w:rPr>
        <w:t xml:space="preserve">door Antea Group </w:t>
      </w:r>
      <w:r w:rsidRPr="00EF20F3">
        <w:rPr>
          <w:rStyle w:val="cf01"/>
          <w:rFonts w:ascii="Verdana" w:hAnsi="Verdana" w:cs="Calibri"/>
        </w:rPr>
        <w:t>naar het gebruik van carbendazim</w:t>
      </w:r>
      <w:r w:rsidR="00762A08">
        <w:rPr>
          <w:rStyle w:val="cf01"/>
          <w:rFonts w:ascii="Verdana" w:hAnsi="Verdana" w:cs="Calibri"/>
        </w:rPr>
        <w:t>,</w:t>
      </w:r>
      <w:r w:rsidRPr="00EF20F3">
        <w:rPr>
          <w:rStyle w:val="cf01"/>
          <w:rFonts w:ascii="Verdana" w:hAnsi="Verdana" w:cs="Calibri"/>
        </w:rPr>
        <w:t xml:space="preserve"> tebuconazool en propiconazool</w:t>
      </w:r>
      <w:r w:rsidRPr="00EF20F3" w:rsidR="000B16EB">
        <w:rPr>
          <w:rStyle w:val="cf01"/>
          <w:rFonts w:ascii="Verdana" w:hAnsi="Verdana" w:cs="Calibri"/>
        </w:rPr>
        <w:t>.</w:t>
      </w:r>
      <w:r w:rsidRPr="00EF20F3" w:rsidR="00A73C38">
        <w:rPr>
          <w:rStyle w:val="cf01"/>
          <w:rFonts w:ascii="Verdana" w:hAnsi="Verdana" w:cs="Calibri"/>
        </w:rPr>
        <w:t xml:space="preserve"> </w:t>
      </w:r>
      <w:r w:rsidRPr="00EF20F3" w:rsidR="000B16EB">
        <w:rPr>
          <w:rStyle w:val="cf01"/>
          <w:rFonts w:ascii="Verdana" w:hAnsi="Verdana" w:cs="Calibri"/>
        </w:rPr>
        <w:t>D</w:t>
      </w:r>
      <w:r w:rsidRPr="00EF20F3" w:rsidR="00A73C38">
        <w:rPr>
          <w:rStyle w:val="cf01"/>
          <w:rFonts w:ascii="Verdana" w:hAnsi="Verdana" w:cs="Calibri"/>
        </w:rPr>
        <w:t xml:space="preserve">it zijn biociden die worden ingezet </w:t>
      </w:r>
      <w:r w:rsidRPr="00EF20F3">
        <w:rPr>
          <w:rStyle w:val="cf01"/>
          <w:rFonts w:ascii="Verdana" w:hAnsi="Verdana" w:cs="Calibri"/>
        </w:rPr>
        <w:t xml:space="preserve">als conserveermiddel voor beschermlagen, coatings en bouwmaterialen. Het onderzoek richtte zich op deze stoffen omdat </w:t>
      </w:r>
      <w:r w:rsidRPr="00EF20F3">
        <w:rPr>
          <w:rFonts w:ascii="Verdana" w:hAnsi="Verdana" w:cs="Calibri"/>
          <w:sz w:val="18"/>
          <w:szCs w:val="18"/>
          <w:lang w:eastAsia="en-US"/>
        </w:rPr>
        <w:t>carbendazim een van de stoffen is die de aandacht heeft binnen de Kaderrichtlijn Water.</w:t>
      </w:r>
      <w:r w:rsidRPr="00EF20F3">
        <w:rPr>
          <w:rStyle w:val="cf01"/>
          <w:rFonts w:ascii="Verdana" w:hAnsi="Verdana" w:cs="Calibri"/>
        </w:rPr>
        <w:t xml:space="preserve"> Het gebruik van tebuconazool en propiconazool wordt in verband gebracht met resistentievorming van </w:t>
      </w:r>
      <w:r w:rsidRPr="00EF20F3">
        <w:rPr>
          <w:rFonts w:ascii="Verdana" w:hAnsi="Verdana" w:cs="Calibri"/>
          <w:i/>
          <w:iCs/>
          <w:sz w:val="18"/>
          <w:szCs w:val="18"/>
          <w:lang w:eastAsia="en-US"/>
        </w:rPr>
        <w:t xml:space="preserve">Aspergillus fumigatus </w:t>
      </w:r>
      <w:r w:rsidRPr="00EF20F3">
        <w:rPr>
          <w:rFonts w:ascii="Verdana" w:hAnsi="Verdana" w:cs="Calibri"/>
          <w:sz w:val="18"/>
          <w:szCs w:val="18"/>
          <w:lang w:eastAsia="en-US"/>
        </w:rPr>
        <w:t>tegen</w:t>
      </w:r>
      <w:r w:rsidRPr="00EF20F3">
        <w:rPr>
          <w:rFonts w:ascii="Verdana" w:hAnsi="Verdana" w:cs="Calibri"/>
          <w:i/>
          <w:iCs/>
          <w:sz w:val="18"/>
          <w:szCs w:val="18"/>
          <w:lang w:eastAsia="en-US"/>
        </w:rPr>
        <w:t xml:space="preserve"> </w:t>
      </w:r>
      <w:r w:rsidRPr="00EF20F3">
        <w:rPr>
          <w:rFonts w:ascii="Verdana" w:hAnsi="Verdana" w:cs="Calibri"/>
          <w:sz w:val="18"/>
          <w:szCs w:val="18"/>
          <w:lang w:eastAsia="en-US"/>
        </w:rPr>
        <w:t xml:space="preserve">medische azolen (antischimmelmedicatie). </w:t>
      </w:r>
      <w:r w:rsidRPr="00EF20F3" w:rsidR="004A5EE1">
        <w:rPr>
          <w:rFonts w:ascii="Verdana" w:hAnsi="Verdana"/>
          <w:sz w:val="18"/>
          <w:szCs w:val="18"/>
        </w:rPr>
        <w:t xml:space="preserve">Het inademen van </w:t>
      </w:r>
      <w:r w:rsidRPr="00EF20F3" w:rsidR="004A5EE1">
        <w:rPr>
          <w:rFonts w:ascii="Verdana" w:hAnsi="Verdana"/>
          <w:i/>
          <w:iCs/>
          <w:sz w:val="18"/>
          <w:szCs w:val="18"/>
        </w:rPr>
        <w:t>Aspergillus spp</w:t>
      </w:r>
      <w:r w:rsidRPr="00EF20F3" w:rsidR="004A5EE1">
        <w:rPr>
          <w:rFonts w:ascii="Verdana" w:hAnsi="Verdana"/>
          <w:sz w:val="18"/>
          <w:szCs w:val="18"/>
        </w:rPr>
        <w:t xml:space="preserve"> bij gezonde mensen leidt niet tot infecties</w:t>
      </w:r>
      <w:r w:rsidRPr="00EF20F3" w:rsidR="00412385">
        <w:rPr>
          <w:rFonts w:ascii="Verdana" w:hAnsi="Verdana"/>
          <w:sz w:val="18"/>
          <w:szCs w:val="18"/>
        </w:rPr>
        <w:t>.</w:t>
      </w:r>
      <w:r w:rsidRPr="00EF20F3" w:rsidR="004A5EE1">
        <w:rPr>
          <w:rFonts w:ascii="Verdana" w:hAnsi="Verdana"/>
          <w:sz w:val="18"/>
          <w:szCs w:val="18"/>
        </w:rPr>
        <w:t xml:space="preserve"> </w:t>
      </w:r>
      <w:r w:rsidRPr="00EF20F3" w:rsidR="00412385">
        <w:rPr>
          <w:rFonts w:ascii="Verdana" w:hAnsi="Verdana"/>
          <w:sz w:val="18"/>
          <w:szCs w:val="18"/>
        </w:rPr>
        <w:t>B</w:t>
      </w:r>
      <w:r w:rsidRPr="00EF20F3" w:rsidR="004A5EE1">
        <w:rPr>
          <w:rFonts w:ascii="Verdana" w:hAnsi="Verdana"/>
          <w:sz w:val="18"/>
          <w:szCs w:val="18"/>
        </w:rPr>
        <w:t>ij patiënten met een verzwakt immuunsysteem, ernstige griep, Covid-19 of met al bestaande afwijkingen in de longen zou dit wel kunnen leiden tot een levensbedreigende infectie.</w:t>
      </w:r>
      <w:r w:rsidRPr="00EF20F3" w:rsidR="00A73C38">
        <w:rPr>
          <w:rFonts w:ascii="Verdana" w:hAnsi="Verdana"/>
          <w:sz w:val="18"/>
          <w:szCs w:val="18"/>
        </w:rPr>
        <w:t xml:space="preserve"> </w:t>
      </w:r>
    </w:p>
    <w:p w:rsidR="00B26B71" w:rsidP="009E30C9" w:rsidRDefault="000B16EB" w14:paraId="5624501C" w14:textId="77777777">
      <w:pPr>
        <w:pStyle w:val="pf0"/>
        <w:spacing w:line="276" w:lineRule="auto"/>
        <w:rPr>
          <w:rStyle w:val="cf01"/>
          <w:rFonts w:ascii="Verdana" w:hAnsi="Verdana" w:cs="Calibri"/>
        </w:rPr>
      </w:pPr>
      <w:r w:rsidRPr="00EF20F3">
        <w:rPr>
          <w:rStyle w:val="cf01"/>
          <w:rFonts w:ascii="Verdana" w:hAnsi="Verdana" w:cs="Calibri"/>
        </w:rPr>
        <w:t>Het onderzoek treft u hierbij aan (bijlage</w:t>
      </w:r>
      <w:r w:rsidR="00041680">
        <w:rPr>
          <w:rStyle w:val="cf01"/>
          <w:rFonts w:ascii="Verdana" w:hAnsi="Verdana" w:cs="Calibri"/>
        </w:rPr>
        <w:t xml:space="preserve"> 5</w:t>
      </w:r>
      <w:r w:rsidR="00405575">
        <w:rPr>
          <w:rStyle w:val="cf01"/>
          <w:rFonts w:ascii="Verdana" w:hAnsi="Verdana" w:cs="Calibri"/>
        </w:rPr>
        <w:t>)</w:t>
      </w:r>
      <w:r w:rsidRPr="00EF20F3">
        <w:rPr>
          <w:rStyle w:val="cf01"/>
          <w:rFonts w:ascii="Verdana" w:hAnsi="Verdana" w:cs="Calibri"/>
        </w:rPr>
        <w:t xml:space="preserve">. </w:t>
      </w:r>
      <w:r w:rsidRPr="00EF20F3" w:rsidR="00A73C38">
        <w:rPr>
          <w:rStyle w:val="cf01"/>
          <w:rFonts w:ascii="Verdana" w:hAnsi="Verdana" w:cs="Calibri"/>
        </w:rPr>
        <w:t xml:space="preserve">De resultaten </w:t>
      </w:r>
      <w:r w:rsidRPr="00EF20F3" w:rsidR="009203F1">
        <w:rPr>
          <w:rStyle w:val="cf01"/>
          <w:rFonts w:ascii="Verdana" w:hAnsi="Verdana" w:cs="Calibri"/>
        </w:rPr>
        <w:t>worden</w:t>
      </w:r>
      <w:r w:rsidRPr="00EF20F3" w:rsidR="00EB059D">
        <w:rPr>
          <w:rStyle w:val="cf01"/>
          <w:rFonts w:ascii="Verdana" w:hAnsi="Verdana" w:cs="Calibri"/>
        </w:rPr>
        <w:t xml:space="preserve"> gebruikt</w:t>
      </w:r>
      <w:r w:rsidRPr="00EF20F3" w:rsidR="00A73C38">
        <w:rPr>
          <w:rStyle w:val="cf01"/>
          <w:rFonts w:ascii="Verdana" w:hAnsi="Verdana" w:cs="Calibri"/>
        </w:rPr>
        <w:t xml:space="preserve"> in de standpuntbepaling tijdens de herbeoordeling van deze stoffen in Europa. </w:t>
      </w:r>
    </w:p>
    <w:p w:rsidR="00B26B71" w:rsidRDefault="00B26B71" w14:paraId="0D25510E" w14:textId="77777777">
      <w:pPr>
        <w:spacing w:line="240" w:lineRule="auto"/>
        <w:rPr>
          <w:rStyle w:val="cf01"/>
          <w:rFonts w:ascii="Verdana" w:hAnsi="Verdana" w:cs="Calibri"/>
        </w:rPr>
      </w:pPr>
      <w:r>
        <w:rPr>
          <w:rStyle w:val="cf01"/>
          <w:rFonts w:ascii="Verdana" w:hAnsi="Verdana" w:cs="Calibri"/>
        </w:rPr>
        <w:br w:type="page"/>
      </w:r>
    </w:p>
    <w:p w:rsidRPr="00B26B71" w:rsidR="00264509" w:rsidP="00B26B71" w:rsidRDefault="004A5EE1" w14:paraId="17DCA058" w14:textId="4B0B576A">
      <w:pPr>
        <w:spacing w:line="240" w:lineRule="auto"/>
        <w:rPr>
          <w:rStyle w:val="cf01"/>
          <w:rFonts w:ascii="Verdana" w:hAnsi="Verdana" w:eastAsia="Times New Roman" w:cs="Calibri"/>
          <w:color w:val="auto"/>
        </w:rPr>
      </w:pPr>
      <w:r w:rsidRPr="00EF20F3">
        <w:rPr>
          <w:rStyle w:val="cf01"/>
          <w:rFonts w:ascii="Verdana" w:hAnsi="Verdana" w:cs="Calibri"/>
        </w:rPr>
        <w:t xml:space="preserve"> </w:t>
      </w:r>
    </w:p>
    <w:p w:rsidRPr="00264509" w:rsidR="00264509" w:rsidP="009E30C9" w:rsidRDefault="00E35818" w14:paraId="4B402AB0" w14:textId="13815C6D">
      <w:pPr>
        <w:pStyle w:val="ListParagraph"/>
        <w:numPr>
          <w:ilvl w:val="0"/>
          <w:numId w:val="27"/>
        </w:numPr>
        <w:autoSpaceDE w:val="0"/>
        <w:adjustRightInd w:val="0"/>
        <w:spacing w:line="276" w:lineRule="auto"/>
        <w:textAlignment w:val="auto"/>
        <w:rPr>
          <w:color w:val="auto"/>
        </w:rPr>
      </w:pPr>
      <w:r>
        <w:rPr>
          <w:b/>
          <w:bCs/>
          <w:color w:val="auto"/>
        </w:rPr>
        <w:t xml:space="preserve">Het voorzorgbeginsel, dataverzameling biociden met </w:t>
      </w:r>
      <w:r w:rsidR="005A3173">
        <w:rPr>
          <w:b/>
          <w:bCs/>
          <w:color w:val="auto"/>
        </w:rPr>
        <w:t xml:space="preserve">een </w:t>
      </w:r>
      <w:r>
        <w:rPr>
          <w:b/>
          <w:bCs/>
          <w:color w:val="auto"/>
        </w:rPr>
        <w:t xml:space="preserve">nationaal afzetregister, nationaal beleid en de </w:t>
      </w:r>
      <w:r w:rsidRPr="009D2CF6">
        <w:rPr>
          <w:b/>
          <w:bCs/>
          <w:color w:val="auto"/>
        </w:rPr>
        <w:t>circulaireplasticnorm</w:t>
      </w:r>
      <w:r w:rsidRPr="00E35818">
        <w:rPr>
          <w:b/>
          <w:bCs/>
          <w:color w:val="auto"/>
        </w:rPr>
        <w:t>, de</w:t>
      </w:r>
      <w:r>
        <w:rPr>
          <w:b/>
          <w:bCs/>
          <w:color w:val="auto"/>
        </w:rPr>
        <w:t xml:space="preserve"> ZZS-lijst, de pZZS-lijst in relatie tot het voorzorgsprincipe</w:t>
      </w:r>
      <w:bookmarkStart w:name="_Hlk183689016" w:id="9"/>
    </w:p>
    <w:p w:rsidR="00264509" w:rsidP="009E30C9" w:rsidRDefault="00264509" w14:paraId="148B5B3F" w14:textId="77777777">
      <w:pPr>
        <w:spacing w:line="276" w:lineRule="auto"/>
        <w:rPr>
          <w:color w:val="auto"/>
        </w:rPr>
      </w:pPr>
    </w:p>
    <w:p w:rsidRPr="00EF20F3" w:rsidR="00C77639" w:rsidP="009E30C9" w:rsidRDefault="00B108B6" w14:paraId="3CCF5F77" w14:textId="77B276FA">
      <w:pPr>
        <w:spacing w:line="276" w:lineRule="auto"/>
        <w:rPr>
          <w:color w:val="auto"/>
        </w:rPr>
      </w:pPr>
      <w:r w:rsidRPr="00EF20F3">
        <w:rPr>
          <w:color w:val="auto"/>
        </w:rPr>
        <w:t xml:space="preserve">Tijdens </w:t>
      </w:r>
      <w:r w:rsidRPr="00EF20F3" w:rsidR="00401412">
        <w:rPr>
          <w:color w:val="auto"/>
        </w:rPr>
        <w:t xml:space="preserve">de Begrotingsbehandeling </w:t>
      </w:r>
      <w:r w:rsidRPr="00EF20F3">
        <w:rPr>
          <w:color w:val="auto"/>
        </w:rPr>
        <w:t xml:space="preserve">van </w:t>
      </w:r>
      <w:r w:rsidRPr="00EF20F3" w:rsidR="00583765">
        <w:rPr>
          <w:color w:val="auto"/>
        </w:rPr>
        <w:t xml:space="preserve">het ministerie van IenW </w:t>
      </w:r>
      <w:r w:rsidRPr="00EF20F3" w:rsidR="00A54756">
        <w:rPr>
          <w:color w:val="auto"/>
        </w:rPr>
        <w:t>op</w:t>
      </w:r>
      <w:r w:rsidRPr="00EF20F3">
        <w:rPr>
          <w:color w:val="auto"/>
        </w:rPr>
        <w:t xml:space="preserve"> 10 oktober 2024 en tijdens het Commissiedebat Externe Veiligheid </w:t>
      </w:r>
      <w:r w:rsidRPr="00EF20F3" w:rsidR="00A54756">
        <w:rPr>
          <w:color w:val="auto"/>
        </w:rPr>
        <w:t xml:space="preserve">op </w:t>
      </w:r>
      <w:r w:rsidRPr="00EF20F3">
        <w:rPr>
          <w:color w:val="auto"/>
        </w:rPr>
        <w:t xml:space="preserve">16 oktober 2024 </w:t>
      </w:r>
      <w:r w:rsidRPr="00EF20F3" w:rsidR="00EB059D">
        <w:rPr>
          <w:color w:val="auto"/>
        </w:rPr>
        <w:t>is aan Kamerlid Boutkan (PVV)</w:t>
      </w:r>
      <w:r w:rsidRPr="00EF20F3" w:rsidR="008446B3">
        <w:rPr>
          <w:color w:val="auto"/>
        </w:rPr>
        <w:t xml:space="preserve"> toegezegd</w:t>
      </w:r>
      <w:r w:rsidRPr="00EF20F3" w:rsidR="008446B3">
        <w:rPr>
          <w:rStyle w:val="FootnoteReference"/>
          <w:color w:val="auto"/>
        </w:rPr>
        <w:footnoteReference w:id="10"/>
      </w:r>
      <w:r w:rsidRPr="00EF20F3" w:rsidR="008446B3">
        <w:rPr>
          <w:color w:val="auto"/>
        </w:rPr>
        <w:t xml:space="preserve"> </w:t>
      </w:r>
      <w:r w:rsidRPr="00EF20F3" w:rsidR="00C77639">
        <w:rPr>
          <w:color w:val="auto"/>
        </w:rPr>
        <w:t xml:space="preserve">om te bekijken of er sprake is van een nationale kop op een aantal </w:t>
      </w:r>
      <w:r w:rsidRPr="00EF20F3" w:rsidR="00EB059D">
        <w:rPr>
          <w:color w:val="auto"/>
        </w:rPr>
        <w:t>I</w:t>
      </w:r>
      <w:r w:rsidRPr="00EF20F3" w:rsidR="009203F1">
        <w:rPr>
          <w:color w:val="auto"/>
        </w:rPr>
        <w:t>en</w:t>
      </w:r>
      <w:r w:rsidRPr="00EF20F3" w:rsidR="00EB059D">
        <w:rPr>
          <w:color w:val="auto"/>
        </w:rPr>
        <w:t>W-</w:t>
      </w:r>
      <w:r w:rsidRPr="00EF20F3" w:rsidR="00C77639">
        <w:rPr>
          <w:color w:val="auto"/>
        </w:rPr>
        <w:t>beleidsterreinen</w:t>
      </w:r>
      <w:r w:rsidRPr="00EF20F3" w:rsidR="00EB059D">
        <w:rPr>
          <w:color w:val="auto"/>
        </w:rPr>
        <w:t xml:space="preserve">. </w:t>
      </w:r>
      <w:r w:rsidRPr="00EF20F3" w:rsidR="00412385">
        <w:rPr>
          <w:color w:val="auto"/>
        </w:rPr>
        <w:t xml:space="preserve">De vraag richtte zich op </w:t>
      </w:r>
      <w:r w:rsidR="005A3173">
        <w:rPr>
          <w:color w:val="auto"/>
        </w:rPr>
        <w:t>h</w:t>
      </w:r>
      <w:r w:rsidRPr="00F91517" w:rsidR="005A3173">
        <w:rPr>
          <w:color w:val="auto"/>
        </w:rPr>
        <w:t>et voorzorgbeginsel</w:t>
      </w:r>
      <w:r w:rsidRPr="00F91517" w:rsidR="005A3173">
        <w:t xml:space="preserve">, </w:t>
      </w:r>
      <w:r w:rsidRPr="00F91517" w:rsidR="005A3173">
        <w:rPr>
          <w:color w:val="auto"/>
        </w:rPr>
        <w:t>dataverzameling biociden met</w:t>
      </w:r>
      <w:r w:rsidR="005A3173">
        <w:rPr>
          <w:color w:val="auto"/>
        </w:rPr>
        <w:t xml:space="preserve"> een</w:t>
      </w:r>
      <w:r w:rsidRPr="00F91517" w:rsidR="005A3173">
        <w:rPr>
          <w:color w:val="auto"/>
        </w:rPr>
        <w:t xml:space="preserve"> nationaal afzetregister, nationaal beleid en de circulaireplasticnorm, de ZZS-lijst, de pZZS-lijst i.r.t het voorzorgsprincipe</w:t>
      </w:r>
      <w:r w:rsidR="005A3173">
        <w:rPr>
          <w:color w:val="auto"/>
        </w:rPr>
        <w:t xml:space="preserve">. </w:t>
      </w:r>
      <w:r w:rsidRPr="00EF20F3" w:rsidR="0060009B">
        <w:rPr>
          <w:color w:val="auto"/>
        </w:rPr>
        <w:t>Het bedrijfsleven zou deze als nationale koppen op de regelgeving ervaren.</w:t>
      </w:r>
    </w:p>
    <w:p w:rsidRPr="00EF20F3" w:rsidR="00711CFE" w:rsidP="009E30C9" w:rsidRDefault="00711CFE" w14:paraId="2CE44184" w14:textId="77777777">
      <w:pPr>
        <w:spacing w:line="276" w:lineRule="auto"/>
        <w:rPr>
          <w:color w:val="auto"/>
        </w:rPr>
      </w:pPr>
    </w:p>
    <w:p w:rsidRPr="00EF20F3" w:rsidR="000B16EB" w:rsidP="009E30C9" w:rsidRDefault="0090018A" w14:paraId="72B5D11B" w14:textId="30457085">
      <w:pPr>
        <w:spacing w:line="276" w:lineRule="auto"/>
        <w:rPr>
          <w:color w:val="auto"/>
        </w:rPr>
      </w:pPr>
      <w:r w:rsidRPr="00EF20F3">
        <w:rPr>
          <w:color w:val="auto"/>
        </w:rPr>
        <w:t xml:space="preserve">Voordat </w:t>
      </w:r>
      <w:r w:rsidRPr="00EF20F3" w:rsidR="00F02C96">
        <w:rPr>
          <w:color w:val="auto"/>
        </w:rPr>
        <w:t xml:space="preserve">er </w:t>
      </w:r>
      <w:r w:rsidRPr="00EF20F3">
        <w:rPr>
          <w:color w:val="auto"/>
        </w:rPr>
        <w:t xml:space="preserve">wordt ingegaan op de vijf onderwerpen, </w:t>
      </w:r>
      <w:r w:rsidRPr="00EF20F3" w:rsidR="00F02C96">
        <w:rPr>
          <w:color w:val="auto"/>
        </w:rPr>
        <w:t>wordt er</w:t>
      </w:r>
      <w:r w:rsidRPr="00EF20F3">
        <w:rPr>
          <w:color w:val="auto"/>
        </w:rPr>
        <w:t xml:space="preserve"> hieronder eerst aan</w:t>
      </w:r>
      <w:r w:rsidRPr="00EF20F3" w:rsidR="00F02C96">
        <w:rPr>
          <w:color w:val="auto"/>
        </w:rPr>
        <w:t>gegeven</w:t>
      </w:r>
      <w:r w:rsidRPr="00EF20F3">
        <w:rPr>
          <w:color w:val="auto"/>
        </w:rPr>
        <w:t xml:space="preserve"> wanneer gesproken kan worden van een nationale kop en wanneer niet. </w:t>
      </w:r>
      <w:r w:rsidRPr="00EF20F3" w:rsidR="001D3B4F">
        <w:rPr>
          <w:color w:val="auto"/>
        </w:rPr>
        <w:t xml:space="preserve">Volgens de technische definitie </w:t>
      </w:r>
      <w:r w:rsidRPr="00EF20F3" w:rsidR="00C95852">
        <w:rPr>
          <w:color w:val="auto"/>
        </w:rPr>
        <w:t xml:space="preserve">is sprake </w:t>
      </w:r>
      <w:r w:rsidRPr="00EF20F3" w:rsidR="001D3B4F">
        <w:rPr>
          <w:color w:val="auto"/>
        </w:rPr>
        <w:t xml:space="preserve">van een nationale kop in de gevallen waarin </w:t>
      </w:r>
      <w:r w:rsidRPr="00EF20F3" w:rsidR="00C95852">
        <w:rPr>
          <w:color w:val="auto"/>
        </w:rPr>
        <w:t xml:space="preserve">er </w:t>
      </w:r>
      <w:r w:rsidRPr="00EF20F3" w:rsidR="001D3B4F">
        <w:rPr>
          <w:color w:val="auto"/>
        </w:rPr>
        <w:t xml:space="preserve">een Europese richtlijn </w:t>
      </w:r>
      <w:r w:rsidRPr="00EF20F3" w:rsidR="00C95852">
        <w:rPr>
          <w:color w:val="auto"/>
        </w:rPr>
        <w:t xml:space="preserve">is </w:t>
      </w:r>
      <w:r w:rsidRPr="00EF20F3" w:rsidR="001D3B4F">
        <w:rPr>
          <w:color w:val="auto"/>
        </w:rPr>
        <w:t>waarbij Nederlandse regelgeving verdergaande verplichtingen stelt dan waar</w:t>
      </w:r>
      <w:r w:rsidRPr="00EF20F3" w:rsidR="00326D89">
        <w:rPr>
          <w:color w:val="auto"/>
        </w:rPr>
        <w:t>toe</w:t>
      </w:r>
      <w:r w:rsidRPr="00EF20F3" w:rsidR="001D3B4F">
        <w:rPr>
          <w:color w:val="auto"/>
        </w:rPr>
        <w:t xml:space="preserve"> die EU-richtlijn verplicht, voor precies dezelfde materie.</w:t>
      </w:r>
      <w:r w:rsidR="0022666D">
        <w:rPr>
          <w:color w:val="auto"/>
        </w:rPr>
        <w:t xml:space="preserve"> </w:t>
      </w:r>
      <w:r w:rsidRPr="0022666D" w:rsidR="0022666D">
        <w:rPr>
          <w:rFonts w:cs="Verdana"/>
        </w:rPr>
        <w:t>Daarna moet beoordeeld worden of sprake is van concurrentienadeel voor het Nederlandse bedrijfsleven.</w:t>
      </w:r>
    </w:p>
    <w:p w:rsidRPr="00EF20F3" w:rsidR="0090018A" w:rsidP="009E30C9" w:rsidRDefault="0090018A" w14:paraId="3D8BB36C" w14:textId="77777777">
      <w:pPr>
        <w:spacing w:line="276" w:lineRule="auto"/>
        <w:rPr>
          <w:color w:val="auto"/>
        </w:rPr>
      </w:pPr>
    </w:p>
    <w:bookmarkEnd w:id="9"/>
    <w:p w:rsidRPr="002B49E3" w:rsidR="0022666D" w:rsidP="009E30C9" w:rsidRDefault="0022666D" w14:paraId="72F8FA6B" w14:textId="3E3A2516">
      <w:pPr>
        <w:spacing w:line="276" w:lineRule="auto"/>
      </w:pPr>
      <w:r w:rsidRPr="002B49E3">
        <w:t>Het is belangrijk om ervoor te zorgen dat bedrijven in Nederland een gelijk speelveld behouden met andere Europese bedrijven. Tegelijkertijd kunnen</w:t>
      </w:r>
      <w:r>
        <w:t xml:space="preserve"> </w:t>
      </w:r>
      <w:r w:rsidRPr="002B49E3">
        <w:t>politieke of maatschappelijke redenen zijn om</w:t>
      </w:r>
      <w:r>
        <w:t>,</w:t>
      </w:r>
      <w:r w:rsidRPr="002B49E3">
        <w:t xml:space="preserve"> na een afweging van alle betrokken belangen</w:t>
      </w:r>
      <w:r>
        <w:t>,</w:t>
      </w:r>
      <w:r w:rsidRPr="002B49E3">
        <w:t xml:space="preserve"> toch te kiezen voor </w:t>
      </w:r>
      <w:r>
        <w:t>verdergaande maatregelen. Dit kan nodig zijn om een bepaald doel te behalen, b</w:t>
      </w:r>
      <w:r w:rsidRPr="002B49E3">
        <w:t xml:space="preserve">ijvoorbeeld </w:t>
      </w:r>
      <w:r>
        <w:t>de</w:t>
      </w:r>
      <w:r w:rsidRPr="002B49E3">
        <w:t xml:space="preserve"> bescherming van belangen van consumenten of </w:t>
      </w:r>
      <w:r>
        <w:t>de bescherming van</w:t>
      </w:r>
      <w:r w:rsidRPr="002B49E3">
        <w:t xml:space="preserve"> omwonenden </w:t>
      </w:r>
      <w:r>
        <w:t>tegen schadelijke</w:t>
      </w:r>
      <w:r w:rsidRPr="002B49E3">
        <w:t xml:space="preserve"> chemische stoffen</w:t>
      </w:r>
      <w:r>
        <w:t xml:space="preserve">. </w:t>
      </w:r>
      <w:r w:rsidRPr="002B49E3">
        <w:t>Het proces van totstandkoming van</w:t>
      </w:r>
      <w:r>
        <w:t xml:space="preserve"> </w:t>
      </w:r>
      <w:r w:rsidRPr="002B49E3">
        <w:t xml:space="preserve">regelgeving </w:t>
      </w:r>
      <w:r>
        <w:t xml:space="preserve">met daarin de verdergaande maatregelen </w:t>
      </w:r>
      <w:r w:rsidRPr="002B49E3">
        <w:t>borgt een zorgvuldige afweging en politieke en maatschappelijke betrokkenheid.</w:t>
      </w:r>
    </w:p>
    <w:p w:rsidR="008446B3" w:rsidP="009E30C9" w:rsidRDefault="008446B3" w14:paraId="0FC8632F" w14:textId="2C9C8108">
      <w:pPr>
        <w:spacing w:line="276" w:lineRule="auto"/>
        <w:rPr>
          <w:color w:val="auto"/>
        </w:rPr>
      </w:pPr>
    </w:p>
    <w:p w:rsidRPr="00EF20F3" w:rsidR="00A415F2" w:rsidP="009E30C9" w:rsidRDefault="00A415F2" w14:paraId="129A136F" w14:textId="77777777">
      <w:pPr>
        <w:spacing w:line="276" w:lineRule="auto"/>
        <w:rPr>
          <w:i/>
          <w:iCs/>
          <w:color w:val="auto"/>
        </w:rPr>
      </w:pPr>
      <w:bookmarkStart w:name="_Hlk187947201" w:id="10"/>
      <w:r w:rsidRPr="00EF20F3">
        <w:rPr>
          <w:i/>
          <w:iCs/>
          <w:color w:val="auto"/>
        </w:rPr>
        <w:t xml:space="preserve">Het voorzorgbeginsel </w:t>
      </w:r>
      <w:bookmarkEnd w:id="10"/>
    </w:p>
    <w:p w:rsidRPr="00EF20F3" w:rsidR="00A415F2" w:rsidP="009E30C9" w:rsidRDefault="00A415F2" w14:paraId="3BE83C5A" w14:textId="1994BCA9">
      <w:pPr>
        <w:spacing w:line="276" w:lineRule="auto"/>
        <w:rPr>
          <w:color w:val="auto"/>
        </w:rPr>
      </w:pPr>
      <w:r w:rsidRPr="00EF20F3">
        <w:rPr>
          <w:color w:val="auto"/>
        </w:rPr>
        <w:t xml:space="preserve">Het voorzorgbeginsel is </w:t>
      </w:r>
      <w:r>
        <w:rPr>
          <w:color w:val="auto"/>
        </w:rPr>
        <w:t xml:space="preserve">een </w:t>
      </w:r>
      <w:r w:rsidRPr="00EF20F3">
        <w:rPr>
          <w:color w:val="auto"/>
        </w:rPr>
        <w:t>in</w:t>
      </w:r>
      <w:r>
        <w:rPr>
          <w:color w:val="auto"/>
        </w:rPr>
        <w:t xml:space="preserve"> </w:t>
      </w:r>
      <w:r w:rsidRPr="00EF20F3">
        <w:rPr>
          <w:color w:val="auto"/>
        </w:rPr>
        <w:t>(inter)nationale verdragen</w:t>
      </w:r>
      <w:r>
        <w:rPr>
          <w:color w:val="auto"/>
        </w:rPr>
        <w:t xml:space="preserve"> opgenomen beginsel.</w:t>
      </w:r>
      <w:r w:rsidR="00AC4CB6">
        <w:rPr>
          <w:color w:val="auto"/>
        </w:rPr>
        <w:t xml:space="preserve"> </w:t>
      </w:r>
      <w:r>
        <w:rPr>
          <w:color w:val="auto"/>
        </w:rPr>
        <w:t xml:space="preserve">Het wordt onder meer gebruikt bij beleidsvorming en bij het opstellen van algemeen verbindende voorschriften. Denk hierbij aan het werkingsverdrag van de EU en de Omgevingswet. </w:t>
      </w:r>
      <w:r w:rsidRPr="00EF20F3">
        <w:rPr>
          <w:color w:val="auto"/>
        </w:rPr>
        <w:t xml:space="preserve">Dit is geen nationale kop, omdat het geen verdergaande verplichtingen bevat dan gesteld in een EU-richtlijn. </w:t>
      </w:r>
    </w:p>
    <w:p w:rsidR="00A415F2" w:rsidP="009E30C9" w:rsidRDefault="00A415F2" w14:paraId="17A34360" w14:textId="77777777">
      <w:pPr>
        <w:spacing w:line="276" w:lineRule="auto"/>
        <w:rPr>
          <w:color w:val="auto"/>
        </w:rPr>
      </w:pPr>
    </w:p>
    <w:p w:rsidRPr="00EF20F3" w:rsidR="00A415F2" w:rsidP="009E30C9" w:rsidRDefault="00A415F2" w14:paraId="2F1592F3" w14:textId="77777777">
      <w:pPr>
        <w:spacing w:line="276" w:lineRule="auto"/>
        <w:rPr>
          <w:i/>
          <w:iCs/>
          <w:color w:val="auto"/>
        </w:rPr>
      </w:pPr>
      <w:bookmarkStart w:name="_Hlk187947210" w:id="11"/>
      <w:r w:rsidRPr="00EF20F3">
        <w:rPr>
          <w:i/>
          <w:iCs/>
          <w:color w:val="auto"/>
        </w:rPr>
        <w:t>Dataverzameling biociden met nationaal afzetregister</w:t>
      </w:r>
    </w:p>
    <w:bookmarkEnd w:id="11"/>
    <w:p w:rsidR="00DB41A6" w:rsidP="009E30C9" w:rsidRDefault="00A415F2" w14:paraId="650B7EB5" w14:textId="77777777">
      <w:pPr>
        <w:spacing w:line="276" w:lineRule="auto"/>
        <w:rPr>
          <w:color w:val="auto"/>
        </w:rPr>
      </w:pPr>
      <w:r w:rsidRPr="00EF20F3">
        <w:rPr>
          <w:color w:val="auto"/>
        </w:rPr>
        <w:t xml:space="preserve">Er is geen EU-richtlijn die bepaalt dat Nederland een wettelijke verplichting heeft tot dataverzameling van biociden. Er is ook geen nationale regelgeving op dit ogenblik. Er is nu een pilot gaande naar de dataverzameling van biociden met een nationaal afzetregister. Op dit moment zijn er geen betrouwbare gegevens over biociden-verkoop en -gebruik. Daarmee ontbreekt inzicht in de belasting door het gebruik van biociden op mens, dier en milieu. Afzetcijfers zijn een eerste stap om de effectiviteit van het beleid beter in beeld te krijgen, beleidsinspanningen te prioriteren en zo nodig bij te sturen. </w:t>
      </w:r>
    </w:p>
    <w:p w:rsidR="00DB41A6" w:rsidP="009E30C9" w:rsidRDefault="00DB41A6" w14:paraId="414B1B19" w14:textId="77777777">
      <w:pPr>
        <w:spacing w:line="276" w:lineRule="auto"/>
        <w:rPr>
          <w:color w:val="auto"/>
        </w:rPr>
      </w:pPr>
    </w:p>
    <w:p w:rsidRPr="00EF20F3" w:rsidR="00A415F2" w:rsidP="009E30C9" w:rsidRDefault="00A415F2" w14:paraId="4FD0B255" w14:textId="0508E523">
      <w:pPr>
        <w:spacing w:line="276" w:lineRule="auto"/>
        <w:rPr>
          <w:color w:val="auto"/>
        </w:rPr>
      </w:pPr>
      <w:r w:rsidRPr="00EF20F3">
        <w:rPr>
          <w:color w:val="auto"/>
        </w:rPr>
        <w:t>Het Centraal Bureau voor de Statistiek (CBS) voert een pilotonderzoek uit om te verkennen wat de mogelijkheden zijn voor het opzetten van een afzetregister voor biociden in Nederland. De resultaten hiervan worden eind 2025 verwacht. Het aanleveren van gegevens voor deze pilot is vrijwillig. Er is geen regelgeving die hiertoe verplicht. Dit is dus geen nationale kop.</w:t>
      </w:r>
      <w:r>
        <w:rPr>
          <w:color w:val="auto"/>
        </w:rPr>
        <w:t xml:space="preserve"> </w:t>
      </w:r>
      <w:r w:rsidRPr="00EF20F3">
        <w:rPr>
          <w:color w:val="auto"/>
        </w:rPr>
        <w:t xml:space="preserve">Na afronding van de pilot zal besluitvorming plaatsvinden over het wel of niet opzetten van een nationaal afzetregister biociden. Daarbij wordt rekening gehouden met de ontwikkelingen die in andere Europese lidstaten op dit onderwerp ook al gaande zijn. </w:t>
      </w:r>
    </w:p>
    <w:p w:rsidRPr="00EF20F3" w:rsidR="00A415F2" w:rsidP="009E30C9" w:rsidRDefault="00A415F2" w14:paraId="5DC6190D" w14:textId="77777777">
      <w:pPr>
        <w:spacing w:line="276" w:lineRule="auto"/>
        <w:rPr>
          <w:color w:val="auto"/>
        </w:rPr>
      </w:pPr>
    </w:p>
    <w:p w:rsidRPr="00EF20F3" w:rsidR="00DD2306" w:rsidP="009E30C9" w:rsidRDefault="00DD2306" w14:paraId="4089B116" w14:textId="77777777">
      <w:pPr>
        <w:spacing w:line="276" w:lineRule="auto"/>
        <w:rPr>
          <w:i/>
          <w:iCs/>
          <w:color w:val="auto"/>
        </w:rPr>
      </w:pPr>
      <w:bookmarkStart w:name="_Hlk187947220" w:id="12"/>
      <w:bookmarkStart w:name="_Hlk187945754" w:id="13"/>
      <w:bookmarkStart w:name="_Hlk183689713" w:id="14"/>
      <w:r w:rsidRPr="00EF20F3">
        <w:rPr>
          <w:i/>
          <w:iCs/>
          <w:color w:val="auto"/>
        </w:rPr>
        <w:t>De circulaireplasticnorm</w:t>
      </w:r>
    </w:p>
    <w:bookmarkEnd w:id="12"/>
    <w:p w:rsidR="00BC3768" w:rsidP="009E30C9" w:rsidRDefault="00DD2306" w14:paraId="65A67B09" w14:textId="77777777">
      <w:pPr>
        <w:spacing w:line="276" w:lineRule="auto"/>
        <w:rPr>
          <w:color w:val="auto"/>
        </w:rPr>
      </w:pPr>
      <w:r w:rsidRPr="00EF20F3">
        <w:rPr>
          <w:color w:val="auto"/>
        </w:rPr>
        <w:t xml:space="preserve">Het ministerie van IenW werkt, in samenwerking met het ministerie van Klimaat en Groene Groei (KGG), aan een wetsvoorstel voor een circulaireplasticnorm. </w:t>
      </w:r>
      <w:r>
        <w:rPr>
          <w:color w:val="auto"/>
        </w:rPr>
        <w:t>Het oogmerk van het wetsvoorstel is v</w:t>
      </w:r>
      <w:r w:rsidRPr="00EF20F3">
        <w:rPr>
          <w:color w:val="auto"/>
        </w:rPr>
        <w:t xml:space="preserve">anaf 2027 verwerkers van polymeren </w:t>
      </w:r>
      <w:r>
        <w:rPr>
          <w:color w:val="auto"/>
        </w:rPr>
        <w:t xml:space="preserve">te </w:t>
      </w:r>
      <w:r w:rsidRPr="00EF20F3">
        <w:rPr>
          <w:color w:val="auto"/>
        </w:rPr>
        <w:t>verplicht</w:t>
      </w:r>
      <w:r>
        <w:rPr>
          <w:color w:val="auto"/>
        </w:rPr>
        <w:t>en</w:t>
      </w:r>
      <w:r w:rsidRPr="00EF20F3">
        <w:rPr>
          <w:color w:val="auto"/>
        </w:rPr>
        <w:t xml:space="preserve"> om een minimumpercentage fossiele polymeren te vervangen door gerecycleerde of biogebaseerde polymeren. </w:t>
      </w:r>
    </w:p>
    <w:p w:rsidR="00BC3768" w:rsidP="009E30C9" w:rsidRDefault="00BC3768" w14:paraId="172F2408" w14:textId="77777777">
      <w:pPr>
        <w:spacing w:line="276" w:lineRule="auto"/>
        <w:rPr>
          <w:color w:val="auto"/>
        </w:rPr>
      </w:pPr>
    </w:p>
    <w:p w:rsidRPr="006C1785" w:rsidR="00DD2306" w:rsidP="009E30C9" w:rsidRDefault="00DD2306" w14:paraId="2A5EE234" w14:textId="600411E3">
      <w:pPr>
        <w:spacing w:line="276" w:lineRule="auto"/>
        <w:rPr>
          <w:color w:val="auto"/>
        </w:rPr>
      </w:pPr>
      <w:r>
        <w:rPr>
          <w:color w:val="auto"/>
        </w:rPr>
        <w:t xml:space="preserve">De circulaireplasticnorm bevordert </w:t>
      </w:r>
      <w:r w:rsidRPr="00EF20F3">
        <w:rPr>
          <w:color w:val="auto"/>
        </w:rPr>
        <w:t>circulariteit</w:t>
      </w:r>
      <w:r>
        <w:rPr>
          <w:color w:val="auto"/>
        </w:rPr>
        <w:t xml:space="preserve"> en draagt bij aan het realiseren van </w:t>
      </w:r>
      <w:r w:rsidRPr="00EF20F3">
        <w:rPr>
          <w:color w:val="auto"/>
        </w:rPr>
        <w:t>de nationale klimaatdoelen die zijn vastgelegd in de klimaatwet.</w:t>
      </w:r>
      <w:r>
        <w:rPr>
          <w:color w:val="auto"/>
        </w:rPr>
        <w:t xml:space="preserve"> Om de beweging naar een </w:t>
      </w:r>
      <w:r w:rsidRPr="00ED1E3E">
        <w:rPr>
          <w:color w:val="auto"/>
        </w:rPr>
        <w:t xml:space="preserve">circulaire economie </w:t>
      </w:r>
      <w:r>
        <w:rPr>
          <w:color w:val="auto"/>
        </w:rPr>
        <w:t>te ondersteunen, kunnen bedrijven gebruik maken van subsidies die worden gefinancierd uit het Klimaatfonds. D</w:t>
      </w:r>
      <w:r w:rsidRPr="006C1785">
        <w:rPr>
          <w:color w:val="auto"/>
        </w:rPr>
        <w:t>e circulaireplasticnorm bied</w:t>
      </w:r>
      <w:r>
        <w:rPr>
          <w:color w:val="auto"/>
        </w:rPr>
        <w:t xml:space="preserve">t </w:t>
      </w:r>
      <w:r w:rsidRPr="006C1785">
        <w:rPr>
          <w:color w:val="auto"/>
        </w:rPr>
        <w:t xml:space="preserve">recyclers en producenten van </w:t>
      </w:r>
      <w:r>
        <w:rPr>
          <w:color w:val="auto"/>
        </w:rPr>
        <w:t>circulair</w:t>
      </w:r>
      <w:r w:rsidRPr="006C1785">
        <w:rPr>
          <w:color w:val="auto"/>
        </w:rPr>
        <w:t xml:space="preserve"> plastic perspectief</w:t>
      </w:r>
      <w:r>
        <w:rPr>
          <w:color w:val="auto"/>
        </w:rPr>
        <w:t xml:space="preserve"> door </w:t>
      </w:r>
      <w:r w:rsidRPr="006C1785">
        <w:rPr>
          <w:color w:val="auto"/>
        </w:rPr>
        <w:t xml:space="preserve">een afzetmarkt </w:t>
      </w:r>
      <w:r>
        <w:rPr>
          <w:color w:val="auto"/>
        </w:rPr>
        <w:t xml:space="preserve">te creëren </w:t>
      </w:r>
      <w:r w:rsidRPr="006C1785">
        <w:rPr>
          <w:color w:val="auto"/>
        </w:rPr>
        <w:t>voor circulair p</w:t>
      </w:r>
      <w:r>
        <w:rPr>
          <w:color w:val="auto"/>
        </w:rPr>
        <w:t>lastic.</w:t>
      </w:r>
    </w:p>
    <w:p w:rsidR="00DD2306" w:rsidP="009E30C9" w:rsidRDefault="00DD2306" w14:paraId="1518A5C8" w14:textId="77777777">
      <w:pPr>
        <w:spacing w:line="276" w:lineRule="auto"/>
        <w:rPr>
          <w:color w:val="auto"/>
        </w:rPr>
      </w:pPr>
    </w:p>
    <w:p w:rsidRPr="00EF20F3" w:rsidR="00DD2306" w:rsidP="009E30C9" w:rsidRDefault="00DD2306" w14:paraId="6D9CA8AB" w14:textId="6B061AA6">
      <w:pPr>
        <w:spacing w:line="276" w:lineRule="auto"/>
        <w:rPr>
          <w:color w:val="auto"/>
        </w:rPr>
      </w:pPr>
      <w:r w:rsidRPr="001B1EA9">
        <w:rPr>
          <w:color w:val="auto"/>
        </w:rPr>
        <w:t xml:space="preserve">De circulaireplasticnorm is geen nationale kop </w:t>
      </w:r>
      <w:r w:rsidRPr="000F6B7D">
        <w:rPr>
          <w:color w:val="auto"/>
        </w:rPr>
        <w:t xml:space="preserve">(zie </w:t>
      </w:r>
      <w:r>
        <w:rPr>
          <w:color w:val="auto"/>
        </w:rPr>
        <w:t>de</w:t>
      </w:r>
      <w:r w:rsidR="00DB41A6">
        <w:rPr>
          <w:color w:val="auto"/>
        </w:rPr>
        <w:t xml:space="preserve"> eerder genoemde</w:t>
      </w:r>
      <w:r>
        <w:rPr>
          <w:color w:val="auto"/>
        </w:rPr>
        <w:t xml:space="preserve"> definitie)</w:t>
      </w:r>
      <w:r w:rsidRPr="000F6B7D">
        <w:rPr>
          <w:color w:val="auto"/>
        </w:rPr>
        <w:t xml:space="preserve"> </w:t>
      </w:r>
      <w:r w:rsidRPr="001B1EA9">
        <w:rPr>
          <w:color w:val="auto"/>
        </w:rPr>
        <w:t>en loopt niet vooruit op Europese wetgeving. Er is immers geen Europese regelgeving voor het verplicht verwerken van circulaire grondstoffen (polymeren) bij het maken van plastic. Op Europees niveau</w:t>
      </w:r>
      <w:r w:rsidRPr="00B37D24">
        <w:rPr>
          <w:color w:val="auto"/>
        </w:rPr>
        <w:t xml:space="preserve"> zijn wel productspecifieke recyclaateisen </w:t>
      </w:r>
      <w:r>
        <w:rPr>
          <w:color w:val="auto"/>
        </w:rPr>
        <w:t>vastgesteld (per 2030 moeten in v</w:t>
      </w:r>
      <w:r w:rsidRPr="00B37D24">
        <w:rPr>
          <w:color w:val="auto"/>
        </w:rPr>
        <w:t xml:space="preserve">erpakkingen </w:t>
      </w:r>
      <w:r>
        <w:rPr>
          <w:color w:val="auto"/>
        </w:rPr>
        <w:t>bepaalde verplichte percentages recyclaat worden toegepast). Deze productspecifieke</w:t>
      </w:r>
      <w:r w:rsidRPr="00EF20F3">
        <w:rPr>
          <w:color w:val="auto"/>
        </w:rPr>
        <w:t xml:space="preserve"> recyclaateisen zullen de recyclaatmarkt op termijn verbeteren door het stimuleren van de vraag naar producten die gemaakt zijn van recyclaat</w:t>
      </w:r>
      <w:r>
        <w:rPr>
          <w:color w:val="auto"/>
        </w:rPr>
        <w:t xml:space="preserve">. </w:t>
      </w:r>
      <w:r w:rsidRPr="002B1071">
        <w:rPr>
          <w:color w:val="auto"/>
        </w:rPr>
        <w:t xml:space="preserve">Met de circulaireplasticnorm ontwikkelen we de vraag naar recyclaat en het aanbod van producten </w:t>
      </w:r>
      <w:r w:rsidRPr="00EF20F3">
        <w:rPr>
          <w:color w:val="auto"/>
        </w:rPr>
        <w:t>die gemaakt zijn van recyclaat</w:t>
      </w:r>
      <w:r w:rsidRPr="002B1071">
        <w:rPr>
          <w:color w:val="auto"/>
        </w:rPr>
        <w:t>.</w:t>
      </w:r>
      <w:r>
        <w:rPr>
          <w:color w:val="auto"/>
        </w:rPr>
        <w:t xml:space="preserve"> </w:t>
      </w:r>
      <w:r w:rsidRPr="00EF20F3">
        <w:rPr>
          <w:color w:val="auto"/>
        </w:rPr>
        <w:t xml:space="preserve">Daarnaast </w:t>
      </w:r>
      <w:r>
        <w:rPr>
          <w:color w:val="auto"/>
        </w:rPr>
        <w:t>stimuleert</w:t>
      </w:r>
      <w:r w:rsidRPr="00EF20F3">
        <w:rPr>
          <w:color w:val="auto"/>
        </w:rPr>
        <w:t xml:space="preserve"> de circulaireplasticnorm de verwerking van biogebaseerde polymeren</w:t>
      </w:r>
      <w:r>
        <w:rPr>
          <w:color w:val="auto"/>
        </w:rPr>
        <w:t xml:space="preserve">. Ook </w:t>
      </w:r>
      <w:r w:rsidRPr="00EF20F3">
        <w:rPr>
          <w:color w:val="auto"/>
        </w:rPr>
        <w:t>daarvoor zijn</w:t>
      </w:r>
      <w:r>
        <w:rPr>
          <w:color w:val="auto"/>
        </w:rPr>
        <w:t xml:space="preserve"> (nog)</w:t>
      </w:r>
      <w:r w:rsidRPr="00EF20F3">
        <w:rPr>
          <w:color w:val="auto"/>
        </w:rPr>
        <w:t xml:space="preserve"> geen eisen aangekondigd op Europees niveau. </w:t>
      </w:r>
    </w:p>
    <w:bookmarkEnd w:id="13"/>
    <w:bookmarkEnd w:id="14"/>
    <w:p w:rsidRPr="00EF20F3" w:rsidR="008A54EA" w:rsidP="009E30C9" w:rsidRDefault="008A54EA" w14:paraId="008E270B" w14:textId="77777777">
      <w:pPr>
        <w:spacing w:line="276" w:lineRule="auto"/>
        <w:rPr>
          <w:i/>
          <w:iCs/>
          <w:color w:val="auto"/>
        </w:rPr>
      </w:pPr>
    </w:p>
    <w:p w:rsidRPr="00EF20F3" w:rsidR="001B1E72" w:rsidP="009E30C9" w:rsidRDefault="001B1E72" w14:paraId="75FE08C7" w14:textId="7A1B6B24">
      <w:pPr>
        <w:spacing w:line="276" w:lineRule="auto"/>
        <w:rPr>
          <w:i/>
          <w:iCs/>
          <w:color w:val="auto"/>
        </w:rPr>
      </w:pPr>
      <w:bookmarkStart w:name="_Hlk187947233" w:id="15"/>
      <w:r w:rsidRPr="00EF20F3">
        <w:rPr>
          <w:i/>
          <w:iCs/>
          <w:color w:val="auto"/>
        </w:rPr>
        <w:t>De lijst met Zeer Zorgwekkende Stoffen</w:t>
      </w:r>
    </w:p>
    <w:bookmarkEnd w:id="15"/>
    <w:p w:rsidRPr="00EF20F3" w:rsidR="00501FB7" w:rsidP="009E30C9" w:rsidRDefault="00501FB7" w14:paraId="72552DE3" w14:textId="70821F6C">
      <w:pPr>
        <w:spacing w:line="276" w:lineRule="auto"/>
        <w:rPr>
          <w:color w:val="auto"/>
        </w:rPr>
      </w:pPr>
      <w:r w:rsidRPr="00EF20F3">
        <w:rPr>
          <w:color w:val="auto"/>
        </w:rPr>
        <w:t xml:space="preserve">De Europese REACH-verordening regelt de toelating van chemische stoffen tot de markt. Als een stof voldoet aan de criteria mag die worden gebruikt. Alleen in uitzonderlijke omstandigheden kan </w:t>
      </w:r>
      <w:r w:rsidRPr="00EF20F3" w:rsidR="00684CEA">
        <w:rPr>
          <w:color w:val="auto"/>
        </w:rPr>
        <w:t>een</w:t>
      </w:r>
      <w:r w:rsidRPr="00EF20F3">
        <w:rPr>
          <w:color w:val="auto"/>
        </w:rPr>
        <w:t xml:space="preserve"> land een </w:t>
      </w:r>
      <w:r w:rsidRPr="00EF20F3" w:rsidR="00684CEA">
        <w:rPr>
          <w:color w:val="auto"/>
        </w:rPr>
        <w:t xml:space="preserve">stofgebruik </w:t>
      </w:r>
      <w:r w:rsidRPr="00EF20F3">
        <w:rPr>
          <w:color w:val="auto"/>
        </w:rPr>
        <w:t xml:space="preserve">alsnog inperken. De toelating van chemische stoffen </w:t>
      </w:r>
      <w:r w:rsidRPr="00EF20F3" w:rsidR="0090018A">
        <w:rPr>
          <w:color w:val="auto"/>
        </w:rPr>
        <w:t xml:space="preserve">op de markt </w:t>
      </w:r>
      <w:r w:rsidRPr="00EF20F3">
        <w:rPr>
          <w:color w:val="auto"/>
        </w:rPr>
        <w:t xml:space="preserve">is daarmee vergaand geharmoniseerd in de EU. </w:t>
      </w:r>
    </w:p>
    <w:p w:rsidRPr="00EF20F3" w:rsidR="00252668" w:rsidP="009E30C9" w:rsidRDefault="00252668" w14:paraId="76104C44" w14:textId="77777777">
      <w:pPr>
        <w:spacing w:line="276" w:lineRule="auto"/>
        <w:rPr>
          <w:color w:val="auto"/>
        </w:rPr>
      </w:pPr>
    </w:p>
    <w:p w:rsidRPr="00EF20F3" w:rsidR="00252668" w:rsidP="009E30C9" w:rsidRDefault="00F87273" w14:paraId="506A8BA2" w14:textId="63EE1862">
      <w:pPr>
        <w:spacing w:line="276" w:lineRule="auto"/>
        <w:rPr>
          <w:color w:val="auto"/>
        </w:rPr>
      </w:pPr>
      <w:r>
        <w:rPr>
          <w:color w:val="auto"/>
        </w:rPr>
        <w:t>Zeer zorgwekkende stoffen (</w:t>
      </w:r>
      <w:r w:rsidRPr="00EF20F3" w:rsidR="009203F1">
        <w:rPr>
          <w:color w:val="auto"/>
        </w:rPr>
        <w:t>ZZS</w:t>
      </w:r>
      <w:r>
        <w:rPr>
          <w:color w:val="auto"/>
        </w:rPr>
        <w:t>)</w:t>
      </w:r>
      <w:r w:rsidRPr="00EF20F3" w:rsidR="00252668">
        <w:rPr>
          <w:color w:val="auto"/>
        </w:rPr>
        <w:t xml:space="preserve"> zijn stoffen die allemaal voldoen aan de criteria van artikel 57 van de Europese REACH verordening. De criteria zijn vastgestelde stofeigenschappen zoals carcinogeniteit, mutageen en giftig voor de voortplanting.</w:t>
      </w:r>
      <w:r w:rsidRPr="00EF20F3" w:rsidR="001B3513">
        <w:rPr>
          <w:color w:val="auto"/>
        </w:rPr>
        <w:t xml:space="preserve"> De Europese lijsten en verdragen die als input dienen voor de ZZS</w:t>
      </w:r>
      <w:r w:rsidRPr="00EF20F3" w:rsidR="009203F1">
        <w:rPr>
          <w:color w:val="auto"/>
        </w:rPr>
        <w:t>-</w:t>
      </w:r>
      <w:r w:rsidRPr="00EF20F3" w:rsidR="001B3513">
        <w:rPr>
          <w:color w:val="auto"/>
        </w:rPr>
        <w:t>lijst, zijn opgenomen in het Besluit Activiteiten Leefomgeving.</w:t>
      </w:r>
      <w:r w:rsidRPr="00EF20F3" w:rsidR="00252668">
        <w:rPr>
          <w:color w:val="auto"/>
        </w:rPr>
        <w:t xml:space="preserve"> Onder ZZS vallen alle </w:t>
      </w:r>
      <w:r>
        <w:rPr>
          <w:color w:val="auto"/>
        </w:rPr>
        <w:t xml:space="preserve">zogeheten </w:t>
      </w:r>
      <w:r w:rsidRPr="00EF20F3" w:rsidR="00252668">
        <w:rPr>
          <w:color w:val="auto"/>
        </w:rPr>
        <w:t>Substances of very High Concern (die vanuit REACH aangewezen worden)</w:t>
      </w:r>
      <w:r w:rsidRPr="00EF20F3" w:rsidR="001B3513">
        <w:rPr>
          <w:color w:val="auto"/>
        </w:rPr>
        <w:t xml:space="preserve"> en ook stoffen die door andere Europese regelgeving op Europees niveau bewezen schadelijke </w:t>
      </w:r>
      <w:r w:rsidRPr="00EF20F3">
        <w:rPr>
          <w:color w:val="auto"/>
        </w:rPr>
        <w:t>eigenschappe</w:t>
      </w:r>
      <w:r>
        <w:rPr>
          <w:color w:val="auto"/>
        </w:rPr>
        <w:t>n</w:t>
      </w:r>
      <w:r w:rsidRPr="00EF20F3">
        <w:rPr>
          <w:color w:val="auto"/>
        </w:rPr>
        <w:t xml:space="preserve"> </w:t>
      </w:r>
      <w:r w:rsidRPr="00EF20F3" w:rsidR="001B3513">
        <w:rPr>
          <w:color w:val="auto"/>
        </w:rPr>
        <w:t>uit artikel 57 van REACH hebben. Dit zijn bijvoorbeeld stoffen onder de prioritaire lijst van het OSPAR</w:t>
      </w:r>
      <w:r w:rsidR="00EF1251">
        <w:rPr>
          <w:color w:val="auto"/>
        </w:rPr>
        <w:t>-</w:t>
      </w:r>
      <w:r w:rsidRPr="00EF20F3" w:rsidR="001B3513">
        <w:rPr>
          <w:color w:val="auto"/>
        </w:rPr>
        <w:t>verdrag.</w:t>
      </w:r>
    </w:p>
    <w:p w:rsidRPr="00EF20F3" w:rsidR="00B071C7" w:rsidP="009E30C9" w:rsidRDefault="00B071C7" w14:paraId="234D1315" w14:textId="77777777">
      <w:pPr>
        <w:spacing w:line="276" w:lineRule="auto"/>
        <w:rPr>
          <w:i/>
          <w:iCs/>
          <w:color w:val="auto"/>
        </w:rPr>
      </w:pPr>
    </w:p>
    <w:p w:rsidRPr="00EF20F3" w:rsidR="0090018A" w:rsidP="009E30C9" w:rsidRDefault="0090018A" w14:paraId="5A694C1F" w14:textId="5831F08E">
      <w:pPr>
        <w:spacing w:line="276" w:lineRule="auto"/>
        <w:rPr>
          <w:color w:val="auto"/>
        </w:rPr>
      </w:pPr>
      <w:r w:rsidRPr="00EF20F3">
        <w:rPr>
          <w:color w:val="auto"/>
        </w:rPr>
        <w:t xml:space="preserve">Overheden zijn wel bevoegd en vaak ook verplicht om voorschriften te stellen aan de emissies van die stoffen. Die voorschriften zijn nodig om te voldoen aan Europese en nationale wetgeving ter bescherming van </w:t>
      </w:r>
      <w:r w:rsidRPr="00EF20F3" w:rsidR="001C7939">
        <w:rPr>
          <w:color w:val="auto"/>
        </w:rPr>
        <w:t>bijvoorbeeld</w:t>
      </w:r>
      <w:r w:rsidRPr="00EF20F3">
        <w:rPr>
          <w:color w:val="auto"/>
        </w:rPr>
        <w:t xml:space="preserve"> </w:t>
      </w:r>
      <w:r w:rsidRPr="00EF20F3" w:rsidR="009F5C9C">
        <w:rPr>
          <w:color w:val="auto"/>
        </w:rPr>
        <w:t xml:space="preserve">de </w:t>
      </w:r>
      <w:r w:rsidRPr="00EF20F3">
        <w:rPr>
          <w:color w:val="auto"/>
        </w:rPr>
        <w:t>volksgezondheid (o.a. drinkwaterkwaliteit</w:t>
      </w:r>
      <w:r w:rsidRPr="00EF20F3" w:rsidR="009F5C9C">
        <w:rPr>
          <w:color w:val="auto"/>
        </w:rPr>
        <w:t xml:space="preserve"> en </w:t>
      </w:r>
      <w:r w:rsidRPr="00EF20F3">
        <w:rPr>
          <w:color w:val="auto"/>
        </w:rPr>
        <w:t>bodembescherming) en de luchtkwaliteit. Bij het stellen van die voorschriften wordt vanzelfsprekend rekening gehouden met de aard en eigenschappen van de stoffen. Daarom worden aan de emissies van de</w:t>
      </w:r>
      <w:r w:rsidRPr="00EF20F3" w:rsidR="00115FD0">
        <w:rPr>
          <w:color w:val="auto"/>
        </w:rPr>
        <w:t xml:space="preserve"> schadelijkste</w:t>
      </w:r>
      <w:r w:rsidRPr="00EF20F3">
        <w:rPr>
          <w:color w:val="auto"/>
        </w:rPr>
        <w:t xml:space="preserve"> stoffen</w:t>
      </w:r>
      <w:r w:rsidRPr="00EF20F3" w:rsidR="00750919">
        <w:rPr>
          <w:color w:val="auto"/>
        </w:rPr>
        <w:t>,</w:t>
      </w:r>
      <w:r w:rsidRPr="00EF20F3">
        <w:rPr>
          <w:color w:val="auto"/>
        </w:rPr>
        <w:t xml:space="preserve"> </w:t>
      </w:r>
      <w:r w:rsidRPr="00EF20F3" w:rsidR="00115FD0">
        <w:rPr>
          <w:color w:val="auto"/>
        </w:rPr>
        <w:t xml:space="preserve">zoals stoffen </w:t>
      </w:r>
      <w:r w:rsidRPr="00EF20F3">
        <w:rPr>
          <w:color w:val="auto"/>
        </w:rPr>
        <w:t xml:space="preserve">die aan de gevaarseigenschappen uit de REACH-verordening voldoen, verdergaande voorschriften gesteld dan aan andere, minder schadelijke stoffen. Die voorschriften voor </w:t>
      </w:r>
      <w:r w:rsidRPr="00EF20F3" w:rsidR="009F5C9C">
        <w:rPr>
          <w:color w:val="auto"/>
        </w:rPr>
        <w:t>ZZS</w:t>
      </w:r>
      <w:r w:rsidRPr="00EF20F3">
        <w:rPr>
          <w:color w:val="auto"/>
        </w:rPr>
        <w:t xml:space="preserve"> zijn nodig om aan andere EU-rechtelijke verplichtingen (milieukwaliteitseisen) te voldoen.</w:t>
      </w:r>
      <w:r w:rsidRPr="00EF20F3" w:rsidR="000A2925">
        <w:rPr>
          <w:color w:val="auto"/>
        </w:rPr>
        <w:t xml:space="preserve"> Er</w:t>
      </w:r>
      <w:r w:rsidRPr="00EF20F3">
        <w:rPr>
          <w:color w:val="auto"/>
        </w:rPr>
        <w:t xml:space="preserve"> is hier geen sprake van een nationale kop</w:t>
      </w:r>
      <w:r w:rsidRPr="00EF20F3" w:rsidR="00033BCE">
        <w:rPr>
          <w:color w:val="auto"/>
        </w:rPr>
        <w:t>, omdat dit nationaal beleid betreft dat nodig is om aan (Europese) doelen te voldoen</w:t>
      </w:r>
      <w:r w:rsidRPr="00EF20F3">
        <w:rPr>
          <w:color w:val="auto"/>
        </w:rPr>
        <w:t>.</w:t>
      </w:r>
    </w:p>
    <w:p w:rsidRPr="00EF20F3" w:rsidR="0090018A" w:rsidP="009E30C9" w:rsidRDefault="0090018A" w14:paraId="149A2046" w14:textId="77777777">
      <w:pPr>
        <w:spacing w:line="276" w:lineRule="auto"/>
        <w:rPr>
          <w:i/>
          <w:iCs/>
          <w:color w:val="auto"/>
        </w:rPr>
      </w:pPr>
    </w:p>
    <w:p w:rsidRPr="00EF20F3" w:rsidR="0090018A" w:rsidP="009E30C9" w:rsidRDefault="0090018A" w14:paraId="77D4DD31" w14:textId="4FCC97F8">
      <w:pPr>
        <w:spacing w:line="276" w:lineRule="auto"/>
        <w:rPr>
          <w:i/>
          <w:iCs/>
          <w:color w:val="auto"/>
        </w:rPr>
      </w:pPr>
      <w:bookmarkStart w:name="_Hlk187947247" w:id="16"/>
      <w:r w:rsidRPr="00EF20F3">
        <w:rPr>
          <w:i/>
          <w:iCs/>
          <w:color w:val="auto"/>
        </w:rPr>
        <w:t xml:space="preserve">De lijst potentieel Zeer Zorgwekkende Stoffen </w:t>
      </w:r>
      <w:r w:rsidRPr="00EF20F3" w:rsidR="00205004">
        <w:rPr>
          <w:i/>
          <w:iCs/>
          <w:color w:val="auto"/>
        </w:rPr>
        <w:t>i.r.t het voorzorgsprincipe</w:t>
      </w:r>
    </w:p>
    <w:bookmarkEnd w:id="16"/>
    <w:p w:rsidRPr="00EF20F3" w:rsidR="0090018A" w:rsidP="009E30C9" w:rsidRDefault="0090018A" w14:paraId="3C3690BF" w14:textId="47438095">
      <w:pPr>
        <w:spacing w:line="276" w:lineRule="auto"/>
        <w:rPr>
          <w:color w:val="auto"/>
        </w:rPr>
      </w:pPr>
      <w:r w:rsidRPr="00EF20F3">
        <w:rPr>
          <w:color w:val="auto"/>
        </w:rPr>
        <w:t xml:space="preserve">Een potentieel </w:t>
      </w:r>
      <w:r w:rsidRPr="00EF20F3" w:rsidR="002D49E1">
        <w:rPr>
          <w:color w:val="auto"/>
        </w:rPr>
        <w:t>ZZS (pZZS)</w:t>
      </w:r>
      <w:r w:rsidRPr="00EF20F3">
        <w:rPr>
          <w:color w:val="auto"/>
        </w:rPr>
        <w:t xml:space="preserve"> is een chemische stof waarvan de stofeigenschappen nog niet op Europees niveau zijn </w:t>
      </w:r>
      <w:r w:rsidRPr="00EF20F3" w:rsidR="00115FD0">
        <w:rPr>
          <w:color w:val="auto"/>
        </w:rPr>
        <w:t>beoordeeld</w:t>
      </w:r>
      <w:r w:rsidRPr="00EF20F3">
        <w:rPr>
          <w:color w:val="auto"/>
        </w:rPr>
        <w:t>. De stof is aangemeld of zit in een Europe</w:t>
      </w:r>
      <w:r w:rsidR="00150541">
        <w:rPr>
          <w:color w:val="auto"/>
        </w:rPr>
        <w:t>e</w:t>
      </w:r>
      <w:r w:rsidRPr="00EF20F3">
        <w:rPr>
          <w:color w:val="auto"/>
        </w:rPr>
        <w:t>s onderzoekstraject om te bepalen of aan de gevaarscriteria van artikel 57 REACH wordt voldaan. De pZZS</w:t>
      </w:r>
      <w:r w:rsidR="00430F84">
        <w:rPr>
          <w:color w:val="auto"/>
        </w:rPr>
        <w:t>-</w:t>
      </w:r>
      <w:r w:rsidRPr="00EF20F3">
        <w:rPr>
          <w:color w:val="auto"/>
        </w:rPr>
        <w:t xml:space="preserve">lijst is een lijst van stoffen die op korte of middellange termijn mogelijk als ZZS </w:t>
      </w:r>
      <w:r w:rsidR="009E2E2D">
        <w:rPr>
          <w:color w:val="auto"/>
        </w:rPr>
        <w:t xml:space="preserve">kan </w:t>
      </w:r>
      <w:r w:rsidRPr="00EF20F3">
        <w:rPr>
          <w:color w:val="auto"/>
        </w:rPr>
        <w:t>worden ingedeeld. De lijst is attender</w:t>
      </w:r>
      <w:r w:rsidRPr="00EF20F3" w:rsidR="002D49E1">
        <w:rPr>
          <w:color w:val="auto"/>
        </w:rPr>
        <w:t>end bedoeld</w:t>
      </w:r>
      <w:r w:rsidRPr="00EF20F3">
        <w:rPr>
          <w:color w:val="auto"/>
        </w:rPr>
        <w:t xml:space="preserve"> voor bedrijven die de stof gebruiken en voor het bevoegd gezag</w:t>
      </w:r>
      <w:r w:rsidR="00F87273">
        <w:rPr>
          <w:color w:val="auto"/>
        </w:rPr>
        <w:t xml:space="preserve"> dat</w:t>
      </w:r>
      <w:r w:rsidRPr="00EF20F3">
        <w:rPr>
          <w:color w:val="auto"/>
        </w:rPr>
        <w:t xml:space="preserve"> d</w:t>
      </w:r>
      <w:r w:rsidRPr="00EF20F3" w:rsidR="001B3513">
        <w:rPr>
          <w:color w:val="auto"/>
        </w:rPr>
        <w:t>e</w:t>
      </w:r>
      <w:r w:rsidRPr="00EF20F3">
        <w:rPr>
          <w:color w:val="auto"/>
        </w:rPr>
        <w:t xml:space="preserve"> vergunningsaanvra</w:t>
      </w:r>
      <w:r w:rsidRPr="00EF20F3" w:rsidR="002D49E1">
        <w:rPr>
          <w:color w:val="auto"/>
        </w:rPr>
        <w:t>gen</w:t>
      </w:r>
      <w:r w:rsidRPr="00EF20F3">
        <w:rPr>
          <w:color w:val="auto"/>
        </w:rPr>
        <w:t xml:space="preserve"> controle</w:t>
      </w:r>
      <w:r w:rsidR="00F87273">
        <w:rPr>
          <w:color w:val="auto"/>
        </w:rPr>
        <w:t>e</w:t>
      </w:r>
      <w:r w:rsidRPr="00EF20F3" w:rsidR="002D49E1">
        <w:rPr>
          <w:color w:val="auto"/>
        </w:rPr>
        <w:t>r</w:t>
      </w:r>
      <w:r w:rsidR="00F87273">
        <w:rPr>
          <w:color w:val="auto"/>
        </w:rPr>
        <w:t>t</w:t>
      </w:r>
      <w:r w:rsidRPr="00EF20F3">
        <w:rPr>
          <w:color w:val="auto"/>
        </w:rPr>
        <w:t xml:space="preserve">. Het bedrijf </w:t>
      </w:r>
      <w:r w:rsidRPr="00EF20F3" w:rsidR="00115FD0">
        <w:rPr>
          <w:color w:val="auto"/>
        </w:rPr>
        <w:t xml:space="preserve">kan </w:t>
      </w:r>
      <w:r w:rsidRPr="00EF20F3">
        <w:rPr>
          <w:color w:val="auto"/>
        </w:rPr>
        <w:t>daarmee vanuit het voorzorgsbeginsel rekening houden bij de inrichting van bedrijfsprocessen</w:t>
      </w:r>
      <w:r w:rsidR="00024E64">
        <w:rPr>
          <w:color w:val="auto"/>
        </w:rPr>
        <w:t xml:space="preserve">. </w:t>
      </w:r>
      <w:r w:rsidRPr="00EF20F3" w:rsidR="002D49E1">
        <w:rPr>
          <w:color w:val="auto"/>
        </w:rPr>
        <w:t xml:space="preserve">Het </w:t>
      </w:r>
      <w:r w:rsidR="00205E3A">
        <w:rPr>
          <w:color w:val="auto"/>
        </w:rPr>
        <w:t xml:space="preserve">bedrijf </w:t>
      </w:r>
      <w:r w:rsidRPr="00EF20F3">
        <w:rPr>
          <w:color w:val="auto"/>
        </w:rPr>
        <w:t>kan bijvoorbeeld overstappen op een stof met een gunstiger gevaarsprofiel. De lijst heeft geen juridische status en er zijn geen verplichtingen aan verbonden in regelgeving. Deze pZZS</w:t>
      </w:r>
      <w:r w:rsidRPr="00EF20F3" w:rsidR="00761117">
        <w:rPr>
          <w:color w:val="auto"/>
        </w:rPr>
        <w:t>-</w:t>
      </w:r>
      <w:r w:rsidRPr="00EF20F3">
        <w:rPr>
          <w:color w:val="auto"/>
        </w:rPr>
        <w:t xml:space="preserve">lijst is </w:t>
      </w:r>
      <w:r w:rsidRPr="00EF20F3" w:rsidR="00CF1068">
        <w:rPr>
          <w:color w:val="auto"/>
        </w:rPr>
        <w:t xml:space="preserve">daardoor </w:t>
      </w:r>
      <w:r w:rsidRPr="00EF20F3">
        <w:rPr>
          <w:color w:val="auto"/>
        </w:rPr>
        <w:t>geen nationale kop.</w:t>
      </w:r>
      <w:r w:rsidRPr="00EF20F3" w:rsidR="001C2C11">
        <w:rPr>
          <w:color w:val="auto"/>
        </w:rPr>
        <w:t xml:space="preserve"> </w:t>
      </w:r>
      <w:r w:rsidRPr="00EF20F3" w:rsidR="00CF1068">
        <w:rPr>
          <w:color w:val="auto"/>
        </w:rPr>
        <w:t>Ook is er</w:t>
      </w:r>
      <w:r w:rsidRPr="00EF20F3" w:rsidR="001C2C11">
        <w:rPr>
          <w:color w:val="auto"/>
        </w:rPr>
        <w:t xml:space="preserve"> geen EU-richtlijn die hetzelfde regelt</w:t>
      </w:r>
      <w:r w:rsidRPr="00EF20F3" w:rsidR="00CF1068">
        <w:rPr>
          <w:color w:val="auto"/>
        </w:rPr>
        <w:t>.</w:t>
      </w:r>
    </w:p>
    <w:p w:rsidRPr="00EF20F3" w:rsidR="00C55170" w:rsidP="009E30C9" w:rsidRDefault="0090018A" w14:paraId="6E21C3E4" w14:textId="55206481">
      <w:pPr>
        <w:spacing w:line="276" w:lineRule="auto"/>
        <w:rPr>
          <w:color w:val="auto"/>
        </w:rPr>
      </w:pPr>
      <w:r w:rsidRPr="00EF20F3">
        <w:rPr>
          <w:color w:val="auto"/>
        </w:rPr>
        <w:br/>
        <w:t xml:space="preserve">Hierboven is aangegeven </w:t>
      </w:r>
      <w:r w:rsidRPr="00EF20F3" w:rsidR="001B3513">
        <w:rPr>
          <w:color w:val="auto"/>
        </w:rPr>
        <w:t>dat een</w:t>
      </w:r>
      <w:r w:rsidRPr="00EF20F3">
        <w:rPr>
          <w:color w:val="auto"/>
        </w:rPr>
        <w:t xml:space="preserve"> </w:t>
      </w:r>
      <w:r w:rsidRPr="00EF20F3" w:rsidR="002D49E1">
        <w:rPr>
          <w:color w:val="auto"/>
        </w:rPr>
        <w:t>pZZS</w:t>
      </w:r>
      <w:r w:rsidRPr="00EF20F3">
        <w:rPr>
          <w:color w:val="auto"/>
        </w:rPr>
        <w:t xml:space="preserve"> na uitgebreid onderzoek op de ZZS-lijst </w:t>
      </w:r>
      <w:r w:rsidRPr="00EF20F3" w:rsidR="00395492">
        <w:rPr>
          <w:color w:val="auto"/>
        </w:rPr>
        <w:t>kan komen te staan</w:t>
      </w:r>
      <w:r w:rsidRPr="00EF20F3">
        <w:rPr>
          <w:color w:val="auto"/>
        </w:rPr>
        <w:t xml:space="preserve">. </w:t>
      </w:r>
      <w:r w:rsidRPr="00EF20F3" w:rsidR="00C55170">
        <w:rPr>
          <w:color w:val="auto"/>
        </w:rPr>
        <w:t>De pZZS</w:t>
      </w:r>
      <w:r w:rsidR="00430F84">
        <w:rPr>
          <w:color w:val="auto"/>
        </w:rPr>
        <w:t>-</w:t>
      </w:r>
      <w:r w:rsidRPr="00EF20F3" w:rsidR="00C55170">
        <w:rPr>
          <w:color w:val="auto"/>
        </w:rPr>
        <w:t>lijst kan in de praktijk verwarrend werken. Om de signalerende functie van de pZZS</w:t>
      </w:r>
      <w:r w:rsidR="00430F84">
        <w:rPr>
          <w:color w:val="auto"/>
        </w:rPr>
        <w:t>-</w:t>
      </w:r>
      <w:r w:rsidRPr="00EF20F3" w:rsidR="00C55170">
        <w:rPr>
          <w:color w:val="auto"/>
        </w:rPr>
        <w:t>lijst te behouden maar de verwarring weg te nemen, is het RIVM gevraagd de pZZS</w:t>
      </w:r>
      <w:r w:rsidR="00430F84">
        <w:rPr>
          <w:color w:val="auto"/>
        </w:rPr>
        <w:t>-</w:t>
      </w:r>
      <w:r w:rsidRPr="00EF20F3" w:rsidR="00C55170">
        <w:rPr>
          <w:color w:val="auto"/>
        </w:rPr>
        <w:t>lijst te analyseren. Er wordt gekeken hoe er nog beter inzicht gegeven kan worden in lopende Europese onderzoekstrajecten van stoffen</w:t>
      </w:r>
      <w:r w:rsidR="00405575">
        <w:rPr>
          <w:color w:val="auto"/>
        </w:rPr>
        <w:t xml:space="preserve"> en de relatie met ZZS-criteria</w:t>
      </w:r>
      <w:r w:rsidRPr="00EF20F3" w:rsidR="00C55170">
        <w:rPr>
          <w:color w:val="auto"/>
        </w:rPr>
        <w:t>. Ook kijkt het RIVM of het mogelijk is een kwalitatieve inschatting te maken van de mogelijk toekomstige ZZS-status van stoffen. Medio 2025 wordt hiervan de oplevering verwacht.</w:t>
      </w:r>
    </w:p>
    <w:p w:rsidR="00B071C7" w:rsidP="009E30C9" w:rsidRDefault="00B071C7" w14:paraId="3680AD32" w14:textId="77777777">
      <w:pPr>
        <w:spacing w:line="276" w:lineRule="auto"/>
        <w:rPr>
          <w:i/>
          <w:iCs/>
        </w:rPr>
      </w:pPr>
    </w:p>
    <w:p w:rsidRPr="00817D55" w:rsidR="005805ED" w:rsidP="009E30C9" w:rsidRDefault="005805ED" w14:paraId="2524AC2C" w14:textId="77777777">
      <w:pPr>
        <w:spacing w:line="276" w:lineRule="auto"/>
        <w:rPr>
          <w:i/>
          <w:iCs/>
        </w:rPr>
      </w:pPr>
    </w:p>
    <w:p w:rsidRPr="00817D55" w:rsidR="00924CB3" w:rsidP="009E30C9" w:rsidRDefault="00C17370" w14:paraId="7AFB114A" w14:textId="77777777">
      <w:pPr>
        <w:pStyle w:val="WitregelW1bodytekst"/>
        <w:spacing w:line="276" w:lineRule="auto"/>
      </w:pPr>
      <w:r w:rsidRPr="00817D55">
        <w:t>Hoogachtend,</w:t>
      </w:r>
    </w:p>
    <w:p w:rsidRPr="00817D55" w:rsidR="009E183F" w:rsidP="009E30C9" w:rsidRDefault="009E183F" w14:paraId="220F6E27" w14:textId="77777777">
      <w:pPr>
        <w:spacing w:line="276" w:lineRule="auto"/>
      </w:pPr>
    </w:p>
    <w:p w:rsidRPr="00817D55" w:rsidR="009E183F" w:rsidP="009E30C9" w:rsidRDefault="009E183F" w14:paraId="6312B168" w14:textId="6A2F4797">
      <w:pPr>
        <w:pStyle w:val="broodtekst"/>
        <w:spacing w:line="276" w:lineRule="auto"/>
      </w:pPr>
      <w:r w:rsidRPr="00817D55">
        <w:t>DE STAATSSECRETARIS VAN INFRASTRUCTUUR EN WATERSTAAT - OPENBAAR VERVOER EN MILIEU</w:t>
      </w:r>
      <w:r w:rsidRPr="00817D55" w:rsidR="007F78DE">
        <w:t>,</w:t>
      </w:r>
    </w:p>
    <w:p w:rsidRPr="00817D55" w:rsidR="009E183F" w:rsidP="009E30C9" w:rsidRDefault="009E183F" w14:paraId="5F2CD618" w14:textId="77777777">
      <w:pPr>
        <w:pStyle w:val="broodtekst"/>
        <w:spacing w:line="276" w:lineRule="auto"/>
      </w:pPr>
    </w:p>
    <w:p w:rsidRPr="00817D55" w:rsidR="009E183F" w:rsidP="009E30C9" w:rsidRDefault="009E183F" w14:paraId="561E4576" w14:textId="77777777">
      <w:pPr>
        <w:pStyle w:val="broodtekst"/>
        <w:spacing w:line="276" w:lineRule="auto"/>
      </w:pPr>
    </w:p>
    <w:p w:rsidRPr="00817D55" w:rsidR="007F78DE" w:rsidP="009E30C9" w:rsidRDefault="007F78DE" w14:paraId="7C70FB28" w14:textId="77777777">
      <w:pPr>
        <w:pStyle w:val="broodtekst"/>
        <w:spacing w:line="276" w:lineRule="auto"/>
      </w:pPr>
    </w:p>
    <w:p w:rsidRPr="00817D55" w:rsidR="007F78DE" w:rsidP="009E30C9" w:rsidRDefault="007F78DE" w14:paraId="271A87C9" w14:textId="77777777">
      <w:pPr>
        <w:pStyle w:val="broodtekst"/>
        <w:spacing w:line="276" w:lineRule="auto"/>
      </w:pPr>
    </w:p>
    <w:p w:rsidRPr="00817D55" w:rsidR="00CA596A" w:rsidP="00264509" w:rsidRDefault="009E183F" w14:paraId="459CA9B1" w14:textId="41382E45">
      <w:pPr>
        <w:pStyle w:val="broodtekst"/>
        <w:spacing w:line="276" w:lineRule="auto"/>
      </w:pPr>
      <w:r w:rsidRPr="00817D55">
        <w:t>C.A. Jansen</w:t>
      </w:r>
    </w:p>
    <w:sectPr w:rsidRPr="00817D55" w:rsidR="00CA596A">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DBA82" w14:textId="77777777" w:rsidR="00824756" w:rsidRDefault="00824756">
      <w:pPr>
        <w:spacing w:line="240" w:lineRule="auto"/>
      </w:pPr>
      <w:r>
        <w:separator/>
      </w:r>
    </w:p>
  </w:endnote>
  <w:endnote w:type="continuationSeparator" w:id="0">
    <w:p w14:paraId="027EDCF8" w14:textId="77777777" w:rsidR="00824756" w:rsidRDefault="008247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4812A" w14:textId="77777777" w:rsidR="00FF6F6E" w:rsidRDefault="00FF6F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5F4A8" w14:textId="77777777" w:rsidR="00FF6F6E" w:rsidRDefault="00FF6F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24C64" w14:textId="77777777" w:rsidR="00FF6F6E" w:rsidRDefault="00FF6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4D62E" w14:textId="77777777" w:rsidR="00824756" w:rsidRDefault="00824756">
      <w:pPr>
        <w:spacing w:line="240" w:lineRule="auto"/>
      </w:pPr>
      <w:r>
        <w:separator/>
      </w:r>
    </w:p>
  </w:footnote>
  <w:footnote w:type="continuationSeparator" w:id="0">
    <w:p w14:paraId="349ADF07" w14:textId="77777777" w:rsidR="00824756" w:rsidRDefault="00824756">
      <w:pPr>
        <w:spacing w:line="240" w:lineRule="auto"/>
      </w:pPr>
      <w:r>
        <w:continuationSeparator/>
      </w:r>
    </w:p>
  </w:footnote>
  <w:footnote w:id="1">
    <w:p w14:paraId="104770E4" w14:textId="224105F9" w:rsidR="00BD13BD" w:rsidRPr="00C04AB6" w:rsidRDefault="00BD13BD">
      <w:pPr>
        <w:pStyle w:val="FootnoteText"/>
        <w:rPr>
          <w:sz w:val="16"/>
          <w:szCs w:val="16"/>
        </w:rPr>
      </w:pPr>
      <w:r w:rsidRPr="00C04AB6">
        <w:rPr>
          <w:rStyle w:val="FootnoteReference"/>
          <w:sz w:val="16"/>
          <w:szCs w:val="16"/>
        </w:rPr>
        <w:footnoteRef/>
      </w:r>
      <w:r w:rsidRPr="00C04AB6">
        <w:rPr>
          <w:sz w:val="16"/>
          <w:szCs w:val="16"/>
        </w:rPr>
        <w:t xml:space="preserve"> Motie 32813-833</w:t>
      </w:r>
    </w:p>
  </w:footnote>
  <w:footnote w:id="2">
    <w:p w14:paraId="5A47838C" w14:textId="04D4DC48" w:rsidR="00BD13BD" w:rsidRPr="00C04AB6" w:rsidRDefault="00BD13BD">
      <w:pPr>
        <w:pStyle w:val="FootnoteText"/>
        <w:rPr>
          <w:sz w:val="16"/>
          <w:szCs w:val="16"/>
        </w:rPr>
      </w:pPr>
      <w:r w:rsidRPr="00C04AB6">
        <w:rPr>
          <w:rStyle w:val="FootnoteReference"/>
          <w:sz w:val="16"/>
          <w:szCs w:val="16"/>
        </w:rPr>
        <w:footnoteRef/>
      </w:r>
      <w:r w:rsidRPr="00C04AB6">
        <w:rPr>
          <w:sz w:val="16"/>
          <w:szCs w:val="16"/>
        </w:rPr>
        <w:t xml:space="preserve"> RIVM rapport 2023 </w:t>
      </w:r>
      <w:hyperlink r:id="rId1" w:history="1">
        <w:r w:rsidRPr="00C04AB6">
          <w:rPr>
            <w:rStyle w:val="Hyperlink"/>
            <w:sz w:val="16"/>
            <w:szCs w:val="16"/>
          </w:rPr>
          <w:t>Cumulatie ZZS en vergunningverlening (vervolgonderzoek 2023) | Rapport | Rijksoverheid.nl</w:t>
        </w:r>
      </w:hyperlink>
    </w:p>
  </w:footnote>
  <w:footnote w:id="3">
    <w:p w14:paraId="3C7847F9" w14:textId="137492F0" w:rsidR="00BD13BD" w:rsidRDefault="00BD13BD">
      <w:pPr>
        <w:pStyle w:val="FootnoteText"/>
      </w:pPr>
      <w:r w:rsidRPr="00C04AB6">
        <w:rPr>
          <w:rStyle w:val="FootnoteReference"/>
          <w:sz w:val="16"/>
          <w:szCs w:val="16"/>
        </w:rPr>
        <w:footnoteRef/>
      </w:r>
      <w:r w:rsidRPr="00C04AB6">
        <w:rPr>
          <w:sz w:val="16"/>
          <w:szCs w:val="16"/>
        </w:rPr>
        <w:t xml:space="preserve"> RIVM rapport 2024: </w:t>
      </w:r>
      <w:hyperlink r:id="rId2" w:history="1">
        <w:r w:rsidRPr="00C04AB6">
          <w:rPr>
            <w:rStyle w:val="Hyperlink"/>
            <w:sz w:val="16"/>
            <w:szCs w:val="16"/>
          </w:rPr>
          <w:t>Cumulatie metalen en vergunningverlening | RIVM</w:t>
        </w:r>
      </w:hyperlink>
    </w:p>
  </w:footnote>
  <w:footnote w:id="4">
    <w:p w14:paraId="04ECD227" w14:textId="441D1980" w:rsidR="005E5E80" w:rsidRPr="00C04AB6" w:rsidRDefault="005E5E80">
      <w:pPr>
        <w:pStyle w:val="FootnoteText"/>
        <w:rPr>
          <w:sz w:val="16"/>
          <w:szCs w:val="16"/>
        </w:rPr>
      </w:pPr>
      <w:r w:rsidRPr="00C04AB6">
        <w:rPr>
          <w:rStyle w:val="FootnoteReference"/>
          <w:sz w:val="16"/>
          <w:szCs w:val="16"/>
        </w:rPr>
        <w:footnoteRef/>
      </w:r>
      <w:r w:rsidRPr="00C04AB6">
        <w:rPr>
          <w:sz w:val="16"/>
          <w:szCs w:val="16"/>
        </w:rPr>
        <w:t xml:space="preserve"> </w:t>
      </w:r>
      <w:r w:rsidRPr="00C04AB6">
        <w:rPr>
          <w:rFonts w:cs="Verdana"/>
          <w:color w:val="auto"/>
          <w:sz w:val="16"/>
          <w:szCs w:val="16"/>
        </w:rPr>
        <w:t>SRM-3; artikel 5.26 van het Bal</w:t>
      </w:r>
    </w:p>
  </w:footnote>
  <w:footnote w:id="5">
    <w:p w14:paraId="73049814" w14:textId="283239D5" w:rsidR="002F1BBB" w:rsidRPr="00C04AB6" w:rsidRDefault="002F1BBB">
      <w:pPr>
        <w:pStyle w:val="FootnoteText"/>
        <w:rPr>
          <w:sz w:val="16"/>
          <w:szCs w:val="16"/>
        </w:rPr>
      </w:pPr>
      <w:r w:rsidRPr="00C04AB6">
        <w:rPr>
          <w:rStyle w:val="FootnoteReference"/>
          <w:sz w:val="16"/>
          <w:szCs w:val="16"/>
        </w:rPr>
        <w:footnoteRef/>
      </w:r>
      <w:r w:rsidRPr="00C04AB6">
        <w:rPr>
          <w:sz w:val="16"/>
          <w:szCs w:val="16"/>
        </w:rPr>
        <w:t xml:space="preserve"> RIVM-rapport 2006: Gezondheidsaspecten bij IPPC-vergunningen </w:t>
      </w:r>
    </w:p>
  </w:footnote>
  <w:footnote w:id="6">
    <w:p w14:paraId="447A5538" w14:textId="6441F346" w:rsidR="00C550E5" w:rsidRPr="00C04AB6" w:rsidRDefault="00C550E5">
      <w:pPr>
        <w:pStyle w:val="FootnoteText"/>
        <w:rPr>
          <w:sz w:val="16"/>
          <w:szCs w:val="16"/>
          <w:lang w:val="de-DE"/>
        </w:rPr>
      </w:pPr>
      <w:r w:rsidRPr="00C04AB6">
        <w:rPr>
          <w:rStyle w:val="FootnoteReference"/>
          <w:sz w:val="16"/>
          <w:szCs w:val="16"/>
        </w:rPr>
        <w:footnoteRef/>
      </w:r>
      <w:r w:rsidRPr="00C04AB6">
        <w:rPr>
          <w:sz w:val="16"/>
          <w:szCs w:val="16"/>
          <w:lang w:val="de-DE"/>
        </w:rPr>
        <w:t xml:space="preserve"> http://rvs.rivm.nl</w:t>
      </w:r>
    </w:p>
  </w:footnote>
  <w:footnote w:id="7">
    <w:p w14:paraId="4482A909" w14:textId="3B3B76C7" w:rsidR="00B77455" w:rsidRPr="00FC11DD" w:rsidRDefault="00B77455">
      <w:pPr>
        <w:pStyle w:val="FootnoteText"/>
        <w:rPr>
          <w:sz w:val="16"/>
          <w:szCs w:val="16"/>
          <w:lang w:val="de-DE"/>
        </w:rPr>
      </w:pPr>
      <w:r w:rsidRPr="00C04AB6">
        <w:rPr>
          <w:rStyle w:val="FootnoteReference"/>
          <w:sz w:val="16"/>
          <w:szCs w:val="16"/>
        </w:rPr>
        <w:footnoteRef/>
      </w:r>
      <w:r w:rsidRPr="00C04AB6">
        <w:rPr>
          <w:sz w:val="16"/>
          <w:szCs w:val="16"/>
          <w:lang w:val="de-DE"/>
        </w:rPr>
        <w:t xml:space="preserve"> </w:t>
      </w:r>
      <w:r w:rsidRPr="00C04AB6">
        <w:rPr>
          <w:sz w:val="16"/>
          <w:szCs w:val="16"/>
          <w:shd w:val="clear" w:color="auto" w:fill="FFFFFF"/>
          <w:lang w:val="de-DE"/>
        </w:rPr>
        <w:t>TZ202409-076</w:t>
      </w:r>
    </w:p>
  </w:footnote>
  <w:footnote w:id="8">
    <w:p w14:paraId="15397EC9" w14:textId="6051D589" w:rsidR="00D63071" w:rsidRPr="00C04AB6" w:rsidRDefault="00D63071">
      <w:pPr>
        <w:pStyle w:val="FootnoteText"/>
        <w:rPr>
          <w:color w:val="auto"/>
          <w:sz w:val="16"/>
          <w:szCs w:val="16"/>
        </w:rPr>
      </w:pPr>
      <w:r w:rsidRPr="00C04AB6">
        <w:rPr>
          <w:rStyle w:val="FootnoteReference"/>
          <w:color w:val="auto"/>
          <w:sz w:val="16"/>
          <w:szCs w:val="16"/>
        </w:rPr>
        <w:footnoteRef/>
      </w:r>
      <w:r w:rsidRPr="00C04AB6">
        <w:rPr>
          <w:color w:val="auto"/>
          <w:sz w:val="16"/>
          <w:szCs w:val="16"/>
        </w:rPr>
        <w:t xml:space="preserve"> Kamerstuk 22 343, nr. 384</w:t>
      </w:r>
    </w:p>
  </w:footnote>
  <w:footnote w:id="9">
    <w:p w14:paraId="1A57A607" w14:textId="07653689" w:rsidR="00D63071" w:rsidRPr="00C04AB6" w:rsidRDefault="00D63071">
      <w:pPr>
        <w:pStyle w:val="FootnoteText"/>
        <w:rPr>
          <w:color w:val="auto"/>
          <w:sz w:val="16"/>
          <w:szCs w:val="16"/>
        </w:rPr>
      </w:pPr>
      <w:r w:rsidRPr="00C04AB6">
        <w:rPr>
          <w:rStyle w:val="FootnoteReference"/>
          <w:color w:val="auto"/>
          <w:sz w:val="16"/>
          <w:szCs w:val="16"/>
        </w:rPr>
        <w:footnoteRef/>
      </w:r>
      <w:r w:rsidRPr="00C04AB6">
        <w:rPr>
          <w:color w:val="auto"/>
          <w:sz w:val="16"/>
          <w:szCs w:val="16"/>
        </w:rPr>
        <w:t xml:space="preserve"> Begrotingsbehandeling Infrastructuur en Waterstaat, 10 oktober 2024</w:t>
      </w:r>
    </w:p>
  </w:footnote>
  <w:footnote w:id="10">
    <w:p w14:paraId="03FB32E2" w14:textId="1BACAC7B" w:rsidR="008446B3" w:rsidRDefault="008446B3">
      <w:pPr>
        <w:pStyle w:val="FootnoteText"/>
      </w:pPr>
      <w:r w:rsidRPr="00C04AB6">
        <w:rPr>
          <w:rStyle w:val="FootnoteReference"/>
          <w:color w:val="auto"/>
          <w:sz w:val="16"/>
          <w:szCs w:val="16"/>
        </w:rPr>
        <w:footnoteRef/>
      </w:r>
      <w:r w:rsidRPr="00C04AB6">
        <w:rPr>
          <w:color w:val="auto"/>
          <w:sz w:val="16"/>
          <w:szCs w:val="16"/>
        </w:rPr>
        <w:t xml:space="preserve"> TZ202410-100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A4BEC" w14:textId="77777777" w:rsidR="00FF6F6E" w:rsidRDefault="00FF6F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EAE05" w14:textId="77777777" w:rsidR="00924CB3" w:rsidRDefault="00C17370">
    <w:pPr>
      <w:pStyle w:val="MarginlessContainer"/>
    </w:pPr>
    <w:r>
      <w:rPr>
        <w:noProof/>
        <w:lang w:val="en-GB" w:eastAsia="en-GB"/>
      </w:rPr>
      <mc:AlternateContent>
        <mc:Choice Requires="wps">
          <w:drawing>
            <wp:anchor distT="0" distB="0" distL="0" distR="0" simplePos="0" relativeHeight="251651584" behindDoc="0" locked="1" layoutInCell="1" allowOverlap="1" wp14:anchorId="70E6E052" wp14:editId="6438A977">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3765EF1" w14:textId="77777777" w:rsidR="00924CB3" w:rsidRDefault="00C17370">
                          <w:pPr>
                            <w:pStyle w:val="AfzendgegevensKop0"/>
                          </w:pPr>
                          <w:r>
                            <w:t>Ministerie van Infrastructuur en Waterstaat</w:t>
                          </w:r>
                        </w:p>
                        <w:p w14:paraId="1E1F1D63" w14:textId="77777777" w:rsidR="00D20AAE" w:rsidRDefault="00D20AAE" w:rsidP="00D20AAE"/>
                        <w:p w14:paraId="0AA992C5" w14:textId="77777777" w:rsidR="00D20AAE" w:rsidRPr="00D20635" w:rsidRDefault="00D20AAE" w:rsidP="00D20AAE">
                          <w:pPr>
                            <w:spacing w:line="276" w:lineRule="auto"/>
                            <w:rPr>
                              <w:b/>
                              <w:bCs/>
                              <w:sz w:val="13"/>
                              <w:szCs w:val="13"/>
                            </w:rPr>
                          </w:pPr>
                          <w:r w:rsidRPr="00D20635">
                            <w:rPr>
                              <w:b/>
                              <w:bCs/>
                              <w:sz w:val="13"/>
                              <w:szCs w:val="13"/>
                            </w:rPr>
                            <w:t>Ons kenmerk</w:t>
                          </w:r>
                        </w:p>
                        <w:p w14:paraId="267045F7" w14:textId="0A666496" w:rsidR="00D20AAE" w:rsidRDefault="00F200F9" w:rsidP="00D20AAE">
                          <w:pPr>
                            <w:spacing w:line="276" w:lineRule="auto"/>
                            <w:rPr>
                              <w:sz w:val="13"/>
                              <w:szCs w:val="13"/>
                            </w:rPr>
                          </w:pPr>
                          <w:r w:rsidRPr="00F200F9">
                            <w:rPr>
                              <w:sz w:val="13"/>
                              <w:szCs w:val="13"/>
                            </w:rPr>
                            <w:t>IENW/BSK-2025/17634</w:t>
                          </w:r>
                        </w:p>
                        <w:p w14:paraId="502DDDFA" w14:textId="77777777" w:rsidR="00D20AAE" w:rsidRPr="00D20AAE" w:rsidRDefault="00D20AAE" w:rsidP="00D20AAE"/>
                      </w:txbxContent>
                    </wps:txbx>
                    <wps:bodyPr vert="horz" wrap="square" lIns="0" tIns="0" rIns="0" bIns="0" anchor="t" anchorCtr="0"/>
                  </wps:wsp>
                </a:graphicData>
              </a:graphic>
            </wp:anchor>
          </w:drawing>
        </mc:Choice>
        <mc:Fallback>
          <w:pict>
            <v:shapetype w14:anchorId="70E6E052"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03765EF1" w14:textId="77777777" w:rsidR="00924CB3" w:rsidRDefault="00C17370">
                    <w:pPr>
                      <w:pStyle w:val="AfzendgegevensKop0"/>
                    </w:pPr>
                    <w:r>
                      <w:t>Ministerie van Infrastructuur en Waterstaat</w:t>
                    </w:r>
                  </w:p>
                  <w:p w14:paraId="1E1F1D63" w14:textId="77777777" w:rsidR="00D20AAE" w:rsidRDefault="00D20AAE" w:rsidP="00D20AAE"/>
                  <w:p w14:paraId="0AA992C5" w14:textId="77777777" w:rsidR="00D20AAE" w:rsidRPr="00D20635" w:rsidRDefault="00D20AAE" w:rsidP="00D20AAE">
                    <w:pPr>
                      <w:spacing w:line="276" w:lineRule="auto"/>
                      <w:rPr>
                        <w:b/>
                        <w:bCs/>
                        <w:sz w:val="13"/>
                        <w:szCs w:val="13"/>
                      </w:rPr>
                    </w:pPr>
                    <w:r w:rsidRPr="00D20635">
                      <w:rPr>
                        <w:b/>
                        <w:bCs/>
                        <w:sz w:val="13"/>
                        <w:szCs w:val="13"/>
                      </w:rPr>
                      <w:t>Ons kenmerk</w:t>
                    </w:r>
                  </w:p>
                  <w:p w14:paraId="267045F7" w14:textId="0A666496" w:rsidR="00D20AAE" w:rsidRDefault="00F200F9" w:rsidP="00D20AAE">
                    <w:pPr>
                      <w:spacing w:line="276" w:lineRule="auto"/>
                      <w:rPr>
                        <w:sz w:val="13"/>
                        <w:szCs w:val="13"/>
                      </w:rPr>
                    </w:pPr>
                    <w:r w:rsidRPr="00F200F9">
                      <w:rPr>
                        <w:sz w:val="13"/>
                        <w:szCs w:val="13"/>
                      </w:rPr>
                      <w:t>IENW/BSK-2025/17634</w:t>
                    </w:r>
                  </w:p>
                  <w:p w14:paraId="502DDDFA" w14:textId="77777777" w:rsidR="00D20AAE" w:rsidRPr="00D20AAE" w:rsidRDefault="00D20AAE" w:rsidP="00D20AA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6CCA27D9" wp14:editId="2267A612">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6D26879" w14:textId="77777777" w:rsidR="00924CB3" w:rsidRDefault="00C17370">
                          <w:pPr>
                            <w:pStyle w:val="Referentiegegevens"/>
                          </w:pPr>
                          <w:r>
                            <w:t xml:space="preserve">Pagina </w:t>
                          </w:r>
                          <w:r>
                            <w:fldChar w:fldCharType="begin"/>
                          </w:r>
                          <w:r>
                            <w:instrText>PAGE</w:instrText>
                          </w:r>
                          <w:r>
                            <w:fldChar w:fldCharType="separate"/>
                          </w:r>
                          <w:r w:rsidR="00CA596A">
                            <w:rPr>
                              <w:noProof/>
                            </w:rPr>
                            <w:t>2</w:t>
                          </w:r>
                          <w:r>
                            <w:fldChar w:fldCharType="end"/>
                          </w:r>
                          <w:r>
                            <w:t xml:space="preserve"> van </w:t>
                          </w:r>
                          <w:r>
                            <w:fldChar w:fldCharType="begin"/>
                          </w:r>
                          <w:r>
                            <w:instrText>NUMPAGES</w:instrText>
                          </w:r>
                          <w:r>
                            <w:fldChar w:fldCharType="separate"/>
                          </w:r>
                          <w:r w:rsidR="0076703B">
                            <w:rPr>
                              <w:noProof/>
                            </w:rPr>
                            <w:t>1</w:t>
                          </w:r>
                          <w:r>
                            <w:fldChar w:fldCharType="end"/>
                          </w:r>
                        </w:p>
                      </w:txbxContent>
                    </wps:txbx>
                    <wps:bodyPr vert="horz" wrap="square" lIns="0" tIns="0" rIns="0" bIns="0" anchor="t" anchorCtr="0"/>
                  </wps:wsp>
                </a:graphicData>
              </a:graphic>
            </wp:anchor>
          </w:drawing>
        </mc:Choice>
        <mc:Fallback>
          <w:pict>
            <v:shape w14:anchorId="6CCA27D9"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76D26879" w14:textId="77777777" w:rsidR="00924CB3" w:rsidRDefault="00C17370">
                    <w:pPr>
                      <w:pStyle w:val="Referentiegegevens"/>
                    </w:pPr>
                    <w:r>
                      <w:t xml:space="preserve">Pagina </w:t>
                    </w:r>
                    <w:r>
                      <w:fldChar w:fldCharType="begin"/>
                    </w:r>
                    <w:r>
                      <w:instrText>PAGE</w:instrText>
                    </w:r>
                    <w:r>
                      <w:fldChar w:fldCharType="separate"/>
                    </w:r>
                    <w:r w:rsidR="00CA596A">
                      <w:rPr>
                        <w:noProof/>
                      </w:rPr>
                      <w:t>2</w:t>
                    </w:r>
                    <w:r>
                      <w:fldChar w:fldCharType="end"/>
                    </w:r>
                    <w:r>
                      <w:t xml:space="preserve"> van </w:t>
                    </w:r>
                    <w:r>
                      <w:fldChar w:fldCharType="begin"/>
                    </w:r>
                    <w:r>
                      <w:instrText>NUMPAGES</w:instrText>
                    </w:r>
                    <w:r>
                      <w:fldChar w:fldCharType="separate"/>
                    </w:r>
                    <w:r w:rsidR="0076703B">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7D5ACC4A" wp14:editId="1F5C253A">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C7B8EE3" w14:textId="77777777" w:rsidR="00AA445F" w:rsidRDefault="00AA445F"/>
                      </w:txbxContent>
                    </wps:txbx>
                    <wps:bodyPr vert="horz" wrap="square" lIns="0" tIns="0" rIns="0" bIns="0" anchor="t" anchorCtr="0"/>
                  </wps:wsp>
                </a:graphicData>
              </a:graphic>
            </wp:anchor>
          </w:drawing>
        </mc:Choice>
        <mc:Fallback>
          <w:pict>
            <v:shape w14:anchorId="7D5ACC4A"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4C7B8EE3" w14:textId="77777777" w:rsidR="00AA445F" w:rsidRDefault="00AA445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D0CDCBE" wp14:editId="617D211D">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4E368E2" w14:textId="77777777" w:rsidR="00AA445F" w:rsidRDefault="00AA445F"/>
                      </w:txbxContent>
                    </wps:txbx>
                    <wps:bodyPr vert="horz" wrap="square" lIns="0" tIns="0" rIns="0" bIns="0" anchor="t" anchorCtr="0"/>
                  </wps:wsp>
                </a:graphicData>
              </a:graphic>
            </wp:anchor>
          </w:drawing>
        </mc:Choice>
        <mc:Fallback>
          <w:pict>
            <v:shape w14:anchorId="2D0CDCBE"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24E368E2" w14:textId="77777777" w:rsidR="00AA445F" w:rsidRDefault="00AA445F"/>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82E36" w14:textId="2C67A01D" w:rsidR="00924CB3" w:rsidRDefault="00C17370" w:rsidP="00E1040C">
    <w:pPr>
      <w:pStyle w:val="MarginlessContainer"/>
      <w:tabs>
        <w:tab w:val="left" w:pos="6252"/>
      </w:tabs>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186C494D" wp14:editId="0D44DACE">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83005B1" w14:textId="77777777" w:rsidR="00AA445F" w:rsidRDefault="00AA445F"/>
                      </w:txbxContent>
                    </wps:txbx>
                    <wps:bodyPr vert="horz" wrap="square" lIns="0" tIns="0" rIns="0" bIns="0" anchor="t" anchorCtr="0"/>
                  </wps:wsp>
                </a:graphicData>
              </a:graphic>
            </wp:anchor>
          </w:drawing>
        </mc:Choice>
        <mc:Fallback>
          <w:pict>
            <v:shapetype w14:anchorId="186C494D"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583005B1" w14:textId="77777777" w:rsidR="00AA445F" w:rsidRDefault="00AA445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58ABD6C" wp14:editId="56918EA2">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149529B" w14:textId="14230C31" w:rsidR="00924CB3" w:rsidRDefault="00C17370">
                          <w:pPr>
                            <w:pStyle w:val="Referentiegegevens"/>
                          </w:pPr>
                          <w:r>
                            <w:t xml:space="preserve">Pagina </w:t>
                          </w:r>
                          <w:r>
                            <w:fldChar w:fldCharType="begin"/>
                          </w:r>
                          <w:r>
                            <w:instrText>PAGE</w:instrText>
                          </w:r>
                          <w:r>
                            <w:fldChar w:fldCharType="separate"/>
                          </w:r>
                          <w:r w:rsidR="00F64606">
                            <w:rPr>
                              <w:noProof/>
                            </w:rPr>
                            <w:t>1</w:t>
                          </w:r>
                          <w:r>
                            <w:fldChar w:fldCharType="end"/>
                          </w:r>
                          <w:r>
                            <w:t xml:space="preserve"> van </w:t>
                          </w:r>
                          <w:r>
                            <w:fldChar w:fldCharType="begin"/>
                          </w:r>
                          <w:r>
                            <w:instrText>NUMPAGES</w:instrText>
                          </w:r>
                          <w:r>
                            <w:fldChar w:fldCharType="separate"/>
                          </w:r>
                          <w:r w:rsidR="00F64606">
                            <w:rPr>
                              <w:noProof/>
                            </w:rPr>
                            <w:t>1</w:t>
                          </w:r>
                          <w:r>
                            <w:fldChar w:fldCharType="end"/>
                          </w:r>
                        </w:p>
                      </w:txbxContent>
                    </wps:txbx>
                    <wps:bodyPr vert="horz" wrap="square" lIns="0" tIns="0" rIns="0" bIns="0" anchor="t" anchorCtr="0"/>
                  </wps:wsp>
                </a:graphicData>
              </a:graphic>
            </wp:anchor>
          </w:drawing>
        </mc:Choice>
        <mc:Fallback>
          <w:pict>
            <v:shape w14:anchorId="258ABD6C"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4149529B" w14:textId="14230C31" w:rsidR="00924CB3" w:rsidRDefault="00C17370">
                    <w:pPr>
                      <w:pStyle w:val="Referentiegegevens"/>
                    </w:pPr>
                    <w:r>
                      <w:t xml:space="preserve">Pagina </w:t>
                    </w:r>
                    <w:r>
                      <w:fldChar w:fldCharType="begin"/>
                    </w:r>
                    <w:r>
                      <w:instrText>PAGE</w:instrText>
                    </w:r>
                    <w:r>
                      <w:fldChar w:fldCharType="separate"/>
                    </w:r>
                    <w:r w:rsidR="00F64606">
                      <w:rPr>
                        <w:noProof/>
                      </w:rPr>
                      <w:t>1</w:t>
                    </w:r>
                    <w:r>
                      <w:fldChar w:fldCharType="end"/>
                    </w:r>
                    <w:r>
                      <w:t xml:space="preserve"> van </w:t>
                    </w:r>
                    <w:r>
                      <w:fldChar w:fldCharType="begin"/>
                    </w:r>
                    <w:r>
                      <w:instrText>NUMPAGES</w:instrText>
                    </w:r>
                    <w:r>
                      <w:fldChar w:fldCharType="separate"/>
                    </w:r>
                    <w:r w:rsidR="00F6460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919B1BF" wp14:editId="59C4BE82">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5385E5A" w14:textId="77777777" w:rsidR="00924CB3" w:rsidRDefault="00C17370">
                          <w:pPr>
                            <w:pStyle w:val="AfzendgegevensKop0"/>
                          </w:pPr>
                          <w:r>
                            <w:t>Ministerie van Infrastructuur en Waterstaat</w:t>
                          </w:r>
                        </w:p>
                        <w:p w14:paraId="3E88994F" w14:textId="77777777" w:rsidR="00924CB3" w:rsidRDefault="00924CB3">
                          <w:pPr>
                            <w:pStyle w:val="WitregelW1"/>
                          </w:pPr>
                        </w:p>
                        <w:p w14:paraId="196E33C8" w14:textId="77777777" w:rsidR="00924CB3" w:rsidRDefault="00C17370">
                          <w:pPr>
                            <w:pStyle w:val="Afzendgegevens"/>
                          </w:pPr>
                          <w:r>
                            <w:t>Rijnstraat 8</w:t>
                          </w:r>
                        </w:p>
                        <w:p w14:paraId="33C54F75" w14:textId="5FAC0BBC" w:rsidR="00924CB3" w:rsidRPr="00416D07" w:rsidRDefault="00C17370">
                          <w:pPr>
                            <w:pStyle w:val="Afzendgegevens"/>
                            <w:rPr>
                              <w:lang w:val="de-DE"/>
                            </w:rPr>
                          </w:pPr>
                          <w:r w:rsidRPr="00416D07">
                            <w:rPr>
                              <w:lang w:val="de-DE"/>
                            </w:rPr>
                            <w:t xml:space="preserve">2515 </w:t>
                          </w:r>
                          <w:r w:rsidR="000E1539" w:rsidRPr="00416D07">
                            <w:rPr>
                              <w:lang w:val="de-DE"/>
                            </w:rPr>
                            <w:t>XP Den</w:t>
                          </w:r>
                          <w:r w:rsidRPr="00416D07">
                            <w:rPr>
                              <w:lang w:val="de-DE"/>
                            </w:rPr>
                            <w:t xml:space="preserve"> Haag</w:t>
                          </w:r>
                        </w:p>
                        <w:p w14:paraId="33860024" w14:textId="77777777" w:rsidR="00924CB3" w:rsidRPr="00416D07" w:rsidRDefault="00C17370">
                          <w:pPr>
                            <w:pStyle w:val="Afzendgegevens"/>
                            <w:rPr>
                              <w:lang w:val="de-DE"/>
                            </w:rPr>
                          </w:pPr>
                          <w:r w:rsidRPr="00416D07">
                            <w:rPr>
                              <w:lang w:val="de-DE"/>
                            </w:rPr>
                            <w:t>Postbus 20901</w:t>
                          </w:r>
                        </w:p>
                        <w:p w14:paraId="36C0273E" w14:textId="77777777" w:rsidR="00924CB3" w:rsidRPr="00416D07" w:rsidRDefault="00C17370">
                          <w:pPr>
                            <w:pStyle w:val="Afzendgegevens"/>
                            <w:rPr>
                              <w:lang w:val="de-DE"/>
                            </w:rPr>
                          </w:pPr>
                          <w:r w:rsidRPr="00416D07">
                            <w:rPr>
                              <w:lang w:val="de-DE"/>
                            </w:rPr>
                            <w:t>2500 EX Den Haag</w:t>
                          </w:r>
                        </w:p>
                        <w:p w14:paraId="04AE37EA" w14:textId="77777777" w:rsidR="00924CB3" w:rsidRPr="00416D07" w:rsidRDefault="00924CB3">
                          <w:pPr>
                            <w:pStyle w:val="WitregelW1"/>
                            <w:rPr>
                              <w:lang w:val="de-DE"/>
                            </w:rPr>
                          </w:pPr>
                        </w:p>
                        <w:p w14:paraId="2AA3BCF0" w14:textId="77777777" w:rsidR="00924CB3" w:rsidRPr="00416D07" w:rsidRDefault="00C17370">
                          <w:pPr>
                            <w:pStyle w:val="Afzendgegevens"/>
                            <w:rPr>
                              <w:lang w:val="de-DE"/>
                            </w:rPr>
                          </w:pPr>
                          <w:r w:rsidRPr="00416D07">
                            <w:rPr>
                              <w:lang w:val="de-DE"/>
                            </w:rPr>
                            <w:t>T   070-456 0000</w:t>
                          </w:r>
                        </w:p>
                        <w:p w14:paraId="66940E1D" w14:textId="77777777" w:rsidR="00924CB3" w:rsidRDefault="00C17370">
                          <w:pPr>
                            <w:pStyle w:val="Afzendgegevens"/>
                          </w:pPr>
                          <w:r>
                            <w:t>F   070-456 1111</w:t>
                          </w:r>
                        </w:p>
                        <w:p w14:paraId="5F90BFEF" w14:textId="77777777" w:rsidR="00D20635" w:rsidRDefault="00D20635" w:rsidP="00D20635"/>
                        <w:p w14:paraId="1F901834" w14:textId="56799E15" w:rsidR="00D20635" w:rsidRPr="00D20635" w:rsidRDefault="00D20635" w:rsidP="00D20AAE">
                          <w:pPr>
                            <w:spacing w:line="276" w:lineRule="auto"/>
                            <w:rPr>
                              <w:b/>
                              <w:bCs/>
                              <w:sz w:val="13"/>
                              <w:szCs w:val="13"/>
                            </w:rPr>
                          </w:pPr>
                          <w:r w:rsidRPr="00D20635">
                            <w:rPr>
                              <w:b/>
                              <w:bCs/>
                              <w:sz w:val="13"/>
                              <w:szCs w:val="13"/>
                            </w:rPr>
                            <w:t>Ons kenmerk</w:t>
                          </w:r>
                        </w:p>
                        <w:p w14:paraId="208A257E" w14:textId="67DA6248" w:rsidR="00D20AAE" w:rsidRDefault="00F200F9" w:rsidP="00D20AAE">
                          <w:pPr>
                            <w:spacing w:line="276" w:lineRule="auto"/>
                            <w:rPr>
                              <w:sz w:val="13"/>
                              <w:szCs w:val="13"/>
                            </w:rPr>
                          </w:pPr>
                          <w:r w:rsidRPr="00F200F9">
                            <w:rPr>
                              <w:sz w:val="13"/>
                              <w:szCs w:val="13"/>
                            </w:rPr>
                            <w:t>IENW/BSK-2025/17634</w:t>
                          </w:r>
                        </w:p>
                        <w:p w14:paraId="12C9F536" w14:textId="77777777" w:rsidR="00D20AAE" w:rsidRDefault="00D20AAE" w:rsidP="00D20AAE">
                          <w:pPr>
                            <w:spacing w:line="276" w:lineRule="auto"/>
                            <w:rPr>
                              <w:sz w:val="13"/>
                              <w:szCs w:val="13"/>
                            </w:rPr>
                          </w:pPr>
                        </w:p>
                        <w:p w14:paraId="20C8BC95" w14:textId="46680B66" w:rsidR="00D20635" w:rsidRPr="00D20635" w:rsidRDefault="00D20635" w:rsidP="00D20635">
                          <w:pPr>
                            <w:rPr>
                              <w:b/>
                              <w:bCs/>
                              <w:sz w:val="13"/>
                              <w:szCs w:val="13"/>
                            </w:rPr>
                          </w:pPr>
                          <w:r w:rsidRPr="00D20635">
                            <w:rPr>
                              <w:b/>
                              <w:bCs/>
                              <w:sz w:val="13"/>
                              <w:szCs w:val="13"/>
                            </w:rPr>
                            <w:t>Bijlage(n)</w:t>
                          </w:r>
                        </w:p>
                        <w:p w14:paraId="53F84D95" w14:textId="31711044" w:rsidR="00E66512" w:rsidRPr="00D734BD" w:rsidRDefault="00D20AAE" w:rsidP="00D20635">
                          <w:pPr>
                            <w:rPr>
                              <w:sz w:val="13"/>
                              <w:szCs w:val="13"/>
                              <w:lang w:val="en-US"/>
                            </w:rPr>
                          </w:pPr>
                          <w:r>
                            <w:rPr>
                              <w:sz w:val="13"/>
                              <w:szCs w:val="13"/>
                            </w:rPr>
                            <w:t>6</w:t>
                          </w:r>
                        </w:p>
                      </w:txbxContent>
                    </wps:txbx>
                    <wps:bodyPr vert="horz" wrap="square" lIns="0" tIns="0" rIns="0" bIns="0" anchor="t" anchorCtr="0"/>
                  </wps:wsp>
                </a:graphicData>
              </a:graphic>
            </wp:anchor>
          </w:drawing>
        </mc:Choice>
        <mc:Fallback>
          <w:pict>
            <v:shape w14:anchorId="2919B1BF"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65385E5A" w14:textId="77777777" w:rsidR="00924CB3" w:rsidRDefault="00C17370">
                    <w:pPr>
                      <w:pStyle w:val="AfzendgegevensKop0"/>
                    </w:pPr>
                    <w:r>
                      <w:t>Ministerie van Infrastructuur en Waterstaat</w:t>
                    </w:r>
                  </w:p>
                  <w:p w14:paraId="3E88994F" w14:textId="77777777" w:rsidR="00924CB3" w:rsidRDefault="00924CB3">
                    <w:pPr>
                      <w:pStyle w:val="WitregelW1"/>
                    </w:pPr>
                  </w:p>
                  <w:p w14:paraId="196E33C8" w14:textId="77777777" w:rsidR="00924CB3" w:rsidRDefault="00C17370">
                    <w:pPr>
                      <w:pStyle w:val="Afzendgegevens"/>
                    </w:pPr>
                    <w:r>
                      <w:t>Rijnstraat 8</w:t>
                    </w:r>
                  </w:p>
                  <w:p w14:paraId="33C54F75" w14:textId="5FAC0BBC" w:rsidR="00924CB3" w:rsidRPr="00416D07" w:rsidRDefault="00C17370">
                    <w:pPr>
                      <w:pStyle w:val="Afzendgegevens"/>
                      <w:rPr>
                        <w:lang w:val="de-DE"/>
                      </w:rPr>
                    </w:pPr>
                    <w:r w:rsidRPr="00416D07">
                      <w:rPr>
                        <w:lang w:val="de-DE"/>
                      </w:rPr>
                      <w:t xml:space="preserve">2515 </w:t>
                    </w:r>
                    <w:r w:rsidR="000E1539" w:rsidRPr="00416D07">
                      <w:rPr>
                        <w:lang w:val="de-DE"/>
                      </w:rPr>
                      <w:t>XP Den</w:t>
                    </w:r>
                    <w:r w:rsidRPr="00416D07">
                      <w:rPr>
                        <w:lang w:val="de-DE"/>
                      </w:rPr>
                      <w:t xml:space="preserve"> Haag</w:t>
                    </w:r>
                  </w:p>
                  <w:p w14:paraId="33860024" w14:textId="77777777" w:rsidR="00924CB3" w:rsidRPr="00416D07" w:rsidRDefault="00C17370">
                    <w:pPr>
                      <w:pStyle w:val="Afzendgegevens"/>
                      <w:rPr>
                        <w:lang w:val="de-DE"/>
                      </w:rPr>
                    </w:pPr>
                    <w:r w:rsidRPr="00416D07">
                      <w:rPr>
                        <w:lang w:val="de-DE"/>
                      </w:rPr>
                      <w:t>Postbus 20901</w:t>
                    </w:r>
                  </w:p>
                  <w:p w14:paraId="36C0273E" w14:textId="77777777" w:rsidR="00924CB3" w:rsidRPr="00416D07" w:rsidRDefault="00C17370">
                    <w:pPr>
                      <w:pStyle w:val="Afzendgegevens"/>
                      <w:rPr>
                        <w:lang w:val="de-DE"/>
                      </w:rPr>
                    </w:pPr>
                    <w:r w:rsidRPr="00416D07">
                      <w:rPr>
                        <w:lang w:val="de-DE"/>
                      </w:rPr>
                      <w:t>2500 EX Den Haag</w:t>
                    </w:r>
                  </w:p>
                  <w:p w14:paraId="04AE37EA" w14:textId="77777777" w:rsidR="00924CB3" w:rsidRPr="00416D07" w:rsidRDefault="00924CB3">
                    <w:pPr>
                      <w:pStyle w:val="WitregelW1"/>
                      <w:rPr>
                        <w:lang w:val="de-DE"/>
                      </w:rPr>
                    </w:pPr>
                  </w:p>
                  <w:p w14:paraId="2AA3BCF0" w14:textId="77777777" w:rsidR="00924CB3" w:rsidRPr="00416D07" w:rsidRDefault="00C17370">
                    <w:pPr>
                      <w:pStyle w:val="Afzendgegevens"/>
                      <w:rPr>
                        <w:lang w:val="de-DE"/>
                      </w:rPr>
                    </w:pPr>
                    <w:r w:rsidRPr="00416D07">
                      <w:rPr>
                        <w:lang w:val="de-DE"/>
                      </w:rPr>
                      <w:t>T   070-456 0000</w:t>
                    </w:r>
                  </w:p>
                  <w:p w14:paraId="66940E1D" w14:textId="77777777" w:rsidR="00924CB3" w:rsidRDefault="00C17370">
                    <w:pPr>
                      <w:pStyle w:val="Afzendgegevens"/>
                    </w:pPr>
                    <w:r>
                      <w:t>F   070-456 1111</w:t>
                    </w:r>
                  </w:p>
                  <w:p w14:paraId="5F90BFEF" w14:textId="77777777" w:rsidR="00D20635" w:rsidRDefault="00D20635" w:rsidP="00D20635"/>
                  <w:p w14:paraId="1F901834" w14:textId="56799E15" w:rsidR="00D20635" w:rsidRPr="00D20635" w:rsidRDefault="00D20635" w:rsidP="00D20AAE">
                    <w:pPr>
                      <w:spacing w:line="276" w:lineRule="auto"/>
                      <w:rPr>
                        <w:b/>
                        <w:bCs/>
                        <w:sz w:val="13"/>
                        <w:szCs w:val="13"/>
                      </w:rPr>
                    </w:pPr>
                    <w:r w:rsidRPr="00D20635">
                      <w:rPr>
                        <w:b/>
                        <w:bCs/>
                        <w:sz w:val="13"/>
                        <w:szCs w:val="13"/>
                      </w:rPr>
                      <w:t>Ons kenmerk</w:t>
                    </w:r>
                  </w:p>
                  <w:p w14:paraId="208A257E" w14:textId="67DA6248" w:rsidR="00D20AAE" w:rsidRDefault="00F200F9" w:rsidP="00D20AAE">
                    <w:pPr>
                      <w:spacing w:line="276" w:lineRule="auto"/>
                      <w:rPr>
                        <w:sz w:val="13"/>
                        <w:szCs w:val="13"/>
                      </w:rPr>
                    </w:pPr>
                    <w:r w:rsidRPr="00F200F9">
                      <w:rPr>
                        <w:sz w:val="13"/>
                        <w:szCs w:val="13"/>
                      </w:rPr>
                      <w:t>IENW/BSK-2025/17634</w:t>
                    </w:r>
                  </w:p>
                  <w:p w14:paraId="12C9F536" w14:textId="77777777" w:rsidR="00D20AAE" w:rsidRDefault="00D20AAE" w:rsidP="00D20AAE">
                    <w:pPr>
                      <w:spacing w:line="276" w:lineRule="auto"/>
                      <w:rPr>
                        <w:sz w:val="13"/>
                        <w:szCs w:val="13"/>
                      </w:rPr>
                    </w:pPr>
                  </w:p>
                  <w:p w14:paraId="20C8BC95" w14:textId="46680B66" w:rsidR="00D20635" w:rsidRPr="00D20635" w:rsidRDefault="00D20635" w:rsidP="00D20635">
                    <w:pPr>
                      <w:rPr>
                        <w:b/>
                        <w:bCs/>
                        <w:sz w:val="13"/>
                        <w:szCs w:val="13"/>
                      </w:rPr>
                    </w:pPr>
                    <w:r w:rsidRPr="00D20635">
                      <w:rPr>
                        <w:b/>
                        <w:bCs/>
                        <w:sz w:val="13"/>
                        <w:szCs w:val="13"/>
                      </w:rPr>
                      <w:t>Bijlage(n)</w:t>
                    </w:r>
                  </w:p>
                  <w:p w14:paraId="53F84D95" w14:textId="31711044" w:rsidR="00E66512" w:rsidRPr="00D734BD" w:rsidRDefault="00D20AAE" w:rsidP="00D20635">
                    <w:pPr>
                      <w:rPr>
                        <w:sz w:val="13"/>
                        <w:szCs w:val="13"/>
                        <w:lang w:val="en-US"/>
                      </w:rPr>
                    </w:pPr>
                    <w:r>
                      <w:rPr>
                        <w:sz w:val="13"/>
                        <w:szCs w:val="13"/>
                      </w:rPr>
                      <w:t>6</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BCD5E0F" wp14:editId="409E67AD">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C0A3221" w14:textId="77777777" w:rsidR="00924CB3" w:rsidRDefault="00C17370">
                          <w:pPr>
                            <w:pStyle w:val="MarginlessContainer"/>
                          </w:pPr>
                          <w:r>
                            <w:rPr>
                              <w:noProof/>
                              <w:lang w:val="en-GB" w:eastAsia="en-GB"/>
                            </w:rPr>
                            <w:drawing>
                              <wp:inline distT="0" distB="0" distL="0" distR="0" wp14:anchorId="16224D95" wp14:editId="3D070EB1">
                                <wp:extent cx="467995" cy="1583865"/>
                                <wp:effectExtent l="0" t="0" r="0" b="0"/>
                                <wp:docPr id="1201314616" name="Afbeelding 1201314616"/>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BCD5E0F"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4C0A3221" w14:textId="77777777" w:rsidR="00924CB3" w:rsidRDefault="00C17370">
                    <w:pPr>
                      <w:pStyle w:val="MarginlessContainer"/>
                    </w:pPr>
                    <w:r>
                      <w:rPr>
                        <w:noProof/>
                        <w:lang w:val="en-GB" w:eastAsia="en-GB"/>
                      </w:rPr>
                      <w:drawing>
                        <wp:inline distT="0" distB="0" distL="0" distR="0" wp14:anchorId="16224D95" wp14:editId="3D070EB1">
                          <wp:extent cx="467995" cy="1583865"/>
                          <wp:effectExtent l="0" t="0" r="0" b="0"/>
                          <wp:docPr id="1201314616" name="Afbeelding 1201314616"/>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17FC2600" wp14:editId="3F4A92C9">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C4667FC" w14:textId="77777777" w:rsidR="00924CB3" w:rsidRDefault="00C17370">
                          <w:pPr>
                            <w:pStyle w:val="MarginlessContainer"/>
                          </w:pPr>
                          <w:r>
                            <w:rPr>
                              <w:noProof/>
                              <w:lang w:val="en-GB" w:eastAsia="en-GB"/>
                            </w:rPr>
                            <w:drawing>
                              <wp:inline distT="0" distB="0" distL="0" distR="0" wp14:anchorId="52CB73AB" wp14:editId="62213904">
                                <wp:extent cx="2339975" cy="1582834"/>
                                <wp:effectExtent l="0" t="0" r="0" b="0"/>
                                <wp:docPr id="1968096721" name="Afbeelding 1968096721"/>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7FC2600"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1C4667FC" w14:textId="77777777" w:rsidR="00924CB3" w:rsidRDefault="00C17370">
                    <w:pPr>
                      <w:pStyle w:val="MarginlessContainer"/>
                    </w:pPr>
                    <w:r>
                      <w:rPr>
                        <w:noProof/>
                        <w:lang w:val="en-GB" w:eastAsia="en-GB"/>
                      </w:rPr>
                      <w:drawing>
                        <wp:inline distT="0" distB="0" distL="0" distR="0" wp14:anchorId="52CB73AB" wp14:editId="62213904">
                          <wp:extent cx="2339975" cy="1582834"/>
                          <wp:effectExtent l="0" t="0" r="0" b="0"/>
                          <wp:docPr id="1968096721" name="Afbeelding 1968096721"/>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AEDF91F" wp14:editId="067AD469">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3612F32" w14:textId="77777777" w:rsidR="00924CB3" w:rsidRDefault="00C17370">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AEDF91F"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03612F32" w14:textId="77777777" w:rsidR="00924CB3" w:rsidRDefault="00C17370">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313371D3" wp14:editId="1DA26F8A">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9E74C0E" w14:textId="77777777" w:rsidR="00924CB3" w:rsidRDefault="00C17370">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313371D3"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69E74C0E" w14:textId="77777777" w:rsidR="00924CB3" w:rsidRDefault="00C17370">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B9DCA56" wp14:editId="6F6830D6">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24CB3" w14:paraId="3366994A" w14:textId="77777777">
                            <w:trPr>
                              <w:trHeight w:val="200"/>
                            </w:trPr>
                            <w:tc>
                              <w:tcPr>
                                <w:tcW w:w="1140" w:type="dxa"/>
                              </w:tcPr>
                              <w:p w14:paraId="4B2EA77C" w14:textId="77777777" w:rsidR="00924CB3" w:rsidRDefault="00924CB3"/>
                            </w:tc>
                            <w:tc>
                              <w:tcPr>
                                <w:tcW w:w="5400" w:type="dxa"/>
                              </w:tcPr>
                              <w:p w14:paraId="57DC243A" w14:textId="77777777" w:rsidR="00924CB3" w:rsidRDefault="00924CB3"/>
                            </w:tc>
                          </w:tr>
                          <w:tr w:rsidR="00924CB3" w14:paraId="7203DEF1" w14:textId="77777777">
                            <w:trPr>
                              <w:trHeight w:val="240"/>
                            </w:trPr>
                            <w:tc>
                              <w:tcPr>
                                <w:tcW w:w="1140" w:type="dxa"/>
                              </w:tcPr>
                              <w:p w14:paraId="02138C05" w14:textId="77777777" w:rsidR="00924CB3" w:rsidRDefault="00C17370">
                                <w:r>
                                  <w:t>Datum</w:t>
                                </w:r>
                              </w:p>
                            </w:tc>
                            <w:tc>
                              <w:tcPr>
                                <w:tcW w:w="5400" w:type="dxa"/>
                              </w:tcPr>
                              <w:p w14:paraId="42EF5104" w14:textId="4C2A4314" w:rsidR="00924CB3" w:rsidRDefault="00F200F9">
                                <w:r>
                                  <w:t>21 januari 2025</w:t>
                                </w:r>
                              </w:p>
                            </w:tc>
                          </w:tr>
                          <w:tr w:rsidR="00924CB3" w14:paraId="7C626DB7" w14:textId="77777777">
                            <w:trPr>
                              <w:trHeight w:val="240"/>
                            </w:trPr>
                            <w:tc>
                              <w:tcPr>
                                <w:tcW w:w="1140" w:type="dxa"/>
                              </w:tcPr>
                              <w:p w14:paraId="198CC840" w14:textId="77777777" w:rsidR="00924CB3" w:rsidRDefault="00C17370">
                                <w:r>
                                  <w:t>Betreft</w:t>
                                </w:r>
                              </w:p>
                            </w:tc>
                            <w:tc>
                              <w:tcPr>
                                <w:tcW w:w="5400" w:type="dxa"/>
                              </w:tcPr>
                              <w:p w14:paraId="48EB0D1A" w14:textId="09B8F467" w:rsidR="00924CB3" w:rsidRDefault="00A561A5">
                                <w:r>
                                  <w:t>Uitvoering</w:t>
                                </w:r>
                                <w:r w:rsidR="00402840">
                                  <w:t xml:space="preserve"> van verschillende</w:t>
                                </w:r>
                                <w:r>
                                  <w:t xml:space="preserve"> acties</w:t>
                                </w:r>
                                <w:r w:rsidR="00402840">
                                  <w:t xml:space="preserve"> bij</w:t>
                                </w:r>
                                <w:r>
                                  <w:t xml:space="preserve"> beleid chemische stoffen</w:t>
                                </w:r>
                              </w:p>
                            </w:tc>
                          </w:tr>
                          <w:tr w:rsidR="00924CB3" w14:paraId="7138504E" w14:textId="77777777">
                            <w:trPr>
                              <w:trHeight w:val="200"/>
                            </w:trPr>
                            <w:tc>
                              <w:tcPr>
                                <w:tcW w:w="1140" w:type="dxa"/>
                              </w:tcPr>
                              <w:p w14:paraId="67180C6D" w14:textId="77777777" w:rsidR="00924CB3" w:rsidRDefault="00924CB3"/>
                            </w:tc>
                            <w:tc>
                              <w:tcPr>
                                <w:tcW w:w="5400" w:type="dxa"/>
                              </w:tcPr>
                              <w:p w14:paraId="20A190AF" w14:textId="77777777" w:rsidR="00924CB3" w:rsidRDefault="00924CB3"/>
                            </w:tc>
                          </w:tr>
                        </w:tbl>
                        <w:p w14:paraId="186DAC29" w14:textId="77777777" w:rsidR="00AA445F" w:rsidRDefault="00AA445F"/>
                      </w:txbxContent>
                    </wps:txbx>
                    <wps:bodyPr vert="horz" wrap="square" lIns="0" tIns="0" rIns="0" bIns="0" anchor="t" anchorCtr="0"/>
                  </wps:wsp>
                </a:graphicData>
              </a:graphic>
            </wp:anchor>
          </w:drawing>
        </mc:Choice>
        <mc:Fallback>
          <w:pict>
            <v:shape w14:anchorId="7B9DCA56"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924CB3" w14:paraId="3366994A" w14:textId="77777777">
                      <w:trPr>
                        <w:trHeight w:val="200"/>
                      </w:trPr>
                      <w:tc>
                        <w:tcPr>
                          <w:tcW w:w="1140" w:type="dxa"/>
                        </w:tcPr>
                        <w:p w14:paraId="4B2EA77C" w14:textId="77777777" w:rsidR="00924CB3" w:rsidRDefault="00924CB3"/>
                      </w:tc>
                      <w:tc>
                        <w:tcPr>
                          <w:tcW w:w="5400" w:type="dxa"/>
                        </w:tcPr>
                        <w:p w14:paraId="57DC243A" w14:textId="77777777" w:rsidR="00924CB3" w:rsidRDefault="00924CB3"/>
                      </w:tc>
                    </w:tr>
                    <w:tr w:rsidR="00924CB3" w14:paraId="7203DEF1" w14:textId="77777777">
                      <w:trPr>
                        <w:trHeight w:val="240"/>
                      </w:trPr>
                      <w:tc>
                        <w:tcPr>
                          <w:tcW w:w="1140" w:type="dxa"/>
                        </w:tcPr>
                        <w:p w14:paraId="02138C05" w14:textId="77777777" w:rsidR="00924CB3" w:rsidRDefault="00C17370">
                          <w:r>
                            <w:t>Datum</w:t>
                          </w:r>
                        </w:p>
                      </w:tc>
                      <w:tc>
                        <w:tcPr>
                          <w:tcW w:w="5400" w:type="dxa"/>
                        </w:tcPr>
                        <w:p w14:paraId="42EF5104" w14:textId="4C2A4314" w:rsidR="00924CB3" w:rsidRDefault="00F200F9">
                          <w:r>
                            <w:t>21 januari 2025</w:t>
                          </w:r>
                        </w:p>
                      </w:tc>
                    </w:tr>
                    <w:tr w:rsidR="00924CB3" w14:paraId="7C626DB7" w14:textId="77777777">
                      <w:trPr>
                        <w:trHeight w:val="240"/>
                      </w:trPr>
                      <w:tc>
                        <w:tcPr>
                          <w:tcW w:w="1140" w:type="dxa"/>
                        </w:tcPr>
                        <w:p w14:paraId="198CC840" w14:textId="77777777" w:rsidR="00924CB3" w:rsidRDefault="00C17370">
                          <w:r>
                            <w:t>Betreft</w:t>
                          </w:r>
                        </w:p>
                      </w:tc>
                      <w:tc>
                        <w:tcPr>
                          <w:tcW w:w="5400" w:type="dxa"/>
                        </w:tcPr>
                        <w:p w14:paraId="48EB0D1A" w14:textId="09B8F467" w:rsidR="00924CB3" w:rsidRDefault="00A561A5">
                          <w:r>
                            <w:t>Uitvoering</w:t>
                          </w:r>
                          <w:r w:rsidR="00402840">
                            <w:t xml:space="preserve"> van verschillende</w:t>
                          </w:r>
                          <w:r>
                            <w:t xml:space="preserve"> acties</w:t>
                          </w:r>
                          <w:r w:rsidR="00402840">
                            <w:t xml:space="preserve"> bij</w:t>
                          </w:r>
                          <w:r>
                            <w:t xml:space="preserve"> beleid chemische stoffen</w:t>
                          </w:r>
                        </w:p>
                      </w:tc>
                    </w:tr>
                    <w:tr w:rsidR="00924CB3" w14:paraId="7138504E" w14:textId="77777777">
                      <w:trPr>
                        <w:trHeight w:val="200"/>
                      </w:trPr>
                      <w:tc>
                        <w:tcPr>
                          <w:tcW w:w="1140" w:type="dxa"/>
                        </w:tcPr>
                        <w:p w14:paraId="67180C6D" w14:textId="77777777" w:rsidR="00924CB3" w:rsidRDefault="00924CB3"/>
                      </w:tc>
                      <w:tc>
                        <w:tcPr>
                          <w:tcW w:w="5400" w:type="dxa"/>
                        </w:tcPr>
                        <w:p w14:paraId="20A190AF" w14:textId="77777777" w:rsidR="00924CB3" w:rsidRDefault="00924CB3"/>
                      </w:tc>
                    </w:tr>
                  </w:tbl>
                  <w:p w14:paraId="186DAC29" w14:textId="77777777" w:rsidR="00AA445F" w:rsidRDefault="00AA445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0B267BA7" wp14:editId="5E627D86">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94EF8D6" w14:textId="77777777" w:rsidR="00AA445F" w:rsidRDefault="00AA445F"/>
                      </w:txbxContent>
                    </wps:txbx>
                    <wps:bodyPr vert="horz" wrap="square" lIns="0" tIns="0" rIns="0" bIns="0" anchor="t" anchorCtr="0"/>
                  </wps:wsp>
                </a:graphicData>
              </a:graphic>
            </wp:anchor>
          </w:drawing>
        </mc:Choice>
        <mc:Fallback>
          <w:pict>
            <v:shape w14:anchorId="0B267BA7"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394EF8D6" w14:textId="77777777" w:rsidR="00AA445F" w:rsidRDefault="00AA445F"/>
                </w:txbxContent>
              </v:textbox>
              <w10:wrap anchorx="page" anchory="page"/>
              <w10:anchorlock/>
            </v:shape>
          </w:pict>
        </mc:Fallback>
      </mc:AlternateContent>
    </w:r>
    <w:r w:rsidR="00E1040C">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920A75"/>
    <w:multiLevelType w:val="multilevel"/>
    <w:tmpl w:val="8ABA1CCF"/>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B524800"/>
    <w:multiLevelType w:val="multilevel"/>
    <w:tmpl w:val="EB5CFEB0"/>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94D55CA"/>
    <w:multiLevelType w:val="multilevel"/>
    <w:tmpl w:val="8276DBD6"/>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A894935"/>
    <w:multiLevelType w:val="multilevel"/>
    <w:tmpl w:val="D32AB668"/>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0FEA1F5"/>
    <w:multiLevelType w:val="multilevel"/>
    <w:tmpl w:val="1414297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A570D67"/>
    <w:multiLevelType w:val="multilevel"/>
    <w:tmpl w:val="AE625B87"/>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ED4BF01"/>
    <w:multiLevelType w:val="multilevel"/>
    <w:tmpl w:val="F4580D00"/>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1FC9071"/>
    <w:multiLevelType w:val="multilevel"/>
    <w:tmpl w:val="A3E9FD76"/>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6FF9383"/>
    <w:multiLevelType w:val="multilevel"/>
    <w:tmpl w:val="6EDC252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7DC31EB"/>
    <w:multiLevelType w:val="multilevel"/>
    <w:tmpl w:val="FF797367"/>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DFF6576"/>
    <w:multiLevelType w:val="multilevel"/>
    <w:tmpl w:val="EAFD8D55"/>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2DDB3DC"/>
    <w:multiLevelType w:val="multilevel"/>
    <w:tmpl w:val="B9D50615"/>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4CDF28F"/>
    <w:multiLevelType w:val="multilevel"/>
    <w:tmpl w:val="F8775B0E"/>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1D7A44"/>
    <w:multiLevelType w:val="hybridMultilevel"/>
    <w:tmpl w:val="8506BDA4"/>
    <w:lvl w:ilvl="0" w:tplc="CB2A8620">
      <w:start w:val="1"/>
      <w:numFmt w:val="decimal"/>
      <w:lvlText w:val="%1."/>
      <w:lvlJc w:val="left"/>
      <w:pPr>
        <w:ind w:left="720" w:hanging="360"/>
      </w:pPr>
      <w:rPr>
        <w:b/>
        <w:bCs/>
        <w:i w:val="0"/>
        <w:iCs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002E07B0"/>
    <w:multiLevelType w:val="hybridMultilevel"/>
    <w:tmpl w:val="5742F830"/>
    <w:lvl w:ilvl="0" w:tplc="D36A4AFE">
      <w:start w:val="1"/>
      <w:numFmt w:val="decimal"/>
      <w:lvlText w:val="%1."/>
      <w:lvlJc w:val="left"/>
      <w:pPr>
        <w:ind w:left="1020" w:hanging="360"/>
      </w:pPr>
    </w:lvl>
    <w:lvl w:ilvl="1" w:tplc="4F144902">
      <w:start w:val="1"/>
      <w:numFmt w:val="decimal"/>
      <w:lvlText w:val="%2."/>
      <w:lvlJc w:val="left"/>
      <w:pPr>
        <w:ind w:left="1020" w:hanging="360"/>
      </w:pPr>
    </w:lvl>
    <w:lvl w:ilvl="2" w:tplc="2CE25A66">
      <w:start w:val="1"/>
      <w:numFmt w:val="decimal"/>
      <w:lvlText w:val="%3."/>
      <w:lvlJc w:val="left"/>
      <w:pPr>
        <w:ind w:left="1020" w:hanging="360"/>
      </w:pPr>
    </w:lvl>
    <w:lvl w:ilvl="3" w:tplc="77F6876E">
      <w:start w:val="1"/>
      <w:numFmt w:val="decimal"/>
      <w:lvlText w:val="%4."/>
      <w:lvlJc w:val="left"/>
      <w:pPr>
        <w:ind w:left="1020" w:hanging="360"/>
      </w:pPr>
    </w:lvl>
    <w:lvl w:ilvl="4" w:tplc="F76ED22A">
      <w:start w:val="1"/>
      <w:numFmt w:val="decimal"/>
      <w:lvlText w:val="%5."/>
      <w:lvlJc w:val="left"/>
      <w:pPr>
        <w:ind w:left="1020" w:hanging="360"/>
      </w:pPr>
    </w:lvl>
    <w:lvl w:ilvl="5" w:tplc="2F482734">
      <w:start w:val="1"/>
      <w:numFmt w:val="decimal"/>
      <w:lvlText w:val="%6."/>
      <w:lvlJc w:val="left"/>
      <w:pPr>
        <w:ind w:left="1020" w:hanging="360"/>
      </w:pPr>
    </w:lvl>
    <w:lvl w:ilvl="6" w:tplc="3A1CC378">
      <w:start w:val="1"/>
      <w:numFmt w:val="decimal"/>
      <w:lvlText w:val="%7."/>
      <w:lvlJc w:val="left"/>
      <w:pPr>
        <w:ind w:left="1020" w:hanging="360"/>
      </w:pPr>
    </w:lvl>
    <w:lvl w:ilvl="7" w:tplc="6FB29B14">
      <w:start w:val="1"/>
      <w:numFmt w:val="decimal"/>
      <w:lvlText w:val="%8."/>
      <w:lvlJc w:val="left"/>
      <w:pPr>
        <w:ind w:left="1020" w:hanging="360"/>
      </w:pPr>
    </w:lvl>
    <w:lvl w:ilvl="8" w:tplc="C29EB432">
      <w:start w:val="1"/>
      <w:numFmt w:val="decimal"/>
      <w:lvlText w:val="%9."/>
      <w:lvlJc w:val="left"/>
      <w:pPr>
        <w:ind w:left="1020" w:hanging="360"/>
      </w:pPr>
    </w:lvl>
  </w:abstractNum>
  <w:abstractNum w:abstractNumId="15" w15:restartNumberingAfterBreak="0">
    <w:nsid w:val="07056AEF"/>
    <w:multiLevelType w:val="hybridMultilevel"/>
    <w:tmpl w:val="624A1E3C"/>
    <w:lvl w:ilvl="0" w:tplc="0B52A626">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0C0D1237"/>
    <w:multiLevelType w:val="multilevel"/>
    <w:tmpl w:val="4A87F23F"/>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64A61B4"/>
    <w:multiLevelType w:val="multilevel"/>
    <w:tmpl w:val="9D04C7FA"/>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68113EB"/>
    <w:multiLevelType w:val="hybridMultilevel"/>
    <w:tmpl w:val="5C0818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84F0DAF"/>
    <w:multiLevelType w:val="multilevel"/>
    <w:tmpl w:val="9E71DCF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3519AF7"/>
    <w:multiLevelType w:val="multilevel"/>
    <w:tmpl w:val="1F3CEF4E"/>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B96A11"/>
    <w:multiLevelType w:val="hybridMultilevel"/>
    <w:tmpl w:val="A1D28E0E"/>
    <w:lvl w:ilvl="0" w:tplc="1F4063BA">
      <w:start w:val="1"/>
      <w:numFmt w:val="bullet"/>
      <w:lvlText w:val="•"/>
      <w:lvlJc w:val="left"/>
      <w:pPr>
        <w:tabs>
          <w:tab w:val="num" w:pos="720"/>
        </w:tabs>
        <w:ind w:left="720" w:hanging="360"/>
      </w:pPr>
      <w:rPr>
        <w:rFonts w:ascii="Arial" w:hAnsi="Arial" w:hint="default"/>
      </w:rPr>
    </w:lvl>
    <w:lvl w:ilvl="1" w:tplc="3DC64944">
      <w:start w:val="1"/>
      <w:numFmt w:val="bullet"/>
      <w:lvlText w:val="•"/>
      <w:lvlJc w:val="left"/>
      <w:pPr>
        <w:tabs>
          <w:tab w:val="num" w:pos="1440"/>
        </w:tabs>
        <w:ind w:left="1440" w:hanging="360"/>
      </w:pPr>
      <w:rPr>
        <w:rFonts w:ascii="Arial" w:hAnsi="Arial" w:hint="default"/>
      </w:rPr>
    </w:lvl>
    <w:lvl w:ilvl="2" w:tplc="187A4616" w:tentative="1">
      <w:start w:val="1"/>
      <w:numFmt w:val="bullet"/>
      <w:lvlText w:val="•"/>
      <w:lvlJc w:val="left"/>
      <w:pPr>
        <w:tabs>
          <w:tab w:val="num" w:pos="2160"/>
        </w:tabs>
        <w:ind w:left="2160" w:hanging="360"/>
      </w:pPr>
      <w:rPr>
        <w:rFonts w:ascii="Arial" w:hAnsi="Arial" w:hint="default"/>
      </w:rPr>
    </w:lvl>
    <w:lvl w:ilvl="3" w:tplc="3E48C81A" w:tentative="1">
      <w:start w:val="1"/>
      <w:numFmt w:val="bullet"/>
      <w:lvlText w:val="•"/>
      <w:lvlJc w:val="left"/>
      <w:pPr>
        <w:tabs>
          <w:tab w:val="num" w:pos="2880"/>
        </w:tabs>
        <w:ind w:left="2880" w:hanging="360"/>
      </w:pPr>
      <w:rPr>
        <w:rFonts w:ascii="Arial" w:hAnsi="Arial" w:hint="default"/>
      </w:rPr>
    </w:lvl>
    <w:lvl w:ilvl="4" w:tplc="1982E25E" w:tentative="1">
      <w:start w:val="1"/>
      <w:numFmt w:val="bullet"/>
      <w:lvlText w:val="•"/>
      <w:lvlJc w:val="left"/>
      <w:pPr>
        <w:tabs>
          <w:tab w:val="num" w:pos="3600"/>
        </w:tabs>
        <w:ind w:left="3600" w:hanging="360"/>
      </w:pPr>
      <w:rPr>
        <w:rFonts w:ascii="Arial" w:hAnsi="Arial" w:hint="default"/>
      </w:rPr>
    </w:lvl>
    <w:lvl w:ilvl="5" w:tplc="CE3C9418" w:tentative="1">
      <w:start w:val="1"/>
      <w:numFmt w:val="bullet"/>
      <w:lvlText w:val="•"/>
      <w:lvlJc w:val="left"/>
      <w:pPr>
        <w:tabs>
          <w:tab w:val="num" w:pos="4320"/>
        </w:tabs>
        <w:ind w:left="4320" w:hanging="360"/>
      </w:pPr>
      <w:rPr>
        <w:rFonts w:ascii="Arial" w:hAnsi="Arial" w:hint="default"/>
      </w:rPr>
    </w:lvl>
    <w:lvl w:ilvl="6" w:tplc="CCDEDDC6" w:tentative="1">
      <w:start w:val="1"/>
      <w:numFmt w:val="bullet"/>
      <w:lvlText w:val="•"/>
      <w:lvlJc w:val="left"/>
      <w:pPr>
        <w:tabs>
          <w:tab w:val="num" w:pos="5040"/>
        </w:tabs>
        <w:ind w:left="5040" w:hanging="360"/>
      </w:pPr>
      <w:rPr>
        <w:rFonts w:ascii="Arial" w:hAnsi="Arial" w:hint="default"/>
      </w:rPr>
    </w:lvl>
    <w:lvl w:ilvl="7" w:tplc="8A8801B4" w:tentative="1">
      <w:start w:val="1"/>
      <w:numFmt w:val="bullet"/>
      <w:lvlText w:val="•"/>
      <w:lvlJc w:val="left"/>
      <w:pPr>
        <w:tabs>
          <w:tab w:val="num" w:pos="5760"/>
        </w:tabs>
        <w:ind w:left="5760" w:hanging="360"/>
      </w:pPr>
      <w:rPr>
        <w:rFonts w:ascii="Arial" w:hAnsi="Arial" w:hint="default"/>
      </w:rPr>
    </w:lvl>
    <w:lvl w:ilvl="8" w:tplc="B680BBC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A2D1C21"/>
    <w:multiLevelType w:val="hybridMultilevel"/>
    <w:tmpl w:val="624A1E3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E5337FC"/>
    <w:multiLevelType w:val="multilevel"/>
    <w:tmpl w:val="2A26087F"/>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22FA1A"/>
    <w:multiLevelType w:val="multilevel"/>
    <w:tmpl w:val="1EA44BAD"/>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906AF9"/>
    <w:multiLevelType w:val="multilevel"/>
    <w:tmpl w:val="009A0A1B"/>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5F4A74"/>
    <w:multiLevelType w:val="hybridMultilevel"/>
    <w:tmpl w:val="EF92662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D7F2BC4"/>
    <w:multiLevelType w:val="hybridMultilevel"/>
    <w:tmpl w:val="4F1AEE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0474118"/>
    <w:multiLevelType w:val="hybridMultilevel"/>
    <w:tmpl w:val="5C0818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A9A62BE"/>
    <w:multiLevelType w:val="hybridMultilevel"/>
    <w:tmpl w:val="2DFA31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EF20C60"/>
    <w:multiLevelType w:val="hybridMultilevel"/>
    <w:tmpl w:val="330A4E80"/>
    <w:lvl w:ilvl="0" w:tplc="3E12B3CC">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1" w15:restartNumberingAfterBreak="0">
    <w:nsid w:val="73279AD5"/>
    <w:multiLevelType w:val="multilevel"/>
    <w:tmpl w:val="03A28CA8"/>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0763F8"/>
    <w:multiLevelType w:val="hybridMultilevel"/>
    <w:tmpl w:val="AB0A0FFA"/>
    <w:lvl w:ilvl="0" w:tplc="277E5D58">
      <w:start w:val="1"/>
      <w:numFmt w:val="decimal"/>
      <w:lvlText w:val="%1."/>
      <w:lvlJc w:val="left"/>
      <w:pPr>
        <w:ind w:left="360" w:hanging="360"/>
      </w:pPr>
      <w:rPr>
        <w:rFonts w:ascii="Verdana" w:eastAsia="DejaVu Sans" w:hAnsi="Verdana" w:cs="Lohit Hindi"/>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6"/>
  </w:num>
  <w:num w:numId="4">
    <w:abstractNumId w:val="2"/>
  </w:num>
  <w:num w:numId="5">
    <w:abstractNumId w:val="0"/>
  </w:num>
  <w:num w:numId="6">
    <w:abstractNumId w:val="16"/>
  </w:num>
  <w:num w:numId="7">
    <w:abstractNumId w:val="1"/>
  </w:num>
  <w:num w:numId="8">
    <w:abstractNumId w:val="3"/>
  </w:num>
  <w:num w:numId="9">
    <w:abstractNumId w:val="25"/>
  </w:num>
  <w:num w:numId="10">
    <w:abstractNumId w:val="5"/>
  </w:num>
  <w:num w:numId="11">
    <w:abstractNumId w:val="20"/>
  </w:num>
  <w:num w:numId="12">
    <w:abstractNumId w:val="7"/>
  </w:num>
  <w:num w:numId="13">
    <w:abstractNumId w:val="24"/>
  </w:num>
  <w:num w:numId="14">
    <w:abstractNumId w:val="8"/>
  </w:num>
  <w:num w:numId="15">
    <w:abstractNumId w:val="19"/>
  </w:num>
  <w:num w:numId="16">
    <w:abstractNumId w:val="31"/>
  </w:num>
  <w:num w:numId="17">
    <w:abstractNumId w:val="9"/>
  </w:num>
  <w:num w:numId="18">
    <w:abstractNumId w:val="11"/>
  </w:num>
  <w:num w:numId="19">
    <w:abstractNumId w:val="23"/>
  </w:num>
  <w:num w:numId="20">
    <w:abstractNumId w:val="12"/>
  </w:num>
  <w:num w:numId="21">
    <w:abstractNumId w:val="17"/>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2"/>
  </w:num>
  <w:num w:numId="25">
    <w:abstractNumId w:val="30"/>
  </w:num>
  <w:num w:numId="26">
    <w:abstractNumId w:val="21"/>
  </w:num>
  <w:num w:numId="27">
    <w:abstractNumId w:val="15"/>
  </w:num>
  <w:num w:numId="28">
    <w:abstractNumId w:val="26"/>
  </w:num>
  <w:num w:numId="29">
    <w:abstractNumId w:val="28"/>
  </w:num>
  <w:num w:numId="30">
    <w:abstractNumId w:val="18"/>
  </w:num>
  <w:num w:numId="31">
    <w:abstractNumId w:val="27"/>
  </w:num>
  <w:num w:numId="32">
    <w:abstractNumId w:val="29"/>
  </w:num>
  <w:num w:numId="33">
    <w:abstractNumId w:val="14"/>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03B"/>
    <w:rsid w:val="00001A5B"/>
    <w:rsid w:val="00010757"/>
    <w:rsid w:val="0002178E"/>
    <w:rsid w:val="000226EF"/>
    <w:rsid w:val="00024E64"/>
    <w:rsid w:val="00024F0E"/>
    <w:rsid w:val="000275BA"/>
    <w:rsid w:val="00033BCE"/>
    <w:rsid w:val="00041680"/>
    <w:rsid w:val="00047CB3"/>
    <w:rsid w:val="00053205"/>
    <w:rsid w:val="0005657C"/>
    <w:rsid w:val="00071A36"/>
    <w:rsid w:val="000738F2"/>
    <w:rsid w:val="00077980"/>
    <w:rsid w:val="00080EB4"/>
    <w:rsid w:val="00084ABB"/>
    <w:rsid w:val="000850F8"/>
    <w:rsid w:val="00085E6C"/>
    <w:rsid w:val="0008617B"/>
    <w:rsid w:val="00087950"/>
    <w:rsid w:val="0009312D"/>
    <w:rsid w:val="00096335"/>
    <w:rsid w:val="000A2925"/>
    <w:rsid w:val="000A3387"/>
    <w:rsid w:val="000A63E8"/>
    <w:rsid w:val="000B15DD"/>
    <w:rsid w:val="000B16EB"/>
    <w:rsid w:val="000B23AC"/>
    <w:rsid w:val="000B534A"/>
    <w:rsid w:val="000C5D80"/>
    <w:rsid w:val="000D2578"/>
    <w:rsid w:val="000D5150"/>
    <w:rsid w:val="000E1539"/>
    <w:rsid w:val="000E761B"/>
    <w:rsid w:val="000F17E9"/>
    <w:rsid w:val="000F4A8C"/>
    <w:rsid w:val="000F70B7"/>
    <w:rsid w:val="00100B31"/>
    <w:rsid w:val="0010387E"/>
    <w:rsid w:val="001072CC"/>
    <w:rsid w:val="00115FD0"/>
    <w:rsid w:val="001201A2"/>
    <w:rsid w:val="00120577"/>
    <w:rsid w:val="0012173C"/>
    <w:rsid w:val="0013652C"/>
    <w:rsid w:val="00150541"/>
    <w:rsid w:val="001612AC"/>
    <w:rsid w:val="0016254B"/>
    <w:rsid w:val="001630EB"/>
    <w:rsid w:val="0016517C"/>
    <w:rsid w:val="00165523"/>
    <w:rsid w:val="0016737E"/>
    <w:rsid w:val="001729D2"/>
    <w:rsid w:val="001819DB"/>
    <w:rsid w:val="00191154"/>
    <w:rsid w:val="00192307"/>
    <w:rsid w:val="001933C0"/>
    <w:rsid w:val="001B1E72"/>
    <w:rsid w:val="001B22FB"/>
    <w:rsid w:val="001B2EC9"/>
    <w:rsid w:val="001B3513"/>
    <w:rsid w:val="001B35E6"/>
    <w:rsid w:val="001C1903"/>
    <w:rsid w:val="001C2C08"/>
    <w:rsid w:val="001C2C11"/>
    <w:rsid w:val="001C4AB8"/>
    <w:rsid w:val="001C4F8F"/>
    <w:rsid w:val="001C7939"/>
    <w:rsid w:val="001D0B17"/>
    <w:rsid w:val="001D3B4F"/>
    <w:rsid w:val="001E0559"/>
    <w:rsid w:val="001E508E"/>
    <w:rsid w:val="001F721D"/>
    <w:rsid w:val="00205004"/>
    <w:rsid w:val="002059D7"/>
    <w:rsid w:val="00205E3A"/>
    <w:rsid w:val="00215B2C"/>
    <w:rsid w:val="00220E78"/>
    <w:rsid w:val="002225B2"/>
    <w:rsid w:val="0022666D"/>
    <w:rsid w:val="0023222D"/>
    <w:rsid w:val="0023454E"/>
    <w:rsid w:val="0023601D"/>
    <w:rsid w:val="002473CE"/>
    <w:rsid w:val="002479FB"/>
    <w:rsid w:val="00252668"/>
    <w:rsid w:val="00263335"/>
    <w:rsid w:val="00264509"/>
    <w:rsid w:val="002657BF"/>
    <w:rsid w:val="00270F9D"/>
    <w:rsid w:val="00277438"/>
    <w:rsid w:val="00281D3A"/>
    <w:rsid w:val="002900DF"/>
    <w:rsid w:val="002916F3"/>
    <w:rsid w:val="002944BF"/>
    <w:rsid w:val="00295B0E"/>
    <w:rsid w:val="002960DF"/>
    <w:rsid w:val="00297A11"/>
    <w:rsid w:val="002A135E"/>
    <w:rsid w:val="002A4D85"/>
    <w:rsid w:val="002A795B"/>
    <w:rsid w:val="002A7A81"/>
    <w:rsid w:val="002B1E8D"/>
    <w:rsid w:val="002B2252"/>
    <w:rsid w:val="002B30BE"/>
    <w:rsid w:val="002B3FB5"/>
    <w:rsid w:val="002B6891"/>
    <w:rsid w:val="002C259E"/>
    <w:rsid w:val="002C2801"/>
    <w:rsid w:val="002D0A03"/>
    <w:rsid w:val="002D49E1"/>
    <w:rsid w:val="002D5201"/>
    <w:rsid w:val="002E217A"/>
    <w:rsid w:val="002E304D"/>
    <w:rsid w:val="002E7BFB"/>
    <w:rsid w:val="002F1BBB"/>
    <w:rsid w:val="002F2734"/>
    <w:rsid w:val="002F4188"/>
    <w:rsid w:val="0031437D"/>
    <w:rsid w:val="00315E9D"/>
    <w:rsid w:val="00321767"/>
    <w:rsid w:val="00323B8C"/>
    <w:rsid w:val="00326D89"/>
    <w:rsid w:val="00333426"/>
    <w:rsid w:val="00333C0E"/>
    <w:rsid w:val="00340F72"/>
    <w:rsid w:val="00341157"/>
    <w:rsid w:val="003433F6"/>
    <w:rsid w:val="0035117E"/>
    <w:rsid w:val="003528AC"/>
    <w:rsid w:val="00356A15"/>
    <w:rsid w:val="003572AD"/>
    <w:rsid w:val="00363415"/>
    <w:rsid w:val="0036609D"/>
    <w:rsid w:val="003738D7"/>
    <w:rsid w:val="00374C99"/>
    <w:rsid w:val="0039051B"/>
    <w:rsid w:val="003935E1"/>
    <w:rsid w:val="00395492"/>
    <w:rsid w:val="003A5269"/>
    <w:rsid w:val="003B2BF9"/>
    <w:rsid w:val="003C3AFC"/>
    <w:rsid w:val="003D360B"/>
    <w:rsid w:val="003E1A19"/>
    <w:rsid w:val="003F2E46"/>
    <w:rsid w:val="003F3EA8"/>
    <w:rsid w:val="003F51A7"/>
    <w:rsid w:val="00401412"/>
    <w:rsid w:val="00402840"/>
    <w:rsid w:val="00405575"/>
    <w:rsid w:val="0041225C"/>
    <w:rsid w:val="00412385"/>
    <w:rsid w:val="004152D9"/>
    <w:rsid w:val="00415484"/>
    <w:rsid w:val="0041597E"/>
    <w:rsid w:val="00416D07"/>
    <w:rsid w:val="00417856"/>
    <w:rsid w:val="00417ABF"/>
    <w:rsid w:val="00421501"/>
    <w:rsid w:val="00424CF1"/>
    <w:rsid w:val="00426DAE"/>
    <w:rsid w:val="00427F18"/>
    <w:rsid w:val="00430F84"/>
    <w:rsid w:val="00435B8E"/>
    <w:rsid w:val="0044344F"/>
    <w:rsid w:val="00443FBD"/>
    <w:rsid w:val="004444A0"/>
    <w:rsid w:val="004528C7"/>
    <w:rsid w:val="00455A61"/>
    <w:rsid w:val="0046667E"/>
    <w:rsid w:val="004668BF"/>
    <w:rsid w:val="004775D7"/>
    <w:rsid w:val="004823D3"/>
    <w:rsid w:val="00484DFF"/>
    <w:rsid w:val="0048714A"/>
    <w:rsid w:val="00490C74"/>
    <w:rsid w:val="00492D50"/>
    <w:rsid w:val="004A5EE1"/>
    <w:rsid w:val="004C028B"/>
    <w:rsid w:val="004C0C2D"/>
    <w:rsid w:val="004C7D19"/>
    <w:rsid w:val="004D7856"/>
    <w:rsid w:val="004E2DA2"/>
    <w:rsid w:val="004F425E"/>
    <w:rsid w:val="00501FB7"/>
    <w:rsid w:val="00505686"/>
    <w:rsid w:val="005115AB"/>
    <w:rsid w:val="00512FF0"/>
    <w:rsid w:val="005139AE"/>
    <w:rsid w:val="00514452"/>
    <w:rsid w:val="00517A8C"/>
    <w:rsid w:val="00527C2C"/>
    <w:rsid w:val="005302C4"/>
    <w:rsid w:val="005303A9"/>
    <w:rsid w:val="00537186"/>
    <w:rsid w:val="00542071"/>
    <w:rsid w:val="00542F66"/>
    <w:rsid w:val="00551491"/>
    <w:rsid w:val="0055361E"/>
    <w:rsid w:val="00561633"/>
    <w:rsid w:val="005622CC"/>
    <w:rsid w:val="005627BB"/>
    <w:rsid w:val="00562ECC"/>
    <w:rsid w:val="0056562F"/>
    <w:rsid w:val="005730CE"/>
    <w:rsid w:val="005742DC"/>
    <w:rsid w:val="0058039E"/>
    <w:rsid w:val="005805ED"/>
    <w:rsid w:val="00583765"/>
    <w:rsid w:val="00583E2A"/>
    <w:rsid w:val="0058434B"/>
    <w:rsid w:val="005849B1"/>
    <w:rsid w:val="0059054E"/>
    <w:rsid w:val="00592FEC"/>
    <w:rsid w:val="0059641E"/>
    <w:rsid w:val="00596FB4"/>
    <w:rsid w:val="005A3173"/>
    <w:rsid w:val="005A523B"/>
    <w:rsid w:val="005B1FD5"/>
    <w:rsid w:val="005B2065"/>
    <w:rsid w:val="005C0CF0"/>
    <w:rsid w:val="005C2B95"/>
    <w:rsid w:val="005C7507"/>
    <w:rsid w:val="005C7FD7"/>
    <w:rsid w:val="005D1A92"/>
    <w:rsid w:val="005D2151"/>
    <w:rsid w:val="005D262C"/>
    <w:rsid w:val="005D5835"/>
    <w:rsid w:val="005D7734"/>
    <w:rsid w:val="005E21A9"/>
    <w:rsid w:val="005E5E80"/>
    <w:rsid w:val="005E6BA6"/>
    <w:rsid w:val="0060009B"/>
    <w:rsid w:val="0060182F"/>
    <w:rsid w:val="00606D8C"/>
    <w:rsid w:val="00613F94"/>
    <w:rsid w:val="006152E6"/>
    <w:rsid w:val="0061621A"/>
    <w:rsid w:val="00621D96"/>
    <w:rsid w:val="00623B83"/>
    <w:rsid w:val="0062476A"/>
    <w:rsid w:val="00625DB5"/>
    <w:rsid w:val="006267F6"/>
    <w:rsid w:val="00643B7C"/>
    <w:rsid w:val="00652476"/>
    <w:rsid w:val="00653168"/>
    <w:rsid w:val="00655F03"/>
    <w:rsid w:val="006564A5"/>
    <w:rsid w:val="00663B7C"/>
    <w:rsid w:val="00665DFB"/>
    <w:rsid w:val="00676323"/>
    <w:rsid w:val="00684CEA"/>
    <w:rsid w:val="00686781"/>
    <w:rsid w:val="00687619"/>
    <w:rsid w:val="006949B4"/>
    <w:rsid w:val="00695492"/>
    <w:rsid w:val="00695DA9"/>
    <w:rsid w:val="006976F2"/>
    <w:rsid w:val="006A4CF3"/>
    <w:rsid w:val="006A7633"/>
    <w:rsid w:val="006B21D4"/>
    <w:rsid w:val="006B542D"/>
    <w:rsid w:val="006B5E24"/>
    <w:rsid w:val="006B729E"/>
    <w:rsid w:val="006B7DAC"/>
    <w:rsid w:val="006B7E31"/>
    <w:rsid w:val="006C099D"/>
    <w:rsid w:val="006C3AFD"/>
    <w:rsid w:val="006C5E90"/>
    <w:rsid w:val="006C72AD"/>
    <w:rsid w:val="006C7A17"/>
    <w:rsid w:val="006C7C82"/>
    <w:rsid w:val="006D58A0"/>
    <w:rsid w:val="006D623B"/>
    <w:rsid w:val="006E222E"/>
    <w:rsid w:val="006F0B03"/>
    <w:rsid w:val="006F33CC"/>
    <w:rsid w:val="00700968"/>
    <w:rsid w:val="007013C7"/>
    <w:rsid w:val="00707ACC"/>
    <w:rsid w:val="00711CFE"/>
    <w:rsid w:val="007120D9"/>
    <w:rsid w:val="0071448F"/>
    <w:rsid w:val="0071582B"/>
    <w:rsid w:val="00715A67"/>
    <w:rsid w:val="0071612B"/>
    <w:rsid w:val="00716770"/>
    <w:rsid w:val="00716E50"/>
    <w:rsid w:val="007352E7"/>
    <w:rsid w:val="00735DDB"/>
    <w:rsid w:val="00736A20"/>
    <w:rsid w:val="00742C01"/>
    <w:rsid w:val="0074661A"/>
    <w:rsid w:val="007501A7"/>
    <w:rsid w:val="00750919"/>
    <w:rsid w:val="00750A9A"/>
    <w:rsid w:val="00752BA3"/>
    <w:rsid w:val="00753802"/>
    <w:rsid w:val="00761117"/>
    <w:rsid w:val="00761AEA"/>
    <w:rsid w:val="00762A08"/>
    <w:rsid w:val="0076703B"/>
    <w:rsid w:val="00770C41"/>
    <w:rsid w:val="00782068"/>
    <w:rsid w:val="00792240"/>
    <w:rsid w:val="00792422"/>
    <w:rsid w:val="007A1E0C"/>
    <w:rsid w:val="007B48C0"/>
    <w:rsid w:val="007B52F0"/>
    <w:rsid w:val="007B676F"/>
    <w:rsid w:val="007B7E40"/>
    <w:rsid w:val="007C57BA"/>
    <w:rsid w:val="007C662C"/>
    <w:rsid w:val="007C7F44"/>
    <w:rsid w:val="007D6506"/>
    <w:rsid w:val="007D7DD8"/>
    <w:rsid w:val="007E0DAE"/>
    <w:rsid w:val="007F78DE"/>
    <w:rsid w:val="00802242"/>
    <w:rsid w:val="00815179"/>
    <w:rsid w:val="00817D55"/>
    <w:rsid w:val="00822569"/>
    <w:rsid w:val="00824756"/>
    <w:rsid w:val="00826E1E"/>
    <w:rsid w:val="00830538"/>
    <w:rsid w:val="008414C6"/>
    <w:rsid w:val="008446B3"/>
    <w:rsid w:val="00854584"/>
    <w:rsid w:val="00860FC1"/>
    <w:rsid w:val="00863878"/>
    <w:rsid w:val="00863BA0"/>
    <w:rsid w:val="008653AF"/>
    <w:rsid w:val="00866B4A"/>
    <w:rsid w:val="0087379A"/>
    <w:rsid w:val="00876414"/>
    <w:rsid w:val="00883400"/>
    <w:rsid w:val="00885132"/>
    <w:rsid w:val="008904C2"/>
    <w:rsid w:val="00890EF8"/>
    <w:rsid w:val="00892224"/>
    <w:rsid w:val="00895629"/>
    <w:rsid w:val="008957FC"/>
    <w:rsid w:val="008A3675"/>
    <w:rsid w:val="008A54EA"/>
    <w:rsid w:val="008A7BBE"/>
    <w:rsid w:val="008B1B95"/>
    <w:rsid w:val="008C1057"/>
    <w:rsid w:val="008D2101"/>
    <w:rsid w:val="008D50AF"/>
    <w:rsid w:val="008D7B45"/>
    <w:rsid w:val="008E7904"/>
    <w:rsid w:val="008F23CB"/>
    <w:rsid w:val="0090018A"/>
    <w:rsid w:val="00905F2C"/>
    <w:rsid w:val="0091462F"/>
    <w:rsid w:val="00915121"/>
    <w:rsid w:val="009175AA"/>
    <w:rsid w:val="009203F1"/>
    <w:rsid w:val="00922DAE"/>
    <w:rsid w:val="00923224"/>
    <w:rsid w:val="00924CB3"/>
    <w:rsid w:val="00934FE8"/>
    <w:rsid w:val="009416EE"/>
    <w:rsid w:val="009467EE"/>
    <w:rsid w:val="00951B18"/>
    <w:rsid w:val="00954430"/>
    <w:rsid w:val="00963736"/>
    <w:rsid w:val="009642D2"/>
    <w:rsid w:val="00971BB8"/>
    <w:rsid w:val="00972CA5"/>
    <w:rsid w:val="0097386C"/>
    <w:rsid w:val="009820A1"/>
    <w:rsid w:val="00984BBE"/>
    <w:rsid w:val="00985586"/>
    <w:rsid w:val="009863F1"/>
    <w:rsid w:val="009913EB"/>
    <w:rsid w:val="00993482"/>
    <w:rsid w:val="0099635E"/>
    <w:rsid w:val="009A54B5"/>
    <w:rsid w:val="009B2C51"/>
    <w:rsid w:val="009B3302"/>
    <w:rsid w:val="009C11A2"/>
    <w:rsid w:val="009D01B1"/>
    <w:rsid w:val="009D2CF6"/>
    <w:rsid w:val="009D504D"/>
    <w:rsid w:val="009D7DB2"/>
    <w:rsid w:val="009E183F"/>
    <w:rsid w:val="009E2E2D"/>
    <w:rsid w:val="009E30C9"/>
    <w:rsid w:val="009F034C"/>
    <w:rsid w:val="009F23FB"/>
    <w:rsid w:val="009F41A8"/>
    <w:rsid w:val="009F4AA7"/>
    <w:rsid w:val="009F4BCC"/>
    <w:rsid w:val="009F5C9C"/>
    <w:rsid w:val="00A035AA"/>
    <w:rsid w:val="00A105BE"/>
    <w:rsid w:val="00A10BD8"/>
    <w:rsid w:val="00A13A41"/>
    <w:rsid w:val="00A15CFD"/>
    <w:rsid w:val="00A226EB"/>
    <w:rsid w:val="00A27733"/>
    <w:rsid w:val="00A32ECE"/>
    <w:rsid w:val="00A33AC3"/>
    <w:rsid w:val="00A33C99"/>
    <w:rsid w:val="00A40CE3"/>
    <w:rsid w:val="00A415F2"/>
    <w:rsid w:val="00A53A63"/>
    <w:rsid w:val="00A54756"/>
    <w:rsid w:val="00A561A5"/>
    <w:rsid w:val="00A56C36"/>
    <w:rsid w:val="00A6046A"/>
    <w:rsid w:val="00A73C38"/>
    <w:rsid w:val="00A87CA5"/>
    <w:rsid w:val="00A90893"/>
    <w:rsid w:val="00AA0611"/>
    <w:rsid w:val="00AA2EAA"/>
    <w:rsid w:val="00AA3006"/>
    <w:rsid w:val="00AA445F"/>
    <w:rsid w:val="00AA60B1"/>
    <w:rsid w:val="00AB06C5"/>
    <w:rsid w:val="00AB7E95"/>
    <w:rsid w:val="00AC4CB6"/>
    <w:rsid w:val="00AC6C9C"/>
    <w:rsid w:val="00AD2986"/>
    <w:rsid w:val="00AD388B"/>
    <w:rsid w:val="00AE48D1"/>
    <w:rsid w:val="00AE7363"/>
    <w:rsid w:val="00AF1C44"/>
    <w:rsid w:val="00B01D01"/>
    <w:rsid w:val="00B03790"/>
    <w:rsid w:val="00B0508C"/>
    <w:rsid w:val="00B071C7"/>
    <w:rsid w:val="00B108B6"/>
    <w:rsid w:val="00B117D8"/>
    <w:rsid w:val="00B14E93"/>
    <w:rsid w:val="00B17A9E"/>
    <w:rsid w:val="00B21482"/>
    <w:rsid w:val="00B215E4"/>
    <w:rsid w:val="00B229DE"/>
    <w:rsid w:val="00B246E9"/>
    <w:rsid w:val="00B247BF"/>
    <w:rsid w:val="00B26B71"/>
    <w:rsid w:val="00B34BF8"/>
    <w:rsid w:val="00B34EE3"/>
    <w:rsid w:val="00B37D11"/>
    <w:rsid w:val="00B41F35"/>
    <w:rsid w:val="00B42013"/>
    <w:rsid w:val="00B43132"/>
    <w:rsid w:val="00B43D9F"/>
    <w:rsid w:val="00B440D9"/>
    <w:rsid w:val="00B4458B"/>
    <w:rsid w:val="00B451D9"/>
    <w:rsid w:val="00B50B6B"/>
    <w:rsid w:val="00B557E0"/>
    <w:rsid w:val="00B61A81"/>
    <w:rsid w:val="00B62707"/>
    <w:rsid w:val="00B74834"/>
    <w:rsid w:val="00B74D16"/>
    <w:rsid w:val="00B77455"/>
    <w:rsid w:val="00B77D2D"/>
    <w:rsid w:val="00B93368"/>
    <w:rsid w:val="00B96089"/>
    <w:rsid w:val="00B96FD2"/>
    <w:rsid w:val="00BA4500"/>
    <w:rsid w:val="00BB05FB"/>
    <w:rsid w:val="00BB0DE3"/>
    <w:rsid w:val="00BC3768"/>
    <w:rsid w:val="00BC705A"/>
    <w:rsid w:val="00BC7262"/>
    <w:rsid w:val="00BD0B9E"/>
    <w:rsid w:val="00BD13BD"/>
    <w:rsid w:val="00BD1E38"/>
    <w:rsid w:val="00BD2808"/>
    <w:rsid w:val="00BD3B4F"/>
    <w:rsid w:val="00BD62B4"/>
    <w:rsid w:val="00BD6D4C"/>
    <w:rsid w:val="00BE10D8"/>
    <w:rsid w:val="00BE6667"/>
    <w:rsid w:val="00C0060B"/>
    <w:rsid w:val="00C04011"/>
    <w:rsid w:val="00C04AB6"/>
    <w:rsid w:val="00C07F4D"/>
    <w:rsid w:val="00C13415"/>
    <w:rsid w:val="00C14510"/>
    <w:rsid w:val="00C17370"/>
    <w:rsid w:val="00C30F92"/>
    <w:rsid w:val="00C32823"/>
    <w:rsid w:val="00C33B23"/>
    <w:rsid w:val="00C34289"/>
    <w:rsid w:val="00C35FB7"/>
    <w:rsid w:val="00C375BD"/>
    <w:rsid w:val="00C4744B"/>
    <w:rsid w:val="00C52249"/>
    <w:rsid w:val="00C54E41"/>
    <w:rsid w:val="00C550E5"/>
    <w:rsid w:val="00C55170"/>
    <w:rsid w:val="00C61988"/>
    <w:rsid w:val="00C62CD1"/>
    <w:rsid w:val="00C70C94"/>
    <w:rsid w:val="00C77639"/>
    <w:rsid w:val="00C80E59"/>
    <w:rsid w:val="00C816A5"/>
    <w:rsid w:val="00C83A41"/>
    <w:rsid w:val="00C957CA"/>
    <w:rsid w:val="00C95852"/>
    <w:rsid w:val="00C97AD2"/>
    <w:rsid w:val="00CA0006"/>
    <w:rsid w:val="00CA2B0B"/>
    <w:rsid w:val="00CA468E"/>
    <w:rsid w:val="00CA596A"/>
    <w:rsid w:val="00CA7E5C"/>
    <w:rsid w:val="00CB0E03"/>
    <w:rsid w:val="00CB6DBA"/>
    <w:rsid w:val="00CC4907"/>
    <w:rsid w:val="00CD3A10"/>
    <w:rsid w:val="00CD663A"/>
    <w:rsid w:val="00CE16CF"/>
    <w:rsid w:val="00CE6B80"/>
    <w:rsid w:val="00CF0D34"/>
    <w:rsid w:val="00CF1068"/>
    <w:rsid w:val="00CF31C5"/>
    <w:rsid w:val="00CF35B3"/>
    <w:rsid w:val="00CF3BEE"/>
    <w:rsid w:val="00CF47A0"/>
    <w:rsid w:val="00D03F60"/>
    <w:rsid w:val="00D0492C"/>
    <w:rsid w:val="00D05B0C"/>
    <w:rsid w:val="00D11577"/>
    <w:rsid w:val="00D12D92"/>
    <w:rsid w:val="00D14A80"/>
    <w:rsid w:val="00D20635"/>
    <w:rsid w:val="00D20AAE"/>
    <w:rsid w:val="00D23088"/>
    <w:rsid w:val="00D23DED"/>
    <w:rsid w:val="00D2519B"/>
    <w:rsid w:val="00D41F78"/>
    <w:rsid w:val="00D4641A"/>
    <w:rsid w:val="00D63071"/>
    <w:rsid w:val="00D730F1"/>
    <w:rsid w:val="00D734BD"/>
    <w:rsid w:val="00D8447A"/>
    <w:rsid w:val="00D87EC1"/>
    <w:rsid w:val="00D91F6D"/>
    <w:rsid w:val="00D9634E"/>
    <w:rsid w:val="00DB41A6"/>
    <w:rsid w:val="00DD2306"/>
    <w:rsid w:val="00DD5939"/>
    <w:rsid w:val="00DD7ED2"/>
    <w:rsid w:val="00DE50CD"/>
    <w:rsid w:val="00DE59DF"/>
    <w:rsid w:val="00DE7C73"/>
    <w:rsid w:val="00DE7F9F"/>
    <w:rsid w:val="00E1040C"/>
    <w:rsid w:val="00E16C5C"/>
    <w:rsid w:val="00E2078E"/>
    <w:rsid w:val="00E21D08"/>
    <w:rsid w:val="00E303FE"/>
    <w:rsid w:val="00E35648"/>
    <w:rsid w:val="00E35818"/>
    <w:rsid w:val="00E427B4"/>
    <w:rsid w:val="00E47809"/>
    <w:rsid w:val="00E5447B"/>
    <w:rsid w:val="00E5628B"/>
    <w:rsid w:val="00E61446"/>
    <w:rsid w:val="00E6215D"/>
    <w:rsid w:val="00E632FA"/>
    <w:rsid w:val="00E63BD6"/>
    <w:rsid w:val="00E65D29"/>
    <w:rsid w:val="00E66512"/>
    <w:rsid w:val="00E66BF2"/>
    <w:rsid w:val="00E705A8"/>
    <w:rsid w:val="00E70CF7"/>
    <w:rsid w:val="00E75EE6"/>
    <w:rsid w:val="00E82A85"/>
    <w:rsid w:val="00E8662D"/>
    <w:rsid w:val="00E95CFD"/>
    <w:rsid w:val="00E9619C"/>
    <w:rsid w:val="00EA1D04"/>
    <w:rsid w:val="00EA4FBE"/>
    <w:rsid w:val="00EB059D"/>
    <w:rsid w:val="00EB48F1"/>
    <w:rsid w:val="00EB7063"/>
    <w:rsid w:val="00EB74D9"/>
    <w:rsid w:val="00EC0F93"/>
    <w:rsid w:val="00ED0B17"/>
    <w:rsid w:val="00ED2763"/>
    <w:rsid w:val="00ED3CEC"/>
    <w:rsid w:val="00ED503F"/>
    <w:rsid w:val="00EE34B2"/>
    <w:rsid w:val="00EE4B97"/>
    <w:rsid w:val="00EF0235"/>
    <w:rsid w:val="00EF1251"/>
    <w:rsid w:val="00EF20F3"/>
    <w:rsid w:val="00F00678"/>
    <w:rsid w:val="00F00899"/>
    <w:rsid w:val="00F00945"/>
    <w:rsid w:val="00F02C96"/>
    <w:rsid w:val="00F037C6"/>
    <w:rsid w:val="00F0696A"/>
    <w:rsid w:val="00F1093A"/>
    <w:rsid w:val="00F148DB"/>
    <w:rsid w:val="00F15043"/>
    <w:rsid w:val="00F17094"/>
    <w:rsid w:val="00F17BC4"/>
    <w:rsid w:val="00F200F9"/>
    <w:rsid w:val="00F2543F"/>
    <w:rsid w:val="00F25861"/>
    <w:rsid w:val="00F35879"/>
    <w:rsid w:val="00F3717E"/>
    <w:rsid w:val="00F425AF"/>
    <w:rsid w:val="00F42C0F"/>
    <w:rsid w:val="00F5002F"/>
    <w:rsid w:val="00F6179B"/>
    <w:rsid w:val="00F638E9"/>
    <w:rsid w:val="00F63A37"/>
    <w:rsid w:val="00F64606"/>
    <w:rsid w:val="00F64C82"/>
    <w:rsid w:val="00F75668"/>
    <w:rsid w:val="00F76B06"/>
    <w:rsid w:val="00F77443"/>
    <w:rsid w:val="00F775BE"/>
    <w:rsid w:val="00F8106B"/>
    <w:rsid w:val="00F87273"/>
    <w:rsid w:val="00F924F6"/>
    <w:rsid w:val="00F95171"/>
    <w:rsid w:val="00FA0877"/>
    <w:rsid w:val="00FC11DD"/>
    <w:rsid w:val="00FC6B3D"/>
    <w:rsid w:val="00FD0F5D"/>
    <w:rsid w:val="00FD15CC"/>
    <w:rsid w:val="00FE3220"/>
    <w:rsid w:val="00FE65E7"/>
    <w:rsid w:val="00FF0AE7"/>
    <w:rsid w:val="00FF6B93"/>
    <w:rsid w:val="00FF6F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85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basedOn w:val="Normal"/>
    <w:uiPriority w:val="34"/>
    <w:qFormat/>
    <w:rsid w:val="005139AE"/>
    <w:pPr>
      <w:ind w:left="720"/>
      <w:contextualSpacing/>
    </w:pPr>
  </w:style>
  <w:style w:type="paragraph" w:styleId="NoSpacing">
    <w:name w:val="No Spacing"/>
    <w:uiPriority w:val="1"/>
    <w:qFormat/>
    <w:rsid w:val="00281D3A"/>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FootnoteText">
    <w:name w:val="footnote text"/>
    <w:basedOn w:val="Normal"/>
    <w:link w:val="FootnoteTextChar"/>
    <w:uiPriority w:val="99"/>
    <w:semiHidden/>
    <w:unhideWhenUsed/>
    <w:rsid w:val="00F8106B"/>
    <w:pPr>
      <w:spacing w:line="240" w:lineRule="auto"/>
    </w:pPr>
    <w:rPr>
      <w:sz w:val="20"/>
      <w:szCs w:val="20"/>
    </w:rPr>
  </w:style>
  <w:style w:type="character" w:customStyle="1" w:styleId="FootnoteTextChar">
    <w:name w:val="Footnote Text Char"/>
    <w:basedOn w:val="DefaultParagraphFont"/>
    <w:link w:val="FootnoteText"/>
    <w:uiPriority w:val="99"/>
    <w:semiHidden/>
    <w:rsid w:val="00F8106B"/>
    <w:rPr>
      <w:rFonts w:ascii="Verdana" w:hAnsi="Verdana"/>
      <w:color w:val="000000"/>
    </w:rPr>
  </w:style>
  <w:style w:type="character" w:styleId="FootnoteReference">
    <w:name w:val="footnote reference"/>
    <w:basedOn w:val="DefaultParagraphFont"/>
    <w:uiPriority w:val="99"/>
    <w:semiHidden/>
    <w:unhideWhenUsed/>
    <w:rsid w:val="00F8106B"/>
    <w:rPr>
      <w:vertAlign w:val="superscript"/>
    </w:rPr>
  </w:style>
  <w:style w:type="character" w:styleId="Hyperlink">
    <w:name w:val="Hyperlink"/>
    <w:basedOn w:val="DefaultParagraphFont"/>
    <w:uiPriority w:val="99"/>
    <w:unhideWhenUsed/>
    <w:rsid w:val="00CA7E5C"/>
    <w:rPr>
      <w:color w:val="0000FF"/>
      <w:u w:val="single"/>
    </w:rPr>
  </w:style>
  <w:style w:type="paragraph" w:styleId="Header">
    <w:name w:val="header"/>
    <w:basedOn w:val="Normal"/>
    <w:link w:val="HeaderChar"/>
    <w:uiPriority w:val="99"/>
    <w:unhideWhenUsed/>
    <w:rsid w:val="00D20635"/>
    <w:pPr>
      <w:tabs>
        <w:tab w:val="center" w:pos="4536"/>
        <w:tab w:val="right" w:pos="9072"/>
      </w:tabs>
      <w:spacing w:line="240" w:lineRule="auto"/>
    </w:pPr>
  </w:style>
  <w:style w:type="character" w:customStyle="1" w:styleId="HeaderChar">
    <w:name w:val="Header Char"/>
    <w:basedOn w:val="DefaultParagraphFont"/>
    <w:link w:val="Header"/>
    <w:uiPriority w:val="99"/>
    <w:rsid w:val="00D20635"/>
    <w:rPr>
      <w:rFonts w:ascii="Verdana" w:hAnsi="Verdana"/>
      <w:color w:val="000000"/>
      <w:sz w:val="18"/>
      <w:szCs w:val="18"/>
    </w:rPr>
  </w:style>
  <w:style w:type="paragraph" w:styleId="Footer">
    <w:name w:val="footer"/>
    <w:basedOn w:val="Normal"/>
    <w:link w:val="FooterChar"/>
    <w:uiPriority w:val="99"/>
    <w:unhideWhenUsed/>
    <w:rsid w:val="00D20635"/>
    <w:pPr>
      <w:tabs>
        <w:tab w:val="center" w:pos="4536"/>
        <w:tab w:val="right" w:pos="9072"/>
      </w:tabs>
      <w:spacing w:line="240" w:lineRule="auto"/>
    </w:pPr>
  </w:style>
  <w:style w:type="character" w:customStyle="1" w:styleId="FooterChar">
    <w:name w:val="Footer Char"/>
    <w:basedOn w:val="DefaultParagraphFont"/>
    <w:link w:val="Footer"/>
    <w:uiPriority w:val="99"/>
    <w:rsid w:val="00D20635"/>
    <w:rPr>
      <w:rFonts w:ascii="Verdana" w:hAnsi="Verdana"/>
      <w:color w:val="000000"/>
      <w:sz w:val="18"/>
      <w:szCs w:val="18"/>
    </w:rPr>
  </w:style>
  <w:style w:type="paragraph" w:customStyle="1" w:styleId="RIVMStandaard">
    <w:name w:val="RIVM_Standaard"/>
    <w:basedOn w:val="Normal"/>
    <w:qFormat/>
    <w:rsid w:val="002B2252"/>
    <w:pPr>
      <w:overflowPunct w:val="0"/>
      <w:autoSpaceDE w:val="0"/>
      <w:adjustRightInd w:val="0"/>
    </w:pPr>
    <w:rPr>
      <w:rFonts w:eastAsia="MS Mincho" w:cs="Times New Roman"/>
      <w:color w:val="auto"/>
      <w:sz w:val="20"/>
      <w:szCs w:val="20"/>
    </w:rPr>
  </w:style>
  <w:style w:type="character" w:styleId="CommentReference">
    <w:name w:val="annotation reference"/>
    <w:basedOn w:val="DefaultParagraphFont"/>
    <w:uiPriority w:val="99"/>
    <w:semiHidden/>
    <w:unhideWhenUsed/>
    <w:rsid w:val="00D11577"/>
    <w:rPr>
      <w:sz w:val="16"/>
      <w:szCs w:val="16"/>
    </w:rPr>
  </w:style>
  <w:style w:type="paragraph" w:styleId="CommentText">
    <w:name w:val="annotation text"/>
    <w:basedOn w:val="Normal"/>
    <w:link w:val="CommentTextChar"/>
    <w:uiPriority w:val="99"/>
    <w:unhideWhenUsed/>
    <w:rsid w:val="00D11577"/>
    <w:pPr>
      <w:spacing w:line="240" w:lineRule="auto"/>
    </w:pPr>
    <w:rPr>
      <w:sz w:val="20"/>
      <w:szCs w:val="20"/>
    </w:rPr>
  </w:style>
  <w:style w:type="character" w:customStyle="1" w:styleId="CommentTextChar">
    <w:name w:val="Comment Text Char"/>
    <w:basedOn w:val="DefaultParagraphFont"/>
    <w:link w:val="CommentText"/>
    <w:uiPriority w:val="99"/>
    <w:rsid w:val="00D11577"/>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D11577"/>
    <w:rPr>
      <w:b/>
      <w:bCs/>
    </w:rPr>
  </w:style>
  <w:style w:type="character" w:customStyle="1" w:styleId="CommentSubjectChar">
    <w:name w:val="Comment Subject Char"/>
    <w:basedOn w:val="CommentTextChar"/>
    <w:link w:val="CommentSubject"/>
    <w:uiPriority w:val="99"/>
    <w:semiHidden/>
    <w:rsid w:val="00D11577"/>
    <w:rPr>
      <w:rFonts w:ascii="Verdana" w:hAnsi="Verdana"/>
      <w:b/>
      <w:bCs/>
      <w:color w:val="000000"/>
    </w:rPr>
  </w:style>
  <w:style w:type="paragraph" w:styleId="Revision">
    <w:name w:val="Revision"/>
    <w:hidden/>
    <w:uiPriority w:val="99"/>
    <w:semiHidden/>
    <w:rsid w:val="003572AD"/>
    <w:pPr>
      <w:autoSpaceDN/>
      <w:textAlignment w:val="auto"/>
    </w:pPr>
    <w:rPr>
      <w:rFonts w:ascii="Verdana" w:hAnsi="Verdana"/>
      <w:color w:val="000000"/>
      <w:sz w:val="18"/>
      <w:szCs w:val="18"/>
    </w:rPr>
  </w:style>
  <w:style w:type="paragraph" w:customStyle="1" w:styleId="broodtekst">
    <w:name w:val="broodtekst"/>
    <w:basedOn w:val="Normal"/>
    <w:rsid w:val="009E183F"/>
    <w:pPr>
      <w:autoSpaceDE w:val="0"/>
      <w:textAlignment w:val="auto"/>
    </w:pPr>
    <w:rPr>
      <w:rFonts w:eastAsiaTheme="minorHAnsi" w:cs="Calibri"/>
      <w:color w:val="auto"/>
    </w:rPr>
  </w:style>
  <w:style w:type="paragraph" w:customStyle="1" w:styleId="Default">
    <w:name w:val="Default"/>
    <w:rsid w:val="004F425E"/>
    <w:pPr>
      <w:autoSpaceDE w:val="0"/>
      <w:adjustRightInd w:val="0"/>
      <w:textAlignment w:val="auto"/>
    </w:pPr>
    <w:rPr>
      <w:rFonts w:ascii="Arial" w:hAnsi="Arial" w:cs="Arial"/>
      <w:color w:val="000000"/>
      <w:sz w:val="24"/>
      <w:szCs w:val="24"/>
    </w:rPr>
  </w:style>
  <w:style w:type="paragraph" w:styleId="NormalWeb">
    <w:name w:val="Normal (Web)"/>
    <w:basedOn w:val="Normal"/>
    <w:uiPriority w:val="99"/>
    <w:semiHidden/>
    <w:unhideWhenUsed/>
    <w:rsid w:val="004F425E"/>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UnresolvedMention">
    <w:name w:val="Unresolved Mention"/>
    <w:basedOn w:val="DefaultParagraphFont"/>
    <w:uiPriority w:val="99"/>
    <w:semiHidden/>
    <w:unhideWhenUsed/>
    <w:rsid w:val="00CF47A0"/>
    <w:rPr>
      <w:color w:val="605E5C"/>
      <w:shd w:val="clear" w:color="auto" w:fill="E1DFDD"/>
    </w:rPr>
  </w:style>
  <w:style w:type="character" w:styleId="FollowedHyperlink">
    <w:name w:val="FollowedHyperlink"/>
    <w:basedOn w:val="DefaultParagraphFont"/>
    <w:uiPriority w:val="99"/>
    <w:semiHidden/>
    <w:unhideWhenUsed/>
    <w:rsid w:val="005D5835"/>
    <w:rPr>
      <w:color w:val="954F72" w:themeColor="followedHyperlink"/>
      <w:u w:val="single"/>
    </w:rPr>
  </w:style>
  <w:style w:type="character" w:styleId="Emphasis">
    <w:name w:val="Emphasis"/>
    <w:basedOn w:val="DefaultParagraphFont"/>
    <w:uiPriority w:val="20"/>
    <w:qFormat/>
    <w:rsid w:val="00BA4500"/>
    <w:rPr>
      <w:i/>
      <w:iCs/>
    </w:rPr>
  </w:style>
  <w:style w:type="character" w:customStyle="1" w:styleId="cf01">
    <w:name w:val="cf01"/>
    <w:basedOn w:val="DefaultParagraphFont"/>
    <w:rsid w:val="00860FC1"/>
    <w:rPr>
      <w:rFonts w:ascii="Segoe UI" w:hAnsi="Segoe UI" w:cs="Segoe UI" w:hint="default"/>
      <w:sz w:val="18"/>
      <w:szCs w:val="18"/>
    </w:rPr>
  </w:style>
  <w:style w:type="paragraph" w:customStyle="1" w:styleId="pf0">
    <w:name w:val="pf0"/>
    <w:basedOn w:val="Normal"/>
    <w:rsid w:val="009416EE"/>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38819">
      <w:bodyDiv w:val="1"/>
      <w:marLeft w:val="0"/>
      <w:marRight w:val="0"/>
      <w:marTop w:val="0"/>
      <w:marBottom w:val="0"/>
      <w:divBdr>
        <w:top w:val="none" w:sz="0" w:space="0" w:color="auto"/>
        <w:left w:val="none" w:sz="0" w:space="0" w:color="auto"/>
        <w:bottom w:val="none" w:sz="0" w:space="0" w:color="auto"/>
        <w:right w:val="none" w:sz="0" w:space="0" w:color="auto"/>
      </w:divBdr>
    </w:div>
    <w:div w:id="134689393">
      <w:bodyDiv w:val="1"/>
      <w:marLeft w:val="0"/>
      <w:marRight w:val="0"/>
      <w:marTop w:val="0"/>
      <w:marBottom w:val="0"/>
      <w:divBdr>
        <w:top w:val="none" w:sz="0" w:space="0" w:color="auto"/>
        <w:left w:val="none" w:sz="0" w:space="0" w:color="auto"/>
        <w:bottom w:val="none" w:sz="0" w:space="0" w:color="auto"/>
        <w:right w:val="none" w:sz="0" w:space="0" w:color="auto"/>
      </w:divBdr>
    </w:div>
    <w:div w:id="210852564">
      <w:bodyDiv w:val="1"/>
      <w:marLeft w:val="0"/>
      <w:marRight w:val="0"/>
      <w:marTop w:val="0"/>
      <w:marBottom w:val="0"/>
      <w:divBdr>
        <w:top w:val="none" w:sz="0" w:space="0" w:color="auto"/>
        <w:left w:val="none" w:sz="0" w:space="0" w:color="auto"/>
        <w:bottom w:val="none" w:sz="0" w:space="0" w:color="auto"/>
        <w:right w:val="none" w:sz="0" w:space="0" w:color="auto"/>
      </w:divBdr>
      <w:divsChild>
        <w:div w:id="1235045014">
          <w:marLeft w:val="0"/>
          <w:marRight w:val="0"/>
          <w:marTop w:val="0"/>
          <w:marBottom w:val="0"/>
          <w:divBdr>
            <w:top w:val="none" w:sz="0" w:space="0" w:color="auto"/>
            <w:left w:val="none" w:sz="0" w:space="0" w:color="auto"/>
            <w:bottom w:val="none" w:sz="0" w:space="0" w:color="auto"/>
            <w:right w:val="none" w:sz="0" w:space="0" w:color="auto"/>
          </w:divBdr>
        </w:div>
      </w:divsChild>
    </w:div>
    <w:div w:id="274169100">
      <w:bodyDiv w:val="1"/>
      <w:marLeft w:val="0"/>
      <w:marRight w:val="0"/>
      <w:marTop w:val="0"/>
      <w:marBottom w:val="0"/>
      <w:divBdr>
        <w:top w:val="none" w:sz="0" w:space="0" w:color="auto"/>
        <w:left w:val="none" w:sz="0" w:space="0" w:color="auto"/>
        <w:bottom w:val="none" w:sz="0" w:space="0" w:color="auto"/>
        <w:right w:val="none" w:sz="0" w:space="0" w:color="auto"/>
      </w:divBdr>
    </w:div>
    <w:div w:id="298268266">
      <w:bodyDiv w:val="1"/>
      <w:marLeft w:val="0"/>
      <w:marRight w:val="0"/>
      <w:marTop w:val="0"/>
      <w:marBottom w:val="0"/>
      <w:divBdr>
        <w:top w:val="none" w:sz="0" w:space="0" w:color="auto"/>
        <w:left w:val="none" w:sz="0" w:space="0" w:color="auto"/>
        <w:bottom w:val="none" w:sz="0" w:space="0" w:color="auto"/>
        <w:right w:val="none" w:sz="0" w:space="0" w:color="auto"/>
      </w:divBdr>
    </w:div>
    <w:div w:id="472137548">
      <w:bodyDiv w:val="1"/>
      <w:marLeft w:val="0"/>
      <w:marRight w:val="0"/>
      <w:marTop w:val="0"/>
      <w:marBottom w:val="0"/>
      <w:divBdr>
        <w:top w:val="none" w:sz="0" w:space="0" w:color="auto"/>
        <w:left w:val="none" w:sz="0" w:space="0" w:color="auto"/>
        <w:bottom w:val="none" w:sz="0" w:space="0" w:color="auto"/>
        <w:right w:val="none" w:sz="0" w:space="0" w:color="auto"/>
      </w:divBdr>
    </w:div>
    <w:div w:id="725446176">
      <w:bodyDiv w:val="1"/>
      <w:marLeft w:val="0"/>
      <w:marRight w:val="0"/>
      <w:marTop w:val="0"/>
      <w:marBottom w:val="0"/>
      <w:divBdr>
        <w:top w:val="none" w:sz="0" w:space="0" w:color="auto"/>
        <w:left w:val="none" w:sz="0" w:space="0" w:color="auto"/>
        <w:bottom w:val="none" w:sz="0" w:space="0" w:color="auto"/>
        <w:right w:val="none" w:sz="0" w:space="0" w:color="auto"/>
      </w:divBdr>
    </w:div>
    <w:div w:id="786855052">
      <w:bodyDiv w:val="1"/>
      <w:marLeft w:val="0"/>
      <w:marRight w:val="0"/>
      <w:marTop w:val="0"/>
      <w:marBottom w:val="0"/>
      <w:divBdr>
        <w:top w:val="none" w:sz="0" w:space="0" w:color="auto"/>
        <w:left w:val="none" w:sz="0" w:space="0" w:color="auto"/>
        <w:bottom w:val="none" w:sz="0" w:space="0" w:color="auto"/>
        <w:right w:val="none" w:sz="0" w:space="0" w:color="auto"/>
      </w:divBdr>
    </w:div>
    <w:div w:id="788934804">
      <w:bodyDiv w:val="1"/>
      <w:marLeft w:val="0"/>
      <w:marRight w:val="0"/>
      <w:marTop w:val="0"/>
      <w:marBottom w:val="0"/>
      <w:divBdr>
        <w:top w:val="none" w:sz="0" w:space="0" w:color="auto"/>
        <w:left w:val="none" w:sz="0" w:space="0" w:color="auto"/>
        <w:bottom w:val="none" w:sz="0" w:space="0" w:color="auto"/>
        <w:right w:val="none" w:sz="0" w:space="0" w:color="auto"/>
      </w:divBdr>
      <w:divsChild>
        <w:div w:id="683937614">
          <w:marLeft w:val="619"/>
          <w:marRight w:val="0"/>
          <w:marTop w:val="0"/>
          <w:marBottom w:val="0"/>
          <w:divBdr>
            <w:top w:val="none" w:sz="0" w:space="0" w:color="auto"/>
            <w:left w:val="none" w:sz="0" w:space="0" w:color="auto"/>
            <w:bottom w:val="none" w:sz="0" w:space="0" w:color="auto"/>
            <w:right w:val="none" w:sz="0" w:space="0" w:color="auto"/>
          </w:divBdr>
        </w:div>
        <w:div w:id="1085960887">
          <w:marLeft w:val="619"/>
          <w:marRight w:val="0"/>
          <w:marTop w:val="0"/>
          <w:marBottom w:val="0"/>
          <w:divBdr>
            <w:top w:val="none" w:sz="0" w:space="0" w:color="auto"/>
            <w:left w:val="none" w:sz="0" w:space="0" w:color="auto"/>
            <w:bottom w:val="none" w:sz="0" w:space="0" w:color="auto"/>
            <w:right w:val="none" w:sz="0" w:space="0" w:color="auto"/>
          </w:divBdr>
        </w:div>
        <w:div w:id="895821116">
          <w:marLeft w:val="619"/>
          <w:marRight w:val="0"/>
          <w:marTop w:val="0"/>
          <w:marBottom w:val="0"/>
          <w:divBdr>
            <w:top w:val="none" w:sz="0" w:space="0" w:color="auto"/>
            <w:left w:val="none" w:sz="0" w:space="0" w:color="auto"/>
            <w:bottom w:val="none" w:sz="0" w:space="0" w:color="auto"/>
            <w:right w:val="none" w:sz="0" w:space="0" w:color="auto"/>
          </w:divBdr>
        </w:div>
        <w:div w:id="1933539351">
          <w:marLeft w:val="619"/>
          <w:marRight w:val="0"/>
          <w:marTop w:val="0"/>
          <w:marBottom w:val="0"/>
          <w:divBdr>
            <w:top w:val="none" w:sz="0" w:space="0" w:color="auto"/>
            <w:left w:val="none" w:sz="0" w:space="0" w:color="auto"/>
            <w:bottom w:val="none" w:sz="0" w:space="0" w:color="auto"/>
            <w:right w:val="none" w:sz="0" w:space="0" w:color="auto"/>
          </w:divBdr>
        </w:div>
      </w:divsChild>
    </w:div>
    <w:div w:id="924798948">
      <w:bodyDiv w:val="1"/>
      <w:marLeft w:val="0"/>
      <w:marRight w:val="0"/>
      <w:marTop w:val="0"/>
      <w:marBottom w:val="0"/>
      <w:divBdr>
        <w:top w:val="none" w:sz="0" w:space="0" w:color="auto"/>
        <w:left w:val="none" w:sz="0" w:space="0" w:color="auto"/>
        <w:bottom w:val="none" w:sz="0" w:space="0" w:color="auto"/>
        <w:right w:val="none" w:sz="0" w:space="0" w:color="auto"/>
      </w:divBdr>
    </w:div>
    <w:div w:id="1104035817">
      <w:bodyDiv w:val="1"/>
      <w:marLeft w:val="0"/>
      <w:marRight w:val="0"/>
      <w:marTop w:val="0"/>
      <w:marBottom w:val="0"/>
      <w:divBdr>
        <w:top w:val="none" w:sz="0" w:space="0" w:color="auto"/>
        <w:left w:val="none" w:sz="0" w:space="0" w:color="auto"/>
        <w:bottom w:val="none" w:sz="0" w:space="0" w:color="auto"/>
        <w:right w:val="none" w:sz="0" w:space="0" w:color="auto"/>
      </w:divBdr>
    </w:div>
    <w:div w:id="1106727538">
      <w:bodyDiv w:val="1"/>
      <w:marLeft w:val="0"/>
      <w:marRight w:val="0"/>
      <w:marTop w:val="0"/>
      <w:marBottom w:val="0"/>
      <w:divBdr>
        <w:top w:val="none" w:sz="0" w:space="0" w:color="auto"/>
        <w:left w:val="none" w:sz="0" w:space="0" w:color="auto"/>
        <w:bottom w:val="none" w:sz="0" w:space="0" w:color="auto"/>
        <w:right w:val="none" w:sz="0" w:space="0" w:color="auto"/>
      </w:divBdr>
    </w:div>
    <w:div w:id="1122772759">
      <w:bodyDiv w:val="1"/>
      <w:marLeft w:val="0"/>
      <w:marRight w:val="0"/>
      <w:marTop w:val="0"/>
      <w:marBottom w:val="0"/>
      <w:divBdr>
        <w:top w:val="none" w:sz="0" w:space="0" w:color="auto"/>
        <w:left w:val="none" w:sz="0" w:space="0" w:color="auto"/>
        <w:bottom w:val="none" w:sz="0" w:space="0" w:color="auto"/>
        <w:right w:val="none" w:sz="0" w:space="0" w:color="auto"/>
      </w:divBdr>
    </w:div>
    <w:div w:id="1383288331">
      <w:bodyDiv w:val="1"/>
      <w:marLeft w:val="0"/>
      <w:marRight w:val="0"/>
      <w:marTop w:val="0"/>
      <w:marBottom w:val="0"/>
      <w:divBdr>
        <w:top w:val="none" w:sz="0" w:space="0" w:color="auto"/>
        <w:left w:val="none" w:sz="0" w:space="0" w:color="auto"/>
        <w:bottom w:val="none" w:sz="0" w:space="0" w:color="auto"/>
        <w:right w:val="none" w:sz="0" w:space="0" w:color="auto"/>
      </w:divBdr>
    </w:div>
    <w:div w:id="1420786432">
      <w:bodyDiv w:val="1"/>
      <w:marLeft w:val="0"/>
      <w:marRight w:val="0"/>
      <w:marTop w:val="0"/>
      <w:marBottom w:val="0"/>
      <w:divBdr>
        <w:top w:val="none" w:sz="0" w:space="0" w:color="auto"/>
        <w:left w:val="none" w:sz="0" w:space="0" w:color="auto"/>
        <w:bottom w:val="none" w:sz="0" w:space="0" w:color="auto"/>
        <w:right w:val="none" w:sz="0" w:space="0" w:color="auto"/>
      </w:divBdr>
    </w:div>
    <w:div w:id="1465661961">
      <w:bodyDiv w:val="1"/>
      <w:marLeft w:val="0"/>
      <w:marRight w:val="0"/>
      <w:marTop w:val="0"/>
      <w:marBottom w:val="0"/>
      <w:divBdr>
        <w:top w:val="none" w:sz="0" w:space="0" w:color="auto"/>
        <w:left w:val="none" w:sz="0" w:space="0" w:color="auto"/>
        <w:bottom w:val="none" w:sz="0" w:space="0" w:color="auto"/>
        <w:right w:val="none" w:sz="0" w:space="0" w:color="auto"/>
      </w:divBdr>
    </w:div>
    <w:div w:id="1572081393">
      <w:bodyDiv w:val="1"/>
      <w:marLeft w:val="0"/>
      <w:marRight w:val="0"/>
      <w:marTop w:val="0"/>
      <w:marBottom w:val="0"/>
      <w:divBdr>
        <w:top w:val="none" w:sz="0" w:space="0" w:color="auto"/>
        <w:left w:val="none" w:sz="0" w:space="0" w:color="auto"/>
        <w:bottom w:val="none" w:sz="0" w:space="0" w:color="auto"/>
        <w:right w:val="none" w:sz="0" w:space="0" w:color="auto"/>
      </w:divBdr>
    </w:div>
    <w:div w:id="1583563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webSetting" Target="webSettings0.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rivm.nl/publicaties/cumulatie-metalen-en-vergunningverlening" TargetMode="External"/><Relationship Id="rId1" Type="http://schemas.openxmlformats.org/officeDocument/2006/relationships/hyperlink" Target="https://www.rijksoverheid.nl/documenten/rapporten/2024/02/28/bijlage-3-cumulatie-zzs-en-vergunningverlening"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2841</ap:Words>
  <ap:Characters>16196</ap:Characters>
  <ap:DocSecurity>0</ap:DocSecurity>
  <ap:Lines>134</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19000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2025-01-21T13:40:00.0000000Z</dcterms:created>
  <dcterms:modified xsi:type="dcterms:W3CDTF">2025-01-21T13:40:00.0000000Z</dcterms:modified>
  <dc:description>------------------------</dc:description>
  <dc:subject/>
  <keywords/>
  <version/>
  <category/>
</coreProperties>
</file>