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163C" w:rsidP="00EE163C" w:rsidRDefault="00EE163C" w14:paraId="10B45686" w14:textId="4DBB60B9">
      <w:pPr>
        <w:rPr>
          <w:b/>
          <w:bCs/>
        </w:rPr>
      </w:pPr>
      <w:r>
        <w:rPr>
          <w:b/>
          <w:bCs/>
        </w:rPr>
        <w:t>AH 1103</w:t>
      </w:r>
    </w:p>
    <w:p w:rsidR="00EE163C" w:rsidP="00EE163C" w:rsidRDefault="00EE163C" w14:paraId="7B1B365C" w14:textId="4B8A6CC5">
      <w:pPr>
        <w:rPr>
          <w:b/>
          <w:bCs/>
        </w:rPr>
      </w:pPr>
      <w:r>
        <w:rPr>
          <w:b/>
          <w:bCs/>
        </w:rPr>
        <w:t>2024Z20924</w:t>
      </w:r>
    </w:p>
    <w:p w:rsidR="00EE163C" w:rsidP="00EE163C" w:rsidRDefault="00EE163C" w14:paraId="5A0E2A8E" w14:textId="6E18B79F">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23 januari 2025)</w:t>
      </w:r>
    </w:p>
    <w:p w:rsidR="00EE163C" w:rsidP="00EE163C" w:rsidRDefault="00EE163C" w14:paraId="25ACAAD5" w14:textId="1D7FA626">
      <w:pPr>
        <w:rPr>
          <w:rFonts w:ascii="Times New Roman" w:hAnsi="Times New Roman"/>
          <w:bCs/>
          <w:sz w:val="24"/>
          <w:szCs w:val="24"/>
        </w:rPr>
      </w:pPr>
      <w:r w:rsidRPr="00EE163C">
        <w:rPr>
          <w:rFonts w:ascii="Times New Roman" w:hAnsi="Times New Roman"/>
          <w:bCs/>
          <w:sz w:val="24"/>
          <w:szCs w:val="24"/>
        </w:rPr>
        <w:t>Zie ook Aanhangsel Handelingen, vergaderjaar 2024-2025, nr.</w:t>
      </w:r>
      <w:r>
        <w:rPr>
          <w:rFonts w:ascii="Times New Roman" w:hAnsi="Times New Roman"/>
          <w:bCs/>
          <w:sz w:val="24"/>
          <w:szCs w:val="24"/>
        </w:rPr>
        <w:t xml:space="preserve"> 957</w:t>
      </w:r>
    </w:p>
    <w:p w:rsidRPr="00EE163C" w:rsidR="00EE163C" w:rsidP="00EE163C" w:rsidRDefault="00EE163C" w14:paraId="7073F5D2" w14:textId="77777777">
      <w:pPr>
        <w:rPr>
          <w:rFonts w:ascii="Times New Roman" w:hAnsi="Times New Roman"/>
          <w:bCs/>
          <w:sz w:val="24"/>
          <w:szCs w:val="24"/>
        </w:rPr>
      </w:pPr>
    </w:p>
    <w:p w:rsidRPr="003B064C" w:rsidR="00EE163C" w:rsidP="00EE163C" w:rsidRDefault="00EE163C" w14:paraId="716801BB" w14:textId="77777777">
      <w:r>
        <w:rPr>
          <w:b/>
          <w:bCs/>
        </w:rPr>
        <w:t>Vraag 1</w:t>
      </w:r>
    </w:p>
    <w:p w:rsidR="00EE163C" w:rsidP="00EE163C" w:rsidRDefault="00EE163C" w14:paraId="3E1765D5" w14:textId="77777777">
      <w:r w:rsidRPr="00E243FC">
        <w:rPr>
          <w:b/>
          <w:bCs/>
        </w:rPr>
        <w:t>Kent u het artikel 'Nieuwe wet gecombineerde achternamen discrimineert vrouwen'? 1)</w:t>
      </w:r>
      <w:r w:rsidRPr="00E243FC">
        <w:rPr>
          <w:b/>
          <w:bCs/>
        </w:rPr>
        <w:br/>
      </w:r>
    </w:p>
    <w:p w:rsidRPr="0054396C" w:rsidR="00EE163C" w:rsidP="00EE163C" w:rsidRDefault="00EE163C" w14:paraId="22AA82CF" w14:textId="77777777">
      <w:pPr>
        <w:rPr>
          <w:b/>
          <w:bCs/>
        </w:rPr>
      </w:pPr>
      <w:r w:rsidRPr="0054396C">
        <w:rPr>
          <w:b/>
          <w:bCs/>
        </w:rPr>
        <w:t>Antwoord op vraag 1</w:t>
      </w:r>
    </w:p>
    <w:p w:rsidR="00EE163C" w:rsidP="00EE163C" w:rsidRDefault="00EE163C" w14:paraId="0268FE4B" w14:textId="77777777">
      <w:r w:rsidRPr="00E243FC">
        <w:t>Ja</w:t>
      </w:r>
    </w:p>
    <w:p w:rsidRPr="00E243FC" w:rsidR="00EE163C" w:rsidP="00EE163C" w:rsidRDefault="00EE163C" w14:paraId="10F0347A" w14:textId="77777777">
      <w:pPr>
        <w:ind w:left="360"/>
      </w:pPr>
    </w:p>
    <w:p w:rsidR="00EE163C" w:rsidP="00EE163C" w:rsidRDefault="00EE163C" w14:paraId="6A19ECC2" w14:textId="77777777">
      <w:pPr>
        <w:autoSpaceDE w:val="0"/>
        <w:adjustRightInd w:val="0"/>
        <w:rPr>
          <w:b/>
          <w:bCs/>
        </w:rPr>
      </w:pPr>
      <w:r>
        <w:rPr>
          <w:b/>
          <w:bCs/>
        </w:rPr>
        <w:t>Vraag 2</w:t>
      </w:r>
    </w:p>
    <w:p w:rsidRPr="00E243FC" w:rsidR="00EE163C" w:rsidP="00EE163C" w:rsidRDefault="00EE163C" w14:paraId="7F9CC768" w14:textId="77777777">
      <w:pPr>
        <w:autoSpaceDE w:val="0"/>
        <w:adjustRightInd w:val="0"/>
        <w:rPr>
          <w:b/>
          <w:bCs/>
        </w:rPr>
      </w:pPr>
      <w:r w:rsidRPr="00E243FC">
        <w:rPr>
          <w:b/>
          <w:bCs/>
        </w:rPr>
        <w:t>Deelt u de mening dat de wet, omdat “vrouwen in heteroseksuele relaties die getrouwd zijn of een geregistreerd partnerschap hebben, hun achternaam niet aan hun kind [kunnen] doorgeven zonder toestemming van de vader”, discriminerend voor vrouwen uitwerkt? Zo ja, waarom? Zo nee, waarom niet?</w:t>
      </w:r>
    </w:p>
    <w:p w:rsidR="00EE163C" w:rsidP="00EE163C" w:rsidRDefault="00EE163C" w14:paraId="3C9AE76E" w14:textId="77777777">
      <w:pPr>
        <w:rPr>
          <w:rFonts w:eastAsia="Times New Roman"/>
        </w:rPr>
      </w:pPr>
    </w:p>
    <w:p w:rsidRPr="0054396C" w:rsidR="00EE163C" w:rsidP="00EE163C" w:rsidRDefault="00EE163C" w14:paraId="1DAD2A2D" w14:textId="77777777">
      <w:pPr>
        <w:rPr>
          <w:rFonts w:eastAsia="Times New Roman"/>
          <w:b/>
          <w:bCs/>
        </w:rPr>
      </w:pPr>
      <w:r w:rsidRPr="0054396C">
        <w:rPr>
          <w:rFonts w:eastAsia="Times New Roman"/>
          <w:b/>
          <w:bCs/>
        </w:rPr>
        <w:t>Antwoord op vraag 2</w:t>
      </w:r>
    </w:p>
    <w:p w:rsidRPr="0054396C" w:rsidR="00EE163C" w:rsidP="00EE163C" w:rsidRDefault="00EE163C" w14:paraId="1737B134" w14:textId="77777777">
      <w:pPr>
        <w:rPr>
          <w:rFonts w:eastAsia="Times New Roman"/>
        </w:rPr>
      </w:pPr>
      <w:r w:rsidRPr="0054396C">
        <w:rPr>
          <w:rFonts w:eastAsia="Times New Roman"/>
        </w:rPr>
        <w:t>Bij de parlementaire behandeling van het wetsvoorstel dat heeft geleid tot de Wet introductie gecombineerde geslachtsnaam (</w:t>
      </w:r>
      <w:proofErr w:type="spellStart"/>
      <w:r w:rsidRPr="0054396C">
        <w:rPr>
          <w:rFonts w:eastAsia="Times New Roman"/>
        </w:rPr>
        <w:t>Wigg</w:t>
      </w:r>
      <w:proofErr w:type="spellEnd"/>
      <w:r w:rsidRPr="0054396C">
        <w:rPr>
          <w:rFonts w:eastAsia="Times New Roman"/>
        </w:rPr>
        <w:t xml:space="preserve">) is zowel in de Tweede als de Eerste Kamer dit onderwerp aan de orde geweest, waarna beide Kamers met de wet hebben ingestemd. </w:t>
      </w:r>
    </w:p>
    <w:p w:rsidRPr="0054396C" w:rsidR="00EE163C" w:rsidP="00EE163C" w:rsidRDefault="00EE163C" w14:paraId="4E95DBDA" w14:textId="77777777">
      <w:pPr>
        <w:rPr>
          <w:rFonts w:eastAsia="Times New Roman"/>
        </w:rPr>
      </w:pPr>
      <w:r w:rsidRPr="0054396C">
        <w:rPr>
          <w:rFonts w:eastAsia="Times New Roman"/>
        </w:rPr>
        <w:t>Tijdens de mondelinge behandeling van het wetsvoorstel is in beide Kamers besproken dat is voorzien in een evaluatie waarbij wordt bezien welke effecten de regeling uiteindelijk in de praktijk zal hebben.</w:t>
      </w:r>
      <w:r w:rsidRPr="00E243FC">
        <w:rPr>
          <w:rStyle w:val="Voetnootmarkering"/>
          <w:rFonts w:cs="Verdana"/>
        </w:rPr>
        <w:footnoteReference w:id="1"/>
      </w:r>
      <w:r w:rsidRPr="0054396C">
        <w:rPr>
          <w:rFonts w:eastAsia="Times New Roman"/>
        </w:rPr>
        <w:t xml:space="preserve"> Daarbij zal worden bekeken wat de doeltreffendheid is van deze wet en wat de effecten hiervan in de praktijk zijn op de gendergelijkheid. Met het oog daarop zal worden gekeken in hoeverre van de ruimere keuzemogelijkheid die de regeling biedt, gebruik wordt gemaakt. Ook zal </w:t>
      </w:r>
      <w:r w:rsidRPr="0054396C">
        <w:rPr>
          <w:rFonts w:eastAsia="Times New Roman"/>
        </w:rPr>
        <w:lastRenderedPageBreak/>
        <w:t>worden nagegaan in welke mate de wet aansluit bij de in de samenleving bestaande opvattingen over de naam, de mate waarin de wet bekend is, of de uitvoering van de wet onnodige drempels opwerpt voor ouders ter realisering van hun keuze en de ontwikkelingen in het buitenland. De werking van vangnetnormen zal daarbij worden meegenomen.</w:t>
      </w:r>
    </w:p>
    <w:p w:rsidRPr="00E243FC" w:rsidR="00EE163C" w:rsidP="00EE163C" w:rsidRDefault="00EE163C" w14:paraId="66200A5E" w14:textId="77777777">
      <w:pPr>
        <w:autoSpaceDE w:val="0"/>
        <w:adjustRightInd w:val="0"/>
        <w:ind w:left="360"/>
      </w:pPr>
    </w:p>
    <w:p w:rsidR="00EE163C" w:rsidP="00EE163C" w:rsidRDefault="00EE163C" w14:paraId="763A9F9F" w14:textId="77777777">
      <w:pPr>
        <w:rPr>
          <w:b/>
          <w:bCs/>
        </w:rPr>
      </w:pPr>
      <w:r>
        <w:rPr>
          <w:b/>
          <w:bCs/>
        </w:rPr>
        <w:t>Vraag 3</w:t>
      </w:r>
    </w:p>
    <w:p w:rsidRPr="00E243FC" w:rsidR="00EE163C" w:rsidP="00EE163C" w:rsidRDefault="00EE163C" w14:paraId="420A910B" w14:textId="77777777">
      <w:pPr>
        <w:rPr>
          <w:rFonts w:cs="Verdana"/>
          <w:b/>
          <w:bCs/>
        </w:rPr>
      </w:pPr>
      <w:r w:rsidRPr="00E243FC">
        <w:rPr>
          <w:b/>
          <w:bCs/>
        </w:rPr>
        <w:t>Overweegt u de wet aan te passen waardoor niet enkel de wil van een van de ouders doorslaggevend is om het registreren van een tweede achternaam tegen te gaan? Zo ja, op welke wijze? Zo nee, waarom niet?</w:t>
      </w:r>
    </w:p>
    <w:p w:rsidR="00EE163C" w:rsidP="00EE163C" w:rsidRDefault="00EE163C" w14:paraId="2A6B3D9F" w14:textId="77777777">
      <w:pPr>
        <w:rPr>
          <w:rFonts w:cs="Verdana"/>
        </w:rPr>
      </w:pPr>
    </w:p>
    <w:p w:rsidRPr="0054396C" w:rsidR="00EE163C" w:rsidP="00EE163C" w:rsidRDefault="00EE163C" w14:paraId="6F27C271" w14:textId="77777777">
      <w:pPr>
        <w:rPr>
          <w:rFonts w:cs="Verdana"/>
          <w:b/>
          <w:bCs/>
        </w:rPr>
      </w:pPr>
      <w:r w:rsidRPr="0054396C">
        <w:rPr>
          <w:rFonts w:cs="Verdana"/>
          <w:b/>
          <w:bCs/>
        </w:rPr>
        <w:t>Antwoord op vraag 3</w:t>
      </w:r>
    </w:p>
    <w:p w:rsidRPr="0054396C" w:rsidR="00EE163C" w:rsidP="00EE163C" w:rsidRDefault="00EE163C" w14:paraId="635B6667" w14:textId="77777777">
      <w:pPr>
        <w:rPr>
          <w:rFonts w:cs="Verdana"/>
        </w:rPr>
      </w:pPr>
      <w:r w:rsidRPr="0054396C">
        <w:rPr>
          <w:rFonts w:cs="Verdana"/>
        </w:rPr>
        <w:t xml:space="preserve">De regeling van het naamrecht biedt geen mogelijkheid om een geschil over de naam voor te leggen aan de rechter of om vervangende toestemming te vragen. Net als mijn voorganger ben ik geen voorstander van een dergelijke mogelijkheid. Het miskent de verantwoordelijkheid van ouders voor de </w:t>
      </w:r>
      <w:proofErr w:type="spellStart"/>
      <w:r w:rsidRPr="0054396C">
        <w:rPr>
          <w:rFonts w:cs="Verdana"/>
        </w:rPr>
        <w:t>naamskeuze</w:t>
      </w:r>
      <w:proofErr w:type="spellEnd"/>
      <w:r w:rsidRPr="0054396C">
        <w:rPr>
          <w:rFonts w:cs="Verdana"/>
        </w:rPr>
        <w:t xml:space="preserve"> voor het kind, vergroot de mogelijkheden voor het juridiseren van het conflict tussen ouders en belast het rechtssysteem.</w:t>
      </w:r>
      <w:r w:rsidRPr="00E243FC">
        <w:rPr>
          <w:rStyle w:val="Voetnootmarkering"/>
          <w:rFonts w:cs="Verdana"/>
        </w:rPr>
        <w:footnoteReference w:id="2"/>
      </w:r>
      <w:r w:rsidRPr="0054396C">
        <w:rPr>
          <w:rFonts w:cs="Verdana"/>
        </w:rPr>
        <w:t xml:space="preserve"> Zoals in het antwoord op vraag 2 is aangegeven, is voorzien in een evaluatie, waarbij ook de vangnetnormen worden meegenomen. Op deze evaluatie wil ik niet vooruitlopen. </w:t>
      </w:r>
    </w:p>
    <w:p w:rsidRPr="00E243FC" w:rsidR="00EE163C" w:rsidP="00EE163C" w:rsidRDefault="00EE163C" w14:paraId="44747946" w14:textId="77777777">
      <w:pPr>
        <w:ind w:left="423"/>
        <w:rPr>
          <w:rFonts w:cs="Verdana"/>
        </w:rPr>
      </w:pPr>
    </w:p>
    <w:p w:rsidR="00EE163C" w:rsidP="00EE163C" w:rsidRDefault="00EE163C" w14:paraId="435D55EF" w14:textId="77777777">
      <w:pPr>
        <w:rPr>
          <w:b/>
          <w:bCs/>
        </w:rPr>
      </w:pPr>
      <w:r>
        <w:rPr>
          <w:b/>
          <w:bCs/>
        </w:rPr>
        <w:t>Vraag 4</w:t>
      </w:r>
    </w:p>
    <w:p w:rsidR="00EE163C" w:rsidP="00EE163C" w:rsidRDefault="00EE163C" w14:paraId="6EB6940D" w14:textId="77777777">
      <w:r w:rsidRPr="00E243FC">
        <w:rPr>
          <w:b/>
          <w:bCs/>
        </w:rPr>
        <w:t>Hoe verhoudt volgens u de positieve verplichting van Nederland onder de artikelen 5 en 16, eerste lid, onder g van het VN-Vrouwenverdrag om sociale en culturele gedragspatronen te veranderen om zo vooroordelen en gewoonten gebaseerd op genderstereotypering tegen te gaan alsmede om discriminatie van vrouwen in alle aangelegenheden betreffende het huwelijk en de familiebetrekkingen te beperken en in het bijzonder op basis van gelijkheid van mannen en vrouwen te waarborgen waaronder het recht een geslachtsnaam te kiezen, zich ten aanzien van de vangnetregeling onder de Wet introductie gecombineerde geslachtsnaam die de huwelijkse staat als uitgangspositie neemt?</w:t>
      </w:r>
      <w:r w:rsidRPr="00E243FC">
        <w:rPr>
          <w:b/>
          <w:bCs/>
        </w:rPr>
        <w:br/>
      </w:r>
    </w:p>
    <w:p w:rsidRPr="0054396C" w:rsidR="00EE163C" w:rsidP="00EE163C" w:rsidRDefault="00EE163C" w14:paraId="6D5ABBF1" w14:textId="77777777">
      <w:pPr>
        <w:rPr>
          <w:b/>
          <w:bCs/>
        </w:rPr>
      </w:pPr>
      <w:r w:rsidRPr="0054396C">
        <w:rPr>
          <w:b/>
          <w:bCs/>
        </w:rPr>
        <w:t>Antwoord op vraag 4</w:t>
      </w:r>
    </w:p>
    <w:p w:rsidRPr="00E243FC" w:rsidR="00EE163C" w:rsidP="00EE163C" w:rsidRDefault="00EE163C" w14:paraId="4CE90B41" w14:textId="77777777">
      <w:r w:rsidRPr="00E243FC">
        <w:lastRenderedPageBreak/>
        <w:t>Met de wet is beoogd om aan ouders die daaraan behoefte hebben, een extra mogelijkheid te bieden, namelijk om gezamenlijk de keuze te maken om hun kind een geslachtsnaam te geven die bestaat uit een combinatie van (een deel van) hun beider geslachtsnamen. Die mogelijkheid bestaat zowel voor kinderen geboren binnen een huwelijk of geregistreerd partnerschap als daarbuiten. In het VN-Vrouwenverdrag is opgenomen dat verdragsluitende staten op basis van de gelijkheid van man en vrouw dezelfde persoonlijke rechten als echtgenoot en echtgenote, met inbegrip van het recht een geslachtsnaam te kiezen, moeten bieden. Mijn voorganger heeft in zijn brief aan uw Kamer van 12 september 2022 gewezen op de beoordelingsvrijheid die toekomt aan Staten die partij zijn bij het VN-Vrouwenverdrag, alsmede op het belang van het kind om vanaf de geboorte een geslachtsnaam te krijgen.</w:t>
      </w:r>
      <w:r w:rsidRPr="00E243FC">
        <w:rPr>
          <w:rStyle w:val="Voetnootmarkering"/>
        </w:rPr>
        <w:footnoteReference w:id="3"/>
      </w:r>
      <w:r w:rsidRPr="00E243FC">
        <w:t xml:space="preserve"> Ik sluit me daarbij aan en acht de regeling in lijn daarmee in overeenstemming met het VN-Vrouwenverdrag.</w:t>
      </w:r>
    </w:p>
    <w:p w:rsidRPr="00E243FC" w:rsidR="00EE163C" w:rsidP="00EE163C" w:rsidRDefault="00EE163C" w14:paraId="23619C73" w14:textId="77777777">
      <w:pPr>
        <w:autoSpaceDE w:val="0"/>
        <w:adjustRightInd w:val="0"/>
        <w:rPr>
          <w:rFonts w:cs="Verdana"/>
        </w:rPr>
      </w:pPr>
    </w:p>
    <w:p w:rsidR="00EE163C" w:rsidP="00EE163C" w:rsidRDefault="00EE163C" w14:paraId="72BBA777" w14:textId="77777777">
      <w:pPr>
        <w:rPr>
          <w:b/>
          <w:bCs/>
        </w:rPr>
      </w:pPr>
      <w:r>
        <w:rPr>
          <w:b/>
          <w:bCs/>
        </w:rPr>
        <w:t>Vraag 5</w:t>
      </w:r>
    </w:p>
    <w:p w:rsidRPr="00E243FC" w:rsidR="00EE163C" w:rsidP="00EE163C" w:rsidRDefault="00EE163C" w14:paraId="24146935" w14:textId="77777777">
      <w:pPr>
        <w:rPr>
          <w:b/>
          <w:bCs/>
        </w:rPr>
      </w:pPr>
      <w:r w:rsidRPr="00E243FC">
        <w:rPr>
          <w:b/>
          <w:bCs/>
        </w:rPr>
        <w:t>Hoe wordt er in andere lidstaten van de Europese Unie waar een gecombineerde achternaam mogelijk is, bepaald hoe een gecombineerde achternaam en met wiens toestemming die kan worden vastgelegd? In hoeverre kennen die landen ook een vangnetregeling waar beide achternamen standaard is?</w:t>
      </w:r>
    </w:p>
    <w:p w:rsidR="00EE163C" w:rsidP="00EE163C" w:rsidRDefault="00EE163C" w14:paraId="3E14DC2A" w14:textId="77777777"/>
    <w:p w:rsidRPr="0054396C" w:rsidR="00EE163C" w:rsidP="00EE163C" w:rsidRDefault="00EE163C" w14:paraId="414EFCCB" w14:textId="77777777">
      <w:pPr>
        <w:rPr>
          <w:b/>
          <w:bCs/>
        </w:rPr>
      </w:pPr>
      <w:r w:rsidRPr="0054396C">
        <w:rPr>
          <w:b/>
          <w:bCs/>
        </w:rPr>
        <w:t>Antwoord op vraag 5</w:t>
      </w:r>
    </w:p>
    <w:p w:rsidRPr="003B064C" w:rsidR="00EE163C" w:rsidP="00EE163C" w:rsidRDefault="00EE163C" w14:paraId="0E44C0CE" w14:textId="77777777">
      <w:r w:rsidRPr="003B064C">
        <w:t>Ik beschik op dit moment niet over een actueel overzicht van de naamrechtsystemen binnen lidstaten van de Europese Unie. Een rechtsvergelijkend onderzoek is in 2009 uitgevoerd.</w:t>
      </w:r>
      <w:r w:rsidRPr="00E243FC">
        <w:rPr>
          <w:rStyle w:val="Voetnootmarkering"/>
        </w:rPr>
        <w:footnoteReference w:id="4"/>
      </w:r>
      <w:r w:rsidRPr="003B064C">
        <w:t xml:space="preserve"> Daarin kwam naar voren dat de vangnetnorm per onderzocht land verschilde (naam van de vader; naam van de moeder; naam van degene wiens/wier afstamming het eerst werd vastgesteld (meestal de moeder); dubbele geslachtsnaam met als eerste de naam van de vader; de huwelijksnaam van de ouders; bepaling door de rechter). Naar ik heb begrepen geldt in België sinds 1 januari 2017 dat in geval van onenigheid tussen de ouders of bij gebrek aan keuze, het kind een dubbele naam krijgt samengesteld uit de namen van beide ouders in alfabetische volgorde. In Luxemburg geldt sinds 2006 een vergelijkbaar stelsel, waarbij de volgorde van de namen wordt bepaald door het lot.</w:t>
      </w:r>
    </w:p>
    <w:p w:rsidRPr="00E243FC" w:rsidR="00EE163C" w:rsidP="00EE163C" w:rsidRDefault="00EE163C" w14:paraId="7EA55621" w14:textId="77777777">
      <w:pPr>
        <w:ind w:left="360"/>
      </w:pPr>
    </w:p>
    <w:p w:rsidR="00EE163C" w:rsidP="00EE163C" w:rsidRDefault="00EE163C" w14:paraId="27E63224" w14:textId="77777777">
      <w:pPr>
        <w:rPr>
          <w:b/>
          <w:bCs/>
        </w:rPr>
      </w:pPr>
      <w:r>
        <w:rPr>
          <w:b/>
          <w:bCs/>
        </w:rPr>
        <w:t>Vraag 6</w:t>
      </w:r>
    </w:p>
    <w:p w:rsidR="00EE163C" w:rsidP="00EE163C" w:rsidRDefault="00EE163C" w14:paraId="451E562F" w14:textId="77777777">
      <w:r w:rsidRPr="0054396C">
        <w:rPr>
          <w:b/>
          <w:bCs/>
        </w:rPr>
        <w:t>Acht u het wenselijk de regeling te verlengen op grond waarvan het mogelijk is om voor kinderen die na 1 januari 2016 geboren zijn en voor 1 januari 2024 alsnog een gecombineerde achternaam te laten krijgen? Zo ja, op welke wijze gaat u hier zorg voor dragen? Zo nee, waarom niet?</w:t>
      </w:r>
      <w:r w:rsidRPr="0054396C">
        <w:rPr>
          <w:b/>
          <w:bCs/>
        </w:rPr>
        <w:br/>
      </w:r>
    </w:p>
    <w:p w:rsidRPr="0054396C" w:rsidR="00EE163C" w:rsidP="00EE163C" w:rsidRDefault="00EE163C" w14:paraId="37DD3160" w14:textId="77777777">
      <w:pPr>
        <w:rPr>
          <w:b/>
          <w:bCs/>
        </w:rPr>
      </w:pPr>
      <w:r w:rsidRPr="0054396C">
        <w:rPr>
          <w:b/>
          <w:bCs/>
        </w:rPr>
        <w:t>Antwoord op vraag 6</w:t>
      </w:r>
    </w:p>
    <w:p w:rsidRPr="0054396C" w:rsidR="00EE163C" w:rsidP="00EE163C" w:rsidRDefault="00EE163C" w14:paraId="3BBC03B8" w14:textId="77777777">
      <w:r w:rsidRPr="0054396C">
        <w:t xml:space="preserve">Het verlengen van de overgangsregeling acht ik niet wenselijk. </w:t>
      </w:r>
      <w:bookmarkStart w:name="_Hlk187228050" w:id="0"/>
      <w:r w:rsidRPr="0054396C">
        <w:t xml:space="preserve">Aanvankelijk is in de </w:t>
      </w:r>
      <w:proofErr w:type="spellStart"/>
      <w:r w:rsidRPr="0054396C">
        <w:t>Wigg</w:t>
      </w:r>
      <w:proofErr w:type="spellEnd"/>
      <w:r w:rsidRPr="0054396C">
        <w:t xml:space="preserve"> bij nota van wijziging een overgangsregeling opgenomen voor kinderen geboren op of na 29 januari 2019.</w:t>
      </w:r>
      <w:r w:rsidRPr="0054396C">
        <w:rPr>
          <w:rStyle w:val="Voetnootmarkering"/>
        </w:rPr>
        <w:t xml:space="preserve"> </w:t>
      </w:r>
      <w:r w:rsidRPr="00E243FC">
        <w:rPr>
          <w:rStyle w:val="Voetnootmarkering"/>
        </w:rPr>
        <w:footnoteReference w:id="5"/>
      </w:r>
      <w:r w:rsidRPr="0054396C">
        <w:rPr>
          <w:rStyle w:val="Voetnootmarkering"/>
        </w:rPr>
        <w:t xml:space="preserve"> </w:t>
      </w:r>
      <w:r w:rsidRPr="00E243FC">
        <w:rPr>
          <w:rStyle w:val="Voetnootmarkering"/>
        </w:rPr>
        <w:footnoteReference w:id="6"/>
      </w:r>
      <w:r w:rsidRPr="0054396C">
        <w:t xml:space="preserve"> Naar verwachting zou daarmee alleen voor vrij jonge kinderen van de overgangsregeling gebruik kunnen worden gemaakt. Hiermee werd aangesloten bij het beleid en de rechtspraak om terughoudend om te gaan met de wijziging van de naam van kinderen.</w:t>
      </w:r>
      <w:r w:rsidRPr="00E243FC">
        <w:rPr>
          <w:rStyle w:val="Voetnootmarkering"/>
        </w:rPr>
        <w:footnoteReference w:id="7"/>
      </w:r>
      <w:r w:rsidRPr="0054396C">
        <w:t xml:space="preserve"> De naam van een kind vormt onderdeel van diens identiteit en wordt als zodanig ook beschermd door artikel 8 van het Internationale Verdrag voor de Rechten van het Kind. Voor jonge kinderen die zich nog niet zo zeer bewust zijn van de geslachtsnaam die zij dragen, geldt minder sterk dat hun identiteit wordt aangetast als hun naam wijzigt. Oudere kinderen zullen zich in toenemende mate bewust zijn van de geslachtsnaam die zij dragen. Voor hen werd daarom terughoudendheid betracht bij de mogelijkheid tot wijzigen van hun geslachtsnaam. Bovenstaande overwegingen hebben ook geleid tot de keuze om de overgangsregeling voor de duur van één jaar open te stellen. </w:t>
      </w:r>
    </w:p>
    <w:p w:rsidRPr="003B064C" w:rsidR="00EE163C" w:rsidP="00EE163C" w:rsidRDefault="00EE163C" w14:paraId="36E78D80" w14:textId="77777777">
      <w:r w:rsidRPr="003B064C">
        <w:t>Bij amendement is de reikwijdte van de overgangsregeling opgerekt en is deze opengesteld voor kinderen geboren op of na 1 januari 2016.</w:t>
      </w:r>
      <w:r w:rsidRPr="00E243FC">
        <w:rPr>
          <w:rStyle w:val="Voetnootmarkering"/>
        </w:rPr>
        <w:footnoteReference w:id="8"/>
      </w:r>
      <w:r w:rsidRPr="003B064C">
        <w:t xml:space="preserve"> Daarbij werd ervan uitgegaan dat de overgangsregeling nog steeds alleen open zou komen te staan voor relatief jonge kinderen, namelijk voor kinderen die op de datum van inwerkingtreding van de </w:t>
      </w:r>
      <w:proofErr w:type="spellStart"/>
      <w:r w:rsidRPr="003B064C">
        <w:t>Wigg</w:t>
      </w:r>
      <w:proofErr w:type="spellEnd"/>
      <w:r w:rsidRPr="003B064C">
        <w:t xml:space="preserve"> maximaal acht jaar oud zouden zijn. Overwogen werd dat die leeftijdsgrens goed aansluit bij de grens die in de rechtspraak al deels wordt </w:t>
      </w:r>
      <w:r w:rsidRPr="003B064C">
        <w:lastRenderedPageBreak/>
        <w:t>toegepast, namelijk dat een kind vanaf acht jaar gehoord wordt in familierechtelijke zaken die de (rechts)positie van het kind betreffen. Tot de leeftijd van acht jaar is de identiteit van het kind nog niet dermate ontwikkeld dat het veranderen van de geslachtsnaam negatieve gevolgen zou kunnen hebben, aldus de indieners van het amendement.</w:t>
      </w:r>
    </w:p>
    <w:p w:rsidRPr="003B064C" w:rsidR="00EE163C" w:rsidP="00EE163C" w:rsidRDefault="00EE163C" w14:paraId="6C2C314D" w14:textId="77777777">
      <w:r w:rsidRPr="003B064C">
        <w:t xml:space="preserve">Indien de overgangsregeling zou worden verlengd, zou daar een beroep op kunnen worden gedaan ook voor oudere kinderen. Ik acht dat gelet op het voorgaande niet wenselijk. </w:t>
      </w:r>
    </w:p>
    <w:bookmarkEnd w:id="0"/>
    <w:p w:rsidRPr="00E243FC" w:rsidR="00EE163C" w:rsidP="00EE163C" w:rsidRDefault="00EE163C" w14:paraId="766C53F3" w14:textId="77777777">
      <w:pPr>
        <w:ind w:left="720"/>
      </w:pPr>
    </w:p>
    <w:p w:rsidR="00EE163C" w:rsidP="00EE163C" w:rsidRDefault="00EE163C" w14:paraId="34DD9095" w14:textId="77777777">
      <w:pPr>
        <w:rPr>
          <w:b/>
          <w:bCs/>
        </w:rPr>
      </w:pPr>
      <w:r>
        <w:rPr>
          <w:b/>
          <w:bCs/>
        </w:rPr>
        <w:t>Vraag 7</w:t>
      </w:r>
    </w:p>
    <w:p w:rsidR="00EE163C" w:rsidP="00EE163C" w:rsidRDefault="00EE163C" w14:paraId="33006EFC" w14:textId="77777777">
      <w:r w:rsidRPr="00E243FC">
        <w:rPr>
          <w:b/>
          <w:bCs/>
        </w:rPr>
        <w:t xml:space="preserve">Acht u het wenselijk om te waarborgen dat ouders die voor 31 december 2024 bij de rechter een verzoekschrift hebben ingediend en vervolgens vervangende toestemming hebben gekregen voor een gecombineerde achternaam, met deze vervangende toestemming bij de gemeente de achternaam kunnen laten toevoegen in 2025 in plaats van dat zij zich bij </w:t>
      </w:r>
      <w:proofErr w:type="spellStart"/>
      <w:r w:rsidRPr="00E243FC">
        <w:rPr>
          <w:b/>
          <w:bCs/>
        </w:rPr>
        <w:t>Justis</w:t>
      </w:r>
      <w:proofErr w:type="spellEnd"/>
      <w:r w:rsidRPr="00E243FC">
        <w:rPr>
          <w:b/>
          <w:bCs/>
        </w:rPr>
        <w:t xml:space="preserve"> moeten melden, waardoor zij tegen extra voorwaarden van </w:t>
      </w:r>
      <w:proofErr w:type="spellStart"/>
      <w:r w:rsidRPr="00E243FC">
        <w:rPr>
          <w:b/>
          <w:bCs/>
        </w:rPr>
        <w:t>Justis</w:t>
      </w:r>
      <w:proofErr w:type="spellEnd"/>
      <w:r w:rsidRPr="00E243FC">
        <w:rPr>
          <w:b/>
          <w:bCs/>
        </w:rPr>
        <w:t xml:space="preserve"> aanlopen die zij via de gemeentelijke route niet zouden tegenkomen? Zo ja, hoe gaat u dit bewerkstelligen? Zo nee, waarom niet?</w:t>
      </w:r>
      <w:r w:rsidRPr="00E243FC">
        <w:rPr>
          <w:b/>
          <w:bCs/>
        </w:rPr>
        <w:br/>
      </w:r>
    </w:p>
    <w:p w:rsidRPr="0054396C" w:rsidR="00EE163C" w:rsidP="00EE163C" w:rsidRDefault="00EE163C" w14:paraId="32AE7EA2" w14:textId="77777777">
      <w:pPr>
        <w:rPr>
          <w:b/>
          <w:bCs/>
        </w:rPr>
      </w:pPr>
      <w:r w:rsidRPr="0054396C">
        <w:rPr>
          <w:b/>
          <w:bCs/>
        </w:rPr>
        <w:t>Antwoord op</w:t>
      </w:r>
      <w:r>
        <w:rPr>
          <w:b/>
          <w:bCs/>
        </w:rPr>
        <w:t xml:space="preserve"> </w:t>
      </w:r>
      <w:r w:rsidRPr="0054396C">
        <w:rPr>
          <w:b/>
          <w:bCs/>
        </w:rPr>
        <w:t>vraag 7</w:t>
      </w:r>
    </w:p>
    <w:p w:rsidRPr="00E243FC" w:rsidR="00EE163C" w:rsidP="00EE163C" w:rsidRDefault="00EE163C" w14:paraId="6B3CD275" w14:textId="77777777">
      <w:r w:rsidRPr="00E243FC">
        <w:t>Er is vrij veel media-aandacht geweest voor de wetswijziging en de overgangsregeling. Het beeld is dat de periode van één jaar ouders voldoende tijd heeft geboden om te komen tot een verzoek op grond van die overgangsregeling. Aanpassing van de duur van de regeling acht ik dan ook niet opportuun. Overigens is tijdens de wetsbehandeling besproken - en dit blijkt ook uit inmiddels bestendige jurisprudentie</w:t>
      </w:r>
      <w:r w:rsidRPr="00E243FC">
        <w:rPr>
          <w:rStyle w:val="Voetnootmarkering"/>
        </w:rPr>
        <w:footnoteReference w:id="9"/>
      </w:r>
      <w:r w:rsidRPr="00E243FC">
        <w:t xml:space="preserve"> - dat een verzoek tot vervangende toestemming niet mogelijk is.</w:t>
      </w:r>
    </w:p>
    <w:p w:rsidRPr="003B064C" w:rsidR="00EE163C" w:rsidP="00EE163C" w:rsidRDefault="00EE163C" w14:paraId="1762C8E5" w14:textId="77777777">
      <w:r w:rsidRPr="003B064C">
        <w:t xml:space="preserve">De betreffende overgangsregeling is opgenomen in artikel IIIB, eerste en tweede lid, </w:t>
      </w:r>
      <w:proofErr w:type="spellStart"/>
      <w:r w:rsidRPr="003B064C">
        <w:t>Wigg</w:t>
      </w:r>
      <w:proofErr w:type="spellEnd"/>
      <w:r w:rsidRPr="003B064C">
        <w:t>. Aanpassing van de duur van die regeling kan daarom alleen bij wet gebeuren. Gelet op de doorlooptijd van een wetstraject is verlenging voor afloop van die regeling per 1 januari 2025 praktisch ook niet haalbaar. Zoals overwogen in het antwoord op vraag 6, acht ik een langere duur van de overgangsregeling ook niet wenselijk.</w:t>
      </w:r>
    </w:p>
    <w:p w:rsidRPr="00E243FC" w:rsidR="00EE163C" w:rsidP="00EE163C" w:rsidRDefault="00EE163C" w14:paraId="43C1AC5E" w14:textId="77777777">
      <w:pPr>
        <w:ind w:left="720"/>
      </w:pPr>
    </w:p>
    <w:p w:rsidR="00EE163C" w:rsidP="00EE163C" w:rsidRDefault="00EE163C" w14:paraId="77FE6E4F" w14:textId="77777777">
      <w:pPr>
        <w:rPr>
          <w:b/>
          <w:bCs/>
        </w:rPr>
      </w:pPr>
      <w:r>
        <w:rPr>
          <w:b/>
          <w:bCs/>
        </w:rPr>
        <w:lastRenderedPageBreak/>
        <w:t>Vraag 8</w:t>
      </w:r>
    </w:p>
    <w:p w:rsidRPr="00E243FC" w:rsidR="00EE163C" w:rsidP="00EE163C" w:rsidRDefault="00EE163C" w14:paraId="76DAB692" w14:textId="77777777">
      <w:pPr>
        <w:rPr>
          <w:b/>
          <w:bCs/>
        </w:rPr>
      </w:pPr>
      <w:r w:rsidRPr="00E243FC">
        <w:rPr>
          <w:b/>
          <w:bCs/>
        </w:rPr>
        <w:t>Deelt u de mening dat ouders die van de overgangsregeling gebruik willen maken, niet gedupeerd zouden moeten worden door een tekort aan plekken voor aanvragen bij de gemeente dan wel vertraging binnen de rechterlijke macht, waardoor zij verhinderd zijn om voor 31 december 2024 bij de gemeente al dan niet met vervangende toestemming van de rechter hun verzoek tot toevoegen van de achternaam in te dienen? Zo ja, welke acties kunt u daartoe eventueel in samenwerking met de Vereniging van Nederlandse Gemeenten ondernemen? Zo nee, waarom niet?</w:t>
      </w:r>
    </w:p>
    <w:p w:rsidR="00EE163C" w:rsidP="00EE163C" w:rsidRDefault="00EE163C" w14:paraId="3F9AF234" w14:textId="77777777"/>
    <w:p w:rsidR="00EE163C" w:rsidP="00EE163C" w:rsidRDefault="00EE163C" w14:paraId="364A95C6" w14:textId="77777777">
      <w:pPr>
        <w:rPr>
          <w:b/>
          <w:bCs/>
        </w:rPr>
      </w:pPr>
    </w:p>
    <w:p w:rsidR="00EE163C" w:rsidP="00EE163C" w:rsidRDefault="00EE163C" w14:paraId="6660A172" w14:textId="77777777">
      <w:pPr>
        <w:rPr>
          <w:b/>
          <w:bCs/>
        </w:rPr>
      </w:pPr>
    </w:p>
    <w:p w:rsidRPr="0054396C" w:rsidR="00EE163C" w:rsidP="00EE163C" w:rsidRDefault="00EE163C" w14:paraId="241E8E6C" w14:textId="77777777">
      <w:pPr>
        <w:rPr>
          <w:b/>
          <w:bCs/>
        </w:rPr>
      </w:pPr>
      <w:r w:rsidRPr="0054396C">
        <w:rPr>
          <w:b/>
          <w:bCs/>
        </w:rPr>
        <w:t>Antwoord op vraag 8</w:t>
      </w:r>
    </w:p>
    <w:p w:rsidRPr="003B064C" w:rsidR="00EE163C" w:rsidP="00EE163C" w:rsidRDefault="00EE163C" w14:paraId="434A9050" w14:textId="77777777">
      <w:r w:rsidRPr="003B064C">
        <w:t xml:space="preserve">De overgangsregeling in de WIGG heeft veel aandacht gehad in de verschillende media. Informatie was te vinden op verschillende websites, zoals die van de Rijksoverheid, </w:t>
      </w:r>
      <w:proofErr w:type="spellStart"/>
      <w:r w:rsidRPr="003B064C">
        <w:t>Justis</w:t>
      </w:r>
      <w:proofErr w:type="spellEnd"/>
      <w:r w:rsidRPr="003B064C">
        <w:t xml:space="preserve"> en op de websites van de meeste gemeenten. Daarbij is kenbaar gemaakt dat ouders tot 31 december 2024 gebruik konden maken van de overgangsregeling. Ouders die een </w:t>
      </w:r>
      <w:proofErr w:type="spellStart"/>
      <w:r w:rsidRPr="003B064C">
        <w:t>naamskeuze</w:t>
      </w:r>
      <w:proofErr w:type="spellEnd"/>
      <w:r w:rsidRPr="003B064C">
        <w:t xml:space="preserve"> wilden doen op grond van de overgangsregeling konden in elke gemeente in Nederland terecht. Ik zie geen reden om de wet ter zake aan te passen. Zoals in het antwoord op vraag 7 is aangegeven, is een verzoek tot vervangende toestemming bij de rechter niet mogelijk.  </w:t>
      </w:r>
    </w:p>
    <w:p w:rsidRPr="00E243FC" w:rsidR="00EE163C" w:rsidP="00EE163C" w:rsidRDefault="00EE163C" w14:paraId="1E8F270E" w14:textId="77777777">
      <w:pPr>
        <w:ind w:left="363"/>
      </w:pPr>
    </w:p>
    <w:p w:rsidRPr="00E243FC" w:rsidR="00EE163C" w:rsidP="00EE163C" w:rsidRDefault="00EE163C" w14:paraId="74D9FD54" w14:textId="77777777">
      <w:pPr>
        <w:ind w:left="360"/>
      </w:pPr>
    </w:p>
    <w:p w:rsidRPr="00A52AD7" w:rsidR="00EE163C" w:rsidP="00EE163C" w:rsidRDefault="00EE163C" w14:paraId="69D87706" w14:textId="77777777">
      <w:pPr>
        <w:rPr>
          <w:sz w:val="16"/>
          <w:szCs w:val="16"/>
        </w:rPr>
      </w:pPr>
      <w:r w:rsidRPr="00A52AD7">
        <w:rPr>
          <w:sz w:val="16"/>
          <w:szCs w:val="16"/>
        </w:rPr>
        <w:t>1) NRC, 11 december 2024, Nieuwe wet gecombineerde achternamen discrimineert vrouwen.</w:t>
      </w:r>
      <w:r w:rsidRPr="00A52AD7">
        <w:rPr>
          <w:sz w:val="16"/>
          <w:szCs w:val="16"/>
        </w:rPr>
        <w:br/>
      </w:r>
    </w:p>
    <w:p w:rsidR="000759AA" w:rsidRDefault="000759AA" w14:paraId="305B1698" w14:textId="77777777"/>
    <w:sectPr w:rsidR="000759AA" w:rsidSect="00EE163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C8A98" w14:textId="77777777" w:rsidR="00EE163C" w:rsidRDefault="00EE163C" w:rsidP="00EE163C">
      <w:pPr>
        <w:spacing w:after="0" w:line="240" w:lineRule="auto"/>
      </w:pPr>
      <w:r>
        <w:separator/>
      </w:r>
    </w:p>
  </w:endnote>
  <w:endnote w:type="continuationSeparator" w:id="0">
    <w:p w14:paraId="2FDE0E67" w14:textId="77777777" w:rsidR="00EE163C" w:rsidRDefault="00EE163C" w:rsidP="00EE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DD67" w14:textId="77777777" w:rsidR="00EE163C" w:rsidRPr="00EE163C" w:rsidRDefault="00EE163C" w:rsidP="00EE16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80E48" w14:textId="77777777" w:rsidR="00EE163C" w:rsidRPr="00EE163C" w:rsidRDefault="00EE163C" w:rsidP="00EE16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CECFE" w14:textId="77777777" w:rsidR="00EE163C" w:rsidRPr="00EE163C" w:rsidRDefault="00EE163C" w:rsidP="00EE16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C5850" w14:textId="77777777" w:rsidR="00EE163C" w:rsidRDefault="00EE163C" w:rsidP="00EE163C">
      <w:pPr>
        <w:spacing w:after="0" w:line="240" w:lineRule="auto"/>
      </w:pPr>
      <w:r>
        <w:separator/>
      </w:r>
    </w:p>
  </w:footnote>
  <w:footnote w:type="continuationSeparator" w:id="0">
    <w:p w14:paraId="4BC7A1D8" w14:textId="77777777" w:rsidR="00EE163C" w:rsidRDefault="00EE163C" w:rsidP="00EE163C">
      <w:pPr>
        <w:spacing w:after="0" w:line="240" w:lineRule="auto"/>
      </w:pPr>
      <w:r>
        <w:continuationSeparator/>
      </w:r>
    </w:p>
  </w:footnote>
  <w:footnote w:id="1">
    <w:p w14:paraId="482F7EA2" w14:textId="77777777" w:rsidR="00EE163C" w:rsidRPr="00A52AD7" w:rsidRDefault="00EE163C" w:rsidP="00EE163C">
      <w:pPr>
        <w:pStyle w:val="Voetnoottekst"/>
        <w:rPr>
          <w:rFonts w:ascii="Verdana" w:hAnsi="Verdana"/>
          <w:i/>
          <w:iCs/>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Handelingen II</w:t>
      </w:r>
      <w:r w:rsidRPr="00A52AD7">
        <w:rPr>
          <w:rFonts w:ascii="Verdana" w:hAnsi="Verdana"/>
          <w:sz w:val="16"/>
          <w:szCs w:val="16"/>
        </w:rPr>
        <w:t xml:space="preserve"> 2021/22, nr. 105, item 3, p. 15; </w:t>
      </w:r>
      <w:r w:rsidRPr="00A52AD7">
        <w:rPr>
          <w:rFonts w:ascii="Verdana" w:hAnsi="Verdana"/>
          <w:i/>
          <w:iCs/>
          <w:sz w:val="16"/>
          <w:szCs w:val="16"/>
        </w:rPr>
        <w:t>Handelingen I</w:t>
      </w:r>
      <w:r w:rsidRPr="00A52AD7">
        <w:rPr>
          <w:rFonts w:ascii="Verdana" w:hAnsi="Verdana"/>
          <w:sz w:val="16"/>
          <w:szCs w:val="16"/>
        </w:rPr>
        <w:t xml:space="preserve"> 2022/23, nr. 22, item 6, p. 15.</w:t>
      </w:r>
    </w:p>
  </w:footnote>
  <w:footnote w:id="2">
    <w:p w14:paraId="6119EE42"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Handelingen II</w:t>
      </w:r>
      <w:r w:rsidRPr="00A52AD7">
        <w:rPr>
          <w:rFonts w:ascii="Verdana" w:hAnsi="Verdana"/>
          <w:sz w:val="16"/>
          <w:szCs w:val="16"/>
        </w:rPr>
        <w:t xml:space="preserve"> 2021/22, nr. 105, item 3, p. 14.</w:t>
      </w:r>
    </w:p>
  </w:footnote>
  <w:footnote w:id="3">
    <w:p w14:paraId="3AD638E9"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Kamerstukken II</w:t>
      </w:r>
      <w:r w:rsidRPr="00A52AD7">
        <w:rPr>
          <w:rFonts w:ascii="Verdana" w:hAnsi="Verdana"/>
          <w:sz w:val="16"/>
          <w:szCs w:val="16"/>
        </w:rPr>
        <w:t xml:space="preserve"> 2021/22, 35990, nr. 13.</w:t>
      </w:r>
    </w:p>
  </w:footnote>
  <w:footnote w:id="4">
    <w:p w14:paraId="475221CE" w14:textId="77777777" w:rsidR="00EE163C" w:rsidRPr="003B064C"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Gerard-René de Groot e.a., Naamrecht in vergelijkend perspectief: een </w:t>
      </w:r>
      <w:proofErr w:type="spellStart"/>
      <w:r w:rsidRPr="00A52AD7">
        <w:rPr>
          <w:rFonts w:ascii="Verdana" w:hAnsi="Verdana"/>
          <w:sz w:val="16"/>
          <w:szCs w:val="16"/>
        </w:rPr>
        <w:t>quick</w:t>
      </w:r>
      <w:proofErr w:type="spellEnd"/>
      <w:r w:rsidRPr="00A52AD7">
        <w:rPr>
          <w:rFonts w:ascii="Verdana" w:hAnsi="Verdana"/>
          <w:sz w:val="16"/>
          <w:szCs w:val="16"/>
        </w:rPr>
        <w:t xml:space="preserve"> scan, Maastricht 2009. Dit onderzoek is uitgevoerd ten behoeve van  </w:t>
      </w:r>
      <w:r w:rsidRPr="003B064C">
        <w:rPr>
          <w:rFonts w:ascii="Verdana" w:hAnsi="Verdana"/>
          <w:sz w:val="16"/>
          <w:szCs w:val="16"/>
        </w:rPr>
        <w:t>het rapport “Bouwstenen voor een nieuw naamrecht” (2010). De onderzochte landen zijn Denemarken, Duitsland, Engeland, Frankrijk, Noorwegen, Spanje, Zweden en Zwitserland.</w:t>
      </w:r>
    </w:p>
  </w:footnote>
  <w:footnote w:id="5">
    <w:p w14:paraId="34E7A98A"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Kamerstukken II</w:t>
      </w:r>
      <w:r w:rsidRPr="00A52AD7">
        <w:rPr>
          <w:rFonts w:ascii="Verdana" w:hAnsi="Verdana"/>
          <w:sz w:val="16"/>
          <w:szCs w:val="16"/>
        </w:rPr>
        <w:t xml:space="preserve"> 2021/22, 35 990, nr. 7</w:t>
      </w:r>
    </w:p>
  </w:footnote>
  <w:footnote w:id="6">
    <w:p w14:paraId="365FD479"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De datum waarop de motie Groothuizen/Bergkamp is aangenomen (</w:t>
      </w:r>
      <w:r w:rsidRPr="00A52AD7">
        <w:rPr>
          <w:rFonts w:ascii="Verdana" w:hAnsi="Verdana" w:cstheme="minorHAnsi"/>
          <w:i/>
          <w:iCs/>
          <w:color w:val="211D1F"/>
          <w:sz w:val="16"/>
          <w:szCs w:val="16"/>
        </w:rPr>
        <w:t xml:space="preserve">Kamerstukken II </w:t>
      </w:r>
      <w:r w:rsidRPr="00A52AD7">
        <w:rPr>
          <w:rFonts w:ascii="Verdana" w:hAnsi="Verdana" w:cstheme="minorHAnsi"/>
          <w:color w:val="211D1F"/>
          <w:sz w:val="16"/>
          <w:szCs w:val="16"/>
        </w:rPr>
        <w:t xml:space="preserve">2018/19, 35 000 VI, nr. 89 en </w:t>
      </w:r>
      <w:r w:rsidRPr="00A52AD7">
        <w:rPr>
          <w:rFonts w:ascii="Verdana" w:hAnsi="Verdana" w:cstheme="minorHAnsi"/>
          <w:i/>
          <w:iCs/>
          <w:color w:val="211D1F"/>
          <w:sz w:val="16"/>
          <w:szCs w:val="16"/>
        </w:rPr>
        <w:t xml:space="preserve">Handelingen II </w:t>
      </w:r>
      <w:r w:rsidRPr="00A52AD7">
        <w:rPr>
          <w:rFonts w:ascii="Verdana" w:hAnsi="Verdana" w:cstheme="minorHAnsi"/>
          <w:color w:val="211D1F"/>
          <w:sz w:val="16"/>
          <w:szCs w:val="16"/>
        </w:rPr>
        <w:t>2018/19, nr. 46, item 19. p. 1</w:t>
      </w:r>
      <w:r w:rsidRPr="00A52AD7">
        <w:rPr>
          <w:rFonts w:ascii="Verdana" w:hAnsi="Verdana"/>
          <w:sz w:val="16"/>
          <w:szCs w:val="16"/>
        </w:rPr>
        <w:t>). Daarin werd de regering verzocht een wetsvoorstel in te dienen waarmee het mogelijk zou worden om te kiezen voor een dubbele geslachtsnaam. Ouders konden vanaf die datum verwachtingen hebben over het kunnen doorgeven van hun beider geslachtsnamen aan hun kind(eren).</w:t>
      </w:r>
    </w:p>
  </w:footnote>
  <w:footnote w:id="7">
    <w:p w14:paraId="1566E86C"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Zie onder meer de toelichting die in 2004 werd gegeven bij de aanscherping van de regels voor wijziging van de geslachtsnaam van minderjarigen Stb. 2004, nr. 100, p. 4. Voorbeelden van in de rechtspraak betrachte terughoudendheid in RvS 19 augustus 2020, ECLI:NL:RVS:2020:1987; Hof Arnhem-Leeuwarden 26 oktober 2021, ECLI:NL:GHARL:2021:10071 en Hof ‘s-Hertogenbosch 29 augustus 2019, ECLI:NL:GHSHE:2019:3209.</w:t>
      </w:r>
    </w:p>
  </w:footnote>
  <w:footnote w:id="8">
    <w:p w14:paraId="27EF2F22"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Kamerstukken II</w:t>
      </w:r>
      <w:r w:rsidRPr="00A52AD7">
        <w:rPr>
          <w:rFonts w:ascii="Verdana" w:hAnsi="Verdana"/>
          <w:sz w:val="16"/>
          <w:szCs w:val="16"/>
        </w:rPr>
        <w:t xml:space="preserve"> 2021/22, 35 990, nr. 11</w:t>
      </w:r>
    </w:p>
  </w:footnote>
  <w:footnote w:id="9">
    <w:p w14:paraId="1DEFF229" w14:textId="77777777" w:rsidR="00EE163C" w:rsidRPr="00A52AD7" w:rsidRDefault="00EE163C" w:rsidP="00EE163C">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Zie onder meer HR 14 april 2006 (ECLI:NL:HR:2006:AU9239)</w:t>
      </w:r>
      <w:r>
        <w:rPr>
          <w:rFonts w:ascii="Verdana" w:hAnsi="Verdana"/>
          <w:sz w:val="16"/>
          <w:szCs w:val="16"/>
        </w:rPr>
        <w:t>;</w:t>
      </w:r>
      <w:r w:rsidRPr="00A52AD7">
        <w:rPr>
          <w:rFonts w:ascii="Verdana" w:hAnsi="Verdana"/>
          <w:sz w:val="16"/>
          <w:szCs w:val="16"/>
        </w:rPr>
        <w:t xml:space="preserve"> </w:t>
      </w:r>
      <w:r>
        <w:rPr>
          <w:rFonts w:ascii="Verdana" w:hAnsi="Verdana"/>
          <w:sz w:val="16"/>
          <w:szCs w:val="16"/>
        </w:rPr>
        <w:t xml:space="preserve">Hof Den Haag 18 december 2024 (ECLI:NL:GHDHA:2024:2535); </w:t>
      </w:r>
      <w:r w:rsidRPr="00A52AD7">
        <w:rPr>
          <w:rFonts w:ascii="Verdana" w:hAnsi="Verdana"/>
          <w:sz w:val="16"/>
          <w:szCs w:val="16"/>
        </w:rPr>
        <w:t>Rb Gelderland 24 december 2024 (ECLI:NL:RBGEL:2024:9580)</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06E0" w14:textId="77777777" w:rsidR="00EE163C" w:rsidRPr="00EE163C" w:rsidRDefault="00EE163C" w:rsidP="00EE16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D3196" w14:textId="77777777" w:rsidR="00EE163C" w:rsidRPr="00EE163C" w:rsidRDefault="00EE163C" w:rsidP="00EE16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F2B9B" w14:textId="77777777" w:rsidR="00EE163C" w:rsidRPr="00EE163C" w:rsidRDefault="00EE163C" w:rsidP="00EE16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3C"/>
    <w:rsid w:val="000759AA"/>
    <w:rsid w:val="007F013D"/>
    <w:rsid w:val="00EE1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3DAD"/>
  <w15:chartTrackingRefBased/>
  <w15:docId w15:val="{01522BB0-5D07-4261-893C-8527A080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1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16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16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16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16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6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6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6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6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16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16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16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16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16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6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6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63C"/>
    <w:rPr>
      <w:rFonts w:eastAsiaTheme="majorEastAsia" w:cstheme="majorBidi"/>
      <w:color w:val="272727" w:themeColor="text1" w:themeTint="D8"/>
    </w:rPr>
  </w:style>
  <w:style w:type="paragraph" w:styleId="Titel">
    <w:name w:val="Title"/>
    <w:basedOn w:val="Standaard"/>
    <w:next w:val="Standaard"/>
    <w:link w:val="TitelChar"/>
    <w:uiPriority w:val="10"/>
    <w:qFormat/>
    <w:rsid w:val="00EE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6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6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6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6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63C"/>
    <w:rPr>
      <w:i/>
      <w:iCs/>
      <w:color w:val="404040" w:themeColor="text1" w:themeTint="BF"/>
    </w:rPr>
  </w:style>
  <w:style w:type="paragraph" w:styleId="Lijstalinea">
    <w:name w:val="List Paragraph"/>
    <w:basedOn w:val="Standaard"/>
    <w:uiPriority w:val="34"/>
    <w:qFormat/>
    <w:rsid w:val="00EE163C"/>
    <w:pPr>
      <w:ind w:left="720"/>
      <w:contextualSpacing/>
    </w:pPr>
  </w:style>
  <w:style w:type="character" w:styleId="Intensievebenadrukking">
    <w:name w:val="Intense Emphasis"/>
    <w:basedOn w:val="Standaardalinea-lettertype"/>
    <w:uiPriority w:val="21"/>
    <w:qFormat/>
    <w:rsid w:val="00EE163C"/>
    <w:rPr>
      <w:i/>
      <w:iCs/>
      <w:color w:val="2F5496" w:themeColor="accent1" w:themeShade="BF"/>
    </w:rPr>
  </w:style>
  <w:style w:type="paragraph" w:styleId="Duidelijkcitaat">
    <w:name w:val="Intense Quote"/>
    <w:basedOn w:val="Standaard"/>
    <w:next w:val="Standaard"/>
    <w:link w:val="DuidelijkcitaatChar"/>
    <w:uiPriority w:val="30"/>
    <w:qFormat/>
    <w:rsid w:val="00EE1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163C"/>
    <w:rPr>
      <w:i/>
      <w:iCs/>
      <w:color w:val="2F5496" w:themeColor="accent1" w:themeShade="BF"/>
    </w:rPr>
  </w:style>
  <w:style w:type="character" w:styleId="Intensieveverwijzing">
    <w:name w:val="Intense Reference"/>
    <w:basedOn w:val="Standaardalinea-lettertype"/>
    <w:uiPriority w:val="32"/>
    <w:qFormat/>
    <w:rsid w:val="00EE163C"/>
    <w:rPr>
      <w:b/>
      <w:bCs/>
      <w:smallCaps/>
      <w:color w:val="2F5496" w:themeColor="accent1" w:themeShade="BF"/>
      <w:spacing w:val="5"/>
    </w:rPr>
  </w:style>
  <w:style w:type="paragraph" w:customStyle="1" w:styleId="Referentiegegevens">
    <w:name w:val="Referentiegegevens"/>
    <w:basedOn w:val="Standaard"/>
    <w:next w:val="Standaard"/>
    <w:rsid w:val="00EE163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E163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E163C"/>
    <w:pPr>
      <w:spacing w:line="140" w:lineRule="exact"/>
    </w:pPr>
  </w:style>
  <w:style w:type="character" w:customStyle="1" w:styleId="VoettekstChar">
    <w:name w:val="Voettekst Char"/>
    <w:basedOn w:val="Standaardalinea-lettertype"/>
    <w:link w:val="Voettekst"/>
    <w:rsid w:val="00EE163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E16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E163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E163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E163C"/>
    <w:rPr>
      <w:kern w:val="0"/>
      <w:sz w:val="20"/>
      <w:szCs w:val="20"/>
      <w14:ligatures w14:val="none"/>
    </w:rPr>
  </w:style>
  <w:style w:type="character" w:styleId="Voetnootmarkering">
    <w:name w:val="footnote reference"/>
    <w:basedOn w:val="Standaardalinea-lettertype"/>
    <w:uiPriority w:val="99"/>
    <w:semiHidden/>
    <w:unhideWhenUsed/>
    <w:rsid w:val="00EE163C"/>
    <w:rPr>
      <w:vertAlign w:val="superscript"/>
    </w:rPr>
  </w:style>
  <w:style w:type="paragraph" w:styleId="Koptekst">
    <w:name w:val="header"/>
    <w:basedOn w:val="Standaard"/>
    <w:link w:val="KoptekstChar"/>
    <w:uiPriority w:val="99"/>
    <w:unhideWhenUsed/>
    <w:rsid w:val="00EE16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163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1615</ap:Words>
  <ap:Characters>8887</ap:Characters>
  <ap:DocSecurity>0</ap:DocSecurity>
  <ap:Lines>74</ap:Lines>
  <ap:Paragraphs>20</ap:Paragraphs>
  <ap:ScaleCrop>false</ap:ScaleCrop>
  <ap:LinksUpToDate>false</ap:LinksUpToDate>
  <ap:CharactersWithSpaces>10482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2025-01-23T10:58:00.0000000Z</dcterms:created>
  <dcterms:modified xsi:type="dcterms:W3CDTF">2025-01-23T10:59:00.0000000Z</dcterms:modified>
  <version/>
  <category/>
</coreProperties>
</file>