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13D3" w:rsidR="00473CE0" w:rsidP="00473CE0" w:rsidRDefault="00473CE0" w14:paraId="37C311B6"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5313D3">
        <w:rPr>
          <w:rFonts w:ascii="Verdana" w:hAnsi="Verdana" w:eastAsia="DejaVuSerifCondensed-Bold" w:cs="DejaVuSerifCondensed-Bold"/>
          <w:b/>
          <w:bCs/>
          <w:kern w:val="0"/>
          <w:sz w:val="18"/>
          <w:szCs w:val="18"/>
        </w:rPr>
        <w:t>2024Z20483</w:t>
      </w:r>
    </w:p>
    <w:p w:rsidRPr="005313D3" w:rsidR="00473CE0" w:rsidP="00473CE0" w:rsidRDefault="00473CE0" w14:paraId="518B4BC2"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(ingezonden 6 december 2024)</w:t>
      </w:r>
    </w:p>
    <w:p w:rsidRPr="005313D3" w:rsidR="00473CE0" w:rsidP="00473CE0" w:rsidRDefault="00473CE0" w14:paraId="03693BFE" w14:textId="29D11C2A">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Vragen van het lid Joseph (Nieuw Sociaal Contract) aan de minister van Sociale Zaken en Werkgelegenheid over de informatievoorziening rondom invaren en de kritiek van de AFM.</w:t>
      </w:r>
    </w:p>
    <w:p w:rsidRPr="005313D3" w:rsidR="00473CE0" w:rsidP="00473CE0" w:rsidRDefault="00473CE0" w14:paraId="6335BF9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62E7B404"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1. Bent u bekend met het artikel in Pensioen Pro waarin de Autoriteit Financiële Markten (AFM) stelt dat het 'niet in het belang van de deelnemer' is wanneer deelnemers pas een maand voor het invaren geïnformeerd worden over de persoonlijke gevolgen van de transitie naar het nieuwe pensioenstelsel? 1)</w:t>
      </w:r>
    </w:p>
    <w:p w:rsidRPr="005313D3" w:rsidR="007D1144" w:rsidP="007D1144" w:rsidRDefault="007D1144" w14:paraId="6DF1F05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759D3EB8" w14:textId="22A2A40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 xml:space="preserve">Antwoord: Ik ben bekend met het aangehaalde artikel. In dit artikel geeft de AFM aan het opnemen van de informatietermijn van </w:t>
      </w:r>
      <w:r w:rsidRPr="005313D3" w:rsidR="00013FC9">
        <w:rPr>
          <w:rFonts w:ascii="Verdana" w:hAnsi="Verdana" w:eastAsia="DejaVuSerifCondensed" w:cs="DejaVuSerifCondensed"/>
          <w:kern w:val="0"/>
          <w:sz w:val="18"/>
          <w:szCs w:val="18"/>
        </w:rPr>
        <w:t>ee</w:t>
      </w:r>
      <w:r w:rsidRPr="005313D3">
        <w:rPr>
          <w:rFonts w:ascii="Verdana" w:hAnsi="Verdana" w:eastAsia="DejaVuSerifCondensed" w:cs="DejaVuSerifCondensed"/>
          <w:kern w:val="0"/>
          <w:sz w:val="18"/>
          <w:szCs w:val="18"/>
        </w:rPr>
        <w:t xml:space="preserve">n maand in de regelgeving te steunen. De AFM vindt het niet in het belang van deelnemers wanneer zij die informatie korter dan </w:t>
      </w:r>
      <w:r w:rsidRPr="005313D3" w:rsidR="001545EA">
        <w:rPr>
          <w:rFonts w:ascii="Verdana" w:hAnsi="Verdana" w:eastAsia="DejaVuSerifCondensed" w:cs="DejaVuSerifCondensed"/>
          <w:kern w:val="0"/>
          <w:sz w:val="18"/>
          <w:szCs w:val="18"/>
        </w:rPr>
        <w:t>éé</w:t>
      </w:r>
      <w:r w:rsidRPr="005313D3">
        <w:rPr>
          <w:rFonts w:ascii="Verdana" w:hAnsi="Verdana" w:eastAsia="DejaVuSerifCondensed" w:cs="DejaVuSerifCondensed"/>
          <w:kern w:val="0"/>
          <w:sz w:val="18"/>
          <w:szCs w:val="18"/>
        </w:rPr>
        <w:t xml:space="preserve">n maand van tevoren ontvangen. </w:t>
      </w:r>
    </w:p>
    <w:p w:rsidRPr="005313D3" w:rsidR="007D1144" w:rsidP="007D1144" w:rsidRDefault="007D1144" w14:paraId="2C7C1D3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307AABDD"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2. Kunt u bevestigen dat de AFM in haar toezichttoets op het ontwerpbesluit transitietermijnen expliciet benoemt dat er risico’s bestaan waarbij deelnemers niet tijdig of niet volledig geïnformeerd worden, onder andere door vertragingen bij de verklaring van geen bezwaar van De Nederlandsche Bank (DNB) of door late aanpassingen aan verzonden informatie?</w:t>
      </w:r>
    </w:p>
    <w:p w:rsidRPr="005313D3" w:rsidR="007D1144" w:rsidP="007D1144" w:rsidRDefault="007D1144" w14:paraId="6D201D0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04070E16" w14:textId="5BF74AC9">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Antwoord: De AFM heeft in haar toezichttoets op het ontwerpbesluit vaststelling transitietermijnen aangegeven positief te zijn over het voornemen om in het Besluit uitvoering pensioenwet en wet verplichte beroepspensioenregeling wettelijk vast te leggen dat deelnemers uiterlijk een maand voorafgaand aan het moment van overgang naar het nieuwe pensioenstelsel worden geïnformeerd over de persoonlijke gevolgen hiervan. Daarnaast ziet de AFM dat in de pensioensector het belang van tijdige informatieverstrekking wordt erkend, en over het algemeen wordt onderschreven dat een maand voorafgaand aan de transitiedatum het uiterste moment is waarop deelnemers geïnformeerd dienen te worden. Op basis van reeds ingediende communicatieplannen en gesprekken met de sector constateert de AFM dat pensioenuitvoerders doorgaans voornemens zijn deelnemers eerder (twee tot drie maanden voorafgaand aan het transitiemoment) te informeren. De AFM wijst hierbij op het mogelijke risico waarbij of deelnemers niet of niet tijdig voorafgaand aan de transitiedatum worden geïnformeerd over de persoonlijke gevolgen, of mogelijk informatie ontvangen die niet voldoet aan de vereisten van 48 Pensioenwet.</w:t>
      </w:r>
      <w:r w:rsidRPr="005313D3">
        <w:rPr>
          <w:rStyle w:val="Voetnootmarkering"/>
          <w:rFonts w:ascii="Verdana" w:hAnsi="Verdana" w:eastAsia="DejaVuSerifCondensed" w:cs="DejaVuSerifCondensed"/>
          <w:kern w:val="0"/>
          <w:sz w:val="18"/>
          <w:szCs w:val="18"/>
        </w:rPr>
        <w:footnoteReference w:id="1"/>
      </w:r>
      <w:r w:rsidRPr="005313D3">
        <w:rPr>
          <w:rFonts w:ascii="Verdana" w:hAnsi="Verdana" w:eastAsia="DejaVuSerifCondensed" w:cs="DejaVuSerifCondensed"/>
          <w:kern w:val="0"/>
          <w:sz w:val="18"/>
          <w:szCs w:val="18"/>
        </w:rPr>
        <w:t xml:space="preserve"> </w:t>
      </w:r>
    </w:p>
    <w:p w:rsidRPr="005313D3" w:rsidR="007D1144" w:rsidP="007D1144" w:rsidRDefault="007D1144" w14:paraId="1DB4027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1DCE4F1E"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3. Gezien de AFM stelt dat pensioenfondsen in de praktijk vaak twee tot drie maanden nodig achten om deelnemers goed te informeren, terwijl het besluit slechts een wettelijke termijn van één maand voorschrijft, acht u deze maand voldoende om deelnemers adequaat te informeren en hen in staat te stellen hun financiële planning aan te passen? Zo ja, waarom?</w:t>
      </w:r>
    </w:p>
    <w:p w:rsidRPr="005313D3" w:rsidR="007D1144" w:rsidP="007D1144" w:rsidRDefault="007D1144" w14:paraId="0EBDEFD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27A7D371" w14:textId="6A5660CF">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Antwoord: De AFM geeft aan bij voorkeur te zien dat pensioenfondsen hun deelnemers al eerder informeren, maar de termijn van</w:t>
      </w:r>
      <w:r w:rsidRPr="005313D3" w:rsidR="007B5257">
        <w:rPr>
          <w:rFonts w:ascii="Verdana" w:hAnsi="Verdana" w:eastAsia="DejaVuSerifCondensed" w:cs="DejaVuSerifCondensed"/>
          <w:kern w:val="0"/>
          <w:sz w:val="18"/>
          <w:szCs w:val="18"/>
        </w:rPr>
        <w:t xml:space="preserve"> minimaal</w:t>
      </w:r>
      <w:r w:rsidRPr="005313D3">
        <w:rPr>
          <w:rFonts w:ascii="Verdana" w:hAnsi="Verdana" w:eastAsia="DejaVuSerifCondensed" w:cs="DejaVuSerifCondensed"/>
          <w:kern w:val="0"/>
          <w:sz w:val="18"/>
          <w:szCs w:val="18"/>
        </w:rPr>
        <w:t xml:space="preserve"> </w:t>
      </w:r>
      <w:r w:rsidRPr="005313D3" w:rsidR="00013FC9">
        <w:rPr>
          <w:rFonts w:ascii="Verdana" w:hAnsi="Verdana" w:eastAsia="DejaVuSerifCondensed" w:cs="DejaVuSerifCondensed"/>
          <w:kern w:val="0"/>
          <w:sz w:val="18"/>
          <w:szCs w:val="18"/>
        </w:rPr>
        <w:t>ee</w:t>
      </w:r>
      <w:r w:rsidRPr="005313D3">
        <w:rPr>
          <w:rFonts w:ascii="Verdana" w:hAnsi="Verdana" w:eastAsia="DejaVuSerifCondensed" w:cs="DejaVuSerifCondensed"/>
          <w:kern w:val="0"/>
          <w:sz w:val="18"/>
          <w:szCs w:val="18"/>
        </w:rPr>
        <w:t xml:space="preserve">n maand voldoende te vinden. Ik acht de termijn van minimaal </w:t>
      </w:r>
      <w:r w:rsidRPr="005313D3" w:rsidR="00013FC9">
        <w:rPr>
          <w:rFonts w:ascii="Verdana" w:hAnsi="Verdana" w:eastAsia="DejaVuSerifCondensed" w:cs="DejaVuSerifCondensed"/>
          <w:kern w:val="0"/>
          <w:sz w:val="18"/>
          <w:szCs w:val="18"/>
        </w:rPr>
        <w:t>ee</w:t>
      </w:r>
      <w:r w:rsidRPr="005313D3">
        <w:rPr>
          <w:rFonts w:ascii="Verdana" w:hAnsi="Verdana" w:eastAsia="DejaVuSerifCondensed" w:cs="DejaVuSerifCondensed"/>
          <w:kern w:val="0"/>
          <w:sz w:val="18"/>
          <w:szCs w:val="18"/>
        </w:rPr>
        <w:t xml:space="preserve">n maand dan ook adequaat. Op grond van artikel 48 Pensioenwet is het van belang dat informatie correct, duidelijk, evenwichtig en tijdig moet zijn. Die normen vult een pensioenuitvoerder in. Daarbij maakt zij een afweging op basis van onder meer de eigen deelnemerspopulatie, behoefte van doelgroepen, omvang en (economische) omstandigheden van het pensioenfonds. In de praktijk maken fondsen eigenstandige afwegingen die van elkaar kunnen verschillen. Dat is logisch omdat die fondsen ook van elkaar verschillen. De AFM geeft aan dat in de pensioensector het belang van tijdige informatieverstrekking wordt erkend, en over het algemeen wordt onderschreven dat </w:t>
      </w:r>
      <w:r w:rsidRPr="005313D3" w:rsidR="00013FC9">
        <w:rPr>
          <w:rFonts w:ascii="Verdana" w:hAnsi="Verdana" w:eastAsia="DejaVuSerifCondensed" w:cs="DejaVuSerifCondensed"/>
          <w:kern w:val="0"/>
          <w:sz w:val="18"/>
          <w:szCs w:val="18"/>
        </w:rPr>
        <w:t>ee</w:t>
      </w:r>
      <w:r w:rsidRPr="005313D3">
        <w:rPr>
          <w:rFonts w:ascii="Verdana" w:hAnsi="Verdana" w:eastAsia="DejaVuSerifCondensed" w:cs="DejaVuSerifCondensed"/>
          <w:kern w:val="0"/>
          <w:sz w:val="18"/>
          <w:szCs w:val="18"/>
        </w:rPr>
        <w:t xml:space="preserve">n maand voorafgaand aan de transitiedatum het uiterste moment is waarop deelnemers geïnformeerd dienen te worden. Daarnaast bevestigt de uitspraak in het kort geding met Beroepspensioenfonds Loodsen dat in deze </w:t>
      </w:r>
      <w:r w:rsidR="00A31112">
        <w:rPr>
          <w:rFonts w:ascii="Verdana" w:hAnsi="Verdana" w:eastAsia="DejaVuSerifCondensed" w:cs="DejaVuSerifCondensed"/>
          <w:kern w:val="0"/>
          <w:sz w:val="18"/>
          <w:szCs w:val="18"/>
        </w:rPr>
        <w:t xml:space="preserve">specifieke </w:t>
      </w:r>
      <w:r w:rsidRPr="005313D3">
        <w:rPr>
          <w:rFonts w:ascii="Verdana" w:hAnsi="Verdana" w:eastAsia="DejaVuSerifCondensed" w:cs="DejaVuSerifCondensed"/>
          <w:kern w:val="0"/>
          <w:sz w:val="18"/>
          <w:szCs w:val="18"/>
        </w:rPr>
        <w:t>casus, gezien de omstandigheden van het geval</w:t>
      </w:r>
      <w:r w:rsidR="003D2A94">
        <w:rPr>
          <w:rFonts w:ascii="Verdana" w:hAnsi="Verdana" w:eastAsia="DejaVuSerifCondensed" w:cs="DejaVuSerifCondensed"/>
          <w:kern w:val="0"/>
          <w:sz w:val="18"/>
          <w:szCs w:val="18"/>
        </w:rPr>
        <w:t xml:space="preserve"> (in casu onder meer een hogere uitkering)</w:t>
      </w:r>
      <w:r w:rsidRPr="005313D3">
        <w:rPr>
          <w:rFonts w:ascii="Verdana" w:hAnsi="Verdana" w:eastAsia="DejaVuSerifCondensed" w:cs="DejaVuSerifCondensed"/>
          <w:kern w:val="0"/>
          <w:sz w:val="18"/>
          <w:szCs w:val="18"/>
        </w:rPr>
        <w:t xml:space="preserve">, de termijn van </w:t>
      </w:r>
      <w:r w:rsidRPr="005313D3" w:rsidR="00013FC9">
        <w:rPr>
          <w:rFonts w:ascii="Verdana" w:hAnsi="Verdana" w:eastAsia="DejaVuSerifCondensed" w:cs="DejaVuSerifCondensed"/>
          <w:kern w:val="0"/>
          <w:sz w:val="18"/>
          <w:szCs w:val="18"/>
        </w:rPr>
        <w:t>ee</w:t>
      </w:r>
      <w:r w:rsidRPr="005313D3">
        <w:rPr>
          <w:rFonts w:ascii="Verdana" w:hAnsi="Verdana" w:eastAsia="DejaVuSerifCondensed" w:cs="DejaVuSerifCondensed"/>
          <w:kern w:val="0"/>
          <w:sz w:val="18"/>
          <w:szCs w:val="18"/>
        </w:rPr>
        <w:t>n maand voldoende is geweest</w:t>
      </w:r>
      <w:r w:rsidR="003D2A94">
        <w:rPr>
          <w:rFonts w:ascii="Verdana" w:hAnsi="Verdana" w:eastAsia="DejaVuSerifCondensed" w:cs="DejaVuSerifCondensed"/>
          <w:kern w:val="0"/>
          <w:sz w:val="18"/>
          <w:szCs w:val="18"/>
        </w:rPr>
        <w:t xml:space="preserve"> en dat een deelnemer voldoende tijd moet hebben om zijn bestedingspatroon bij te</w:t>
      </w:r>
      <w:r w:rsidR="00A31112">
        <w:rPr>
          <w:rFonts w:ascii="Verdana" w:hAnsi="Verdana" w:eastAsia="DejaVuSerifCondensed" w:cs="DejaVuSerifCondensed"/>
          <w:kern w:val="0"/>
          <w:sz w:val="18"/>
          <w:szCs w:val="18"/>
        </w:rPr>
        <w:t xml:space="preserve"> kunnen</w:t>
      </w:r>
      <w:r w:rsidR="003D2A94">
        <w:rPr>
          <w:rFonts w:ascii="Verdana" w:hAnsi="Verdana" w:eastAsia="DejaVuSerifCondensed" w:cs="DejaVuSerifCondensed"/>
          <w:kern w:val="0"/>
          <w:sz w:val="18"/>
          <w:szCs w:val="18"/>
        </w:rPr>
        <w:t xml:space="preserve"> stellen indien daar aanleiding toe is. </w:t>
      </w:r>
      <w:r w:rsidRPr="005313D3">
        <w:rPr>
          <w:rFonts w:ascii="Verdana" w:hAnsi="Verdana" w:eastAsia="DejaVuSerifCondensed" w:cs="DejaVuSerifCondensed"/>
          <w:kern w:val="0"/>
          <w:sz w:val="18"/>
          <w:szCs w:val="18"/>
        </w:rPr>
        <w:t xml:space="preserve">Te meer omdat deelnemers en gepensioneerden ook eerder al door het pensioenfonds zijn meegenomen in voorbereiding op het invaren. De minimale termijn van </w:t>
      </w:r>
      <w:r w:rsidRPr="005313D3" w:rsidR="00013FC9">
        <w:rPr>
          <w:rFonts w:ascii="Verdana" w:hAnsi="Verdana" w:eastAsia="DejaVuSerifCondensed" w:cs="DejaVuSerifCondensed"/>
          <w:kern w:val="0"/>
          <w:sz w:val="18"/>
          <w:szCs w:val="18"/>
        </w:rPr>
        <w:t>éé</w:t>
      </w:r>
      <w:r w:rsidRPr="005313D3">
        <w:rPr>
          <w:rFonts w:ascii="Verdana" w:hAnsi="Verdana" w:eastAsia="DejaVuSerifCondensed" w:cs="DejaVuSerifCondensed"/>
          <w:kern w:val="0"/>
          <w:sz w:val="18"/>
          <w:szCs w:val="18"/>
        </w:rPr>
        <w:t xml:space="preserve">n maand is daarmee een norm die zorgt voor </w:t>
      </w:r>
      <w:r w:rsidRPr="005313D3" w:rsidR="007B5257">
        <w:rPr>
          <w:rFonts w:ascii="Verdana" w:hAnsi="Verdana" w:eastAsia="DejaVuSerifCondensed" w:cs="DejaVuSerifCondensed"/>
          <w:kern w:val="0"/>
          <w:sz w:val="18"/>
          <w:szCs w:val="18"/>
        </w:rPr>
        <w:t>tijdige,</w:t>
      </w:r>
      <w:r w:rsidRPr="005313D3">
        <w:rPr>
          <w:rFonts w:ascii="Verdana" w:hAnsi="Verdana" w:eastAsia="DejaVuSerifCondensed" w:cs="DejaVuSerifCondensed"/>
          <w:kern w:val="0"/>
          <w:sz w:val="18"/>
          <w:szCs w:val="18"/>
        </w:rPr>
        <w:t xml:space="preserve"> adequate informatieverstrekking aan deelnemers.</w:t>
      </w:r>
    </w:p>
    <w:p w:rsidRPr="005313D3" w:rsidR="007D1144" w:rsidP="007D1144" w:rsidRDefault="007D1144" w14:paraId="6C676DF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7F61D45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28A0FB74"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72C43D7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0F13548D"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44DB088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56F192DD" w14:textId="739F6462">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4. Bent u bereid om de wettelijke termijn voor het informeren van deelnemers te verlengen naar</w:t>
      </w:r>
    </w:p>
    <w:p w:rsidRPr="005313D3" w:rsidR="007D1144" w:rsidP="007D1144" w:rsidRDefault="007D1144" w14:paraId="0C9BF9BC"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minimaal twee tot drie maanden, zoals de AFM aanbeveelt, zodat deelnemers meer tijd krijgen om de gevolgen van het invaren te begrijpen en zich hierop voor te bereiden?</w:t>
      </w:r>
    </w:p>
    <w:p w:rsidRPr="005313D3" w:rsidR="007D1144" w:rsidP="007D1144" w:rsidRDefault="007D1144" w14:paraId="56C865C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60F5843E" w14:textId="737C5442">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Antwoord: Nee, op dit moment zie ik net als de AFM geen redenen om deze minimale termijn te ver</w:t>
      </w:r>
      <w:r w:rsidRPr="005313D3" w:rsidR="00013FC9">
        <w:rPr>
          <w:rFonts w:ascii="Verdana" w:hAnsi="Verdana" w:eastAsia="DejaVuSerifCondensed" w:cs="DejaVuSerifCondensed"/>
          <w:kern w:val="0"/>
          <w:sz w:val="18"/>
          <w:szCs w:val="18"/>
        </w:rPr>
        <w:t>ruimen</w:t>
      </w:r>
      <w:r w:rsidRPr="005313D3">
        <w:rPr>
          <w:rFonts w:ascii="Verdana" w:hAnsi="Verdana" w:eastAsia="DejaVuSerifCondensed" w:cs="DejaVuSerifCondensed"/>
          <w:kern w:val="0"/>
          <w:sz w:val="18"/>
          <w:szCs w:val="18"/>
        </w:rPr>
        <w:t xml:space="preserve">. Zoals verwoord in het antwoord op vraag 3, acht ik de minimale termijn van een maand voldoende. Uitvoerders zullen zelf de overwegingen voor het moment van toezenden vanuit risicoperspectief moeten bepalen, maar dit moet in ieder geval geruime tijd voorafgaand het invaren zijn. </w:t>
      </w:r>
    </w:p>
    <w:p w:rsidRPr="005313D3" w:rsidR="007D1144" w:rsidP="007D1144" w:rsidRDefault="007D1144" w14:paraId="45DF2F84"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1E2EB17F"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5. Hoe wordt geborgd dat informatie die vlak voor de transitiedatum wordt verstrekt volledig en</w:t>
      </w:r>
    </w:p>
    <w:p w:rsidRPr="005313D3" w:rsidR="007D1144" w:rsidP="007D1144" w:rsidRDefault="007D1144" w14:paraId="005C271D"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accuraat is, gelet op de mogelijkheid dat na verzending nog aanpassingen plaatsvinden met</w:t>
      </w:r>
    </w:p>
    <w:p w:rsidRPr="005313D3" w:rsidR="007D1144" w:rsidP="007D1144" w:rsidRDefault="007D1144" w14:paraId="6A552C12"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significante impact op de getoonde informatie? Wat betekent dit voor de rechtspositie van deelnemers die beslissingen nemen op basis van onvolledige of onjuiste informatie?</w:t>
      </w:r>
    </w:p>
    <w:p w:rsidRPr="005313D3" w:rsidR="007D1144" w:rsidP="007D1144" w:rsidRDefault="007D1144" w14:paraId="608892A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726E9F93" w14:textId="7C6812F9">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 xml:space="preserve">Antwoord: Voor de borging van informatie voorafgaand aan de transitie is artikel 48 Pensioenwet ook van toepassing. De wijze waarop een pensioenuitvoerder de invulling geeft aan de norm </w:t>
      </w:r>
      <w:r w:rsidRPr="005313D3">
        <w:rPr>
          <w:rFonts w:ascii="Verdana" w:hAnsi="Verdana" w:eastAsia="DejaVuSerifCondensed" w:cs="DejaVuSerifCondensed"/>
          <w:i/>
          <w:iCs/>
          <w:kern w:val="0"/>
          <w:sz w:val="18"/>
          <w:szCs w:val="18"/>
        </w:rPr>
        <w:t>tijdig</w:t>
      </w:r>
      <w:r w:rsidRPr="005313D3">
        <w:rPr>
          <w:rFonts w:ascii="Verdana" w:hAnsi="Verdana" w:eastAsia="DejaVuSerifCondensed" w:cs="DejaVuSerifCondensed"/>
          <w:kern w:val="0"/>
          <w:sz w:val="18"/>
          <w:szCs w:val="18"/>
        </w:rPr>
        <w:t xml:space="preserve"> (zie vraag 3) is daarom onverkort van toepassing op de invulling van de overige normen, zoals bijvoorbeeld </w:t>
      </w:r>
      <w:r w:rsidRPr="005313D3">
        <w:rPr>
          <w:rFonts w:ascii="Verdana" w:hAnsi="Verdana" w:eastAsia="DejaVuSerifCondensed" w:cs="DejaVuSerifCondensed"/>
          <w:i/>
          <w:iCs/>
          <w:kern w:val="0"/>
          <w:sz w:val="18"/>
          <w:szCs w:val="18"/>
        </w:rPr>
        <w:t>correct</w:t>
      </w:r>
      <w:r w:rsidRPr="005313D3">
        <w:rPr>
          <w:rFonts w:ascii="Verdana" w:hAnsi="Verdana" w:eastAsia="DejaVuSerifCondensed" w:cs="DejaVuSerifCondensed"/>
          <w:kern w:val="0"/>
          <w:sz w:val="18"/>
          <w:szCs w:val="18"/>
        </w:rPr>
        <w:t xml:space="preserve"> en </w:t>
      </w:r>
      <w:r w:rsidRPr="005313D3">
        <w:rPr>
          <w:rFonts w:ascii="Verdana" w:hAnsi="Verdana" w:eastAsia="DejaVuSerifCondensed" w:cs="DejaVuSerifCondensed"/>
          <w:i/>
          <w:iCs/>
          <w:kern w:val="0"/>
          <w:sz w:val="18"/>
          <w:szCs w:val="18"/>
        </w:rPr>
        <w:t>duidelijk</w:t>
      </w:r>
      <w:r w:rsidRPr="005313D3">
        <w:rPr>
          <w:rFonts w:ascii="Verdana" w:hAnsi="Verdana" w:eastAsia="DejaVuSerifCondensed" w:cs="DejaVuSerifCondensed"/>
          <w:kern w:val="0"/>
          <w:sz w:val="18"/>
          <w:szCs w:val="18"/>
        </w:rPr>
        <w:t xml:space="preserve">. Het is de verantwoordelijkheid van de pensioenuitvoerder om hieraan invulling te geven. De te verstrekken informatie voorafgaand aan de transitie is een zo nauwkeurig mogelijke prognose. Na de transitie ontvangt de deelnemer een definitief overzicht, waarbij de pensioenuitvoerder eventuele verschillen moet toelichten. Aan de transitie-informatie kunnen deelnemers, net als de reguliere UPO’s, geen rechten ontlenen. Maar ook hier geldt dat deelnemers op diverse momenten op verschillende manieren informatie tot zich kunnen nemen en worden geïnformeerd. Het is dus niet zo dat het transitie-overzicht op zichzelf staat. Als blijkt dat er echt iets niet goed is gegaan kunnen deelnemers zich wenden tot hun pensioenuitvoerder, geschilleninstantie of rechter. </w:t>
      </w:r>
    </w:p>
    <w:p w:rsidRPr="005313D3" w:rsidR="007D1144" w:rsidP="007D1144" w:rsidRDefault="007D1144" w14:paraId="18ECD03A"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4FFD046E"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6. Welke aanvullende maatregelen overweegt u om te waarborgen dat deelnemers realistische en</w:t>
      </w:r>
    </w:p>
    <w:p w:rsidRPr="005313D3" w:rsidR="007D1144" w:rsidP="007D1144" w:rsidRDefault="007D1144" w14:paraId="389FD51D"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begrijpelijke informatie krijgen, vooral voor groepen die minder financieel vaardig zijn, gezien de</w:t>
      </w:r>
    </w:p>
    <w:p w:rsidRPr="005313D3" w:rsidR="007D1144" w:rsidP="007D1144" w:rsidRDefault="007D1144" w14:paraId="66BF9B9D"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AFM benadrukt dat tijdige en correcte informatie essentieel is om deelnemers in staat te stellen de gevolgen van het invaren te begrijpen?</w:t>
      </w:r>
    </w:p>
    <w:p w:rsidRPr="005313D3" w:rsidR="007D1144" w:rsidP="007D1144" w:rsidRDefault="007D1144" w14:paraId="5FC1CD52"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28EEA339"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 xml:space="preserve">Antwoord: Ik ben van mening dat de huidige waarborgen die ervoor zorgen dat informatie correct, duidelijk, evenwichtig en tijdig zijn op dit moment voldoende zijn. Niet alleen zorgen daar de wettelijke kaders voor, maar ook de initiatieven uit de sector. Een voorbeeld hiervan is het servicedocument transitiecommunicatie van de Pensioenfederatie. Daarnaast doet de AFM in de transitie-bulletins aanbevelingen die de sector hierin nader kunnen ondersteunen. De AFM geeft daarin onder meer aan dat zij in hun toezicht belang hechten aan informatie die is toegesneden op de doelgroep. </w:t>
      </w:r>
    </w:p>
    <w:p w:rsidRPr="005313D3" w:rsidR="007D1144" w:rsidP="007D1144" w:rsidRDefault="007D1144" w14:paraId="65F892C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0C23CAAA"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7. Hoe beoordeelt u de uitspraak van de AFM dat het niet in het belang van deelnemers is om pas een maand voor het invaren geïnformeerd te worden? Bent u bereid te onderzoeken hoe het begrip</w:t>
      </w:r>
    </w:p>
    <w:p w:rsidRPr="005313D3" w:rsidR="007D1144" w:rsidP="007D1144" w:rsidRDefault="007D1144" w14:paraId="5422A496"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'tijdige informatie' kan worden aangescherpt om de belangen van deelnemers beter te beschermen?</w:t>
      </w:r>
    </w:p>
    <w:p w:rsidRPr="005313D3" w:rsidR="007D1144" w:rsidP="007D1144" w:rsidRDefault="007D1144" w14:paraId="5010FD9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36DE31D3"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Antwoord: Zoals in het antwoord op vraag 1 aangegeven geeft de AFM aan de uiterlijke termijn van een maand te steunen en het niet in het belang van deelnemers te vinden als deze korter dan een maand voor invaren persoonlijke transitie-informatie ontvangen. De AFM heeft aangegeven te zien dat de pensioensector het belang van goed en tijdig informeren onderschrijft en is positief  over de vastlegging van de minimale termijn van een maand in het Besluit uitvoering pensioenwet en wet verplichte beroepspensioenregeling. De rechter heeft in de uitspraak in het kort geding met Beroepspensioenfonds Loodsen bevestigd dat de termijn van een maand in deze casus voldoende was. Daarnaast geeft de AFM aan, op basis van ingediende communicatieplannen, dat pensioenuitvoerders voornemens zijn deelnemers eerder te informeren. Ik zie derhalve op dit moment geen reden nader onderzoek te doen naar de bestaande normen.</w:t>
      </w:r>
    </w:p>
    <w:p w:rsidRPr="005313D3" w:rsidR="007D1144" w:rsidP="007D1144" w:rsidRDefault="007D1144" w14:paraId="052A319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17A56E79"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4E97EC8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553B96E8"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6097E016"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70BEE4AA" w14:textId="77777777">
      <w:pPr>
        <w:autoSpaceDE w:val="0"/>
        <w:autoSpaceDN w:val="0"/>
        <w:adjustRightInd w:val="0"/>
        <w:spacing w:after="0" w:line="240" w:lineRule="auto"/>
        <w:rPr>
          <w:rFonts w:ascii="Verdana" w:hAnsi="Verdana" w:eastAsia="DejaVuSerifCondensed" w:cs="DejaVuSerifCondensed"/>
          <w:kern w:val="0"/>
          <w:sz w:val="18"/>
          <w:szCs w:val="18"/>
        </w:rPr>
      </w:pPr>
    </w:p>
    <w:p w:rsidR="00781709" w:rsidP="007D1144" w:rsidRDefault="00781709" w14:paraId="3C1D81B9"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3EBC26D9" w14:textId="66573F1F">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8. Bent u het eens dat goede informatievoorziening niet alleen tijdig, maar ook begrijpelijk moet zijn? Welke stappen onderneemt u om ervoor te zorgen dat pensioenfondsen rekening houden met de diversiteit onder deelnemers, waaronder mensen die moeite hebben met complexe financiële</w:t>
      </w:r>
    </w:p>
    <w:p w:rsidRPr="005313D3" w:rsidR="007D1144" w:rsidP="007D1144" w:rsidRDefault="007D1144" w14:paraId="532B1BE3"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informatie?</w:t>
      </w:r>
    </w:p>
    <w:p w:rsidRPr="005313D3" w:rsidR="007D1144" w:rsidP="007D1144" w:rsidRDefault="007D1144" w14:paraId="37D9B12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356CF46A" w14:textId="515EA8F5">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Antwoord: Ik ben het ermee eens dat informatie begrijpelijk dient te zijn. Pensioenuitvoerders nemen in hun communicatiebeleid om die reden veelal instrumenten op die ingezet worden om te voldoen aan de randvoorwaarden voor goede communicatie. Voorbeelden hiervan zijn het toepassen van taalniveau B1, de informatie compact, overzichtelijk en proactief aan</w:t>
      </w:r>
      <w:r w:rsidRPr="005313D3" w:rsidR="00013FC9">
        <w:rPr>
          <w:rFonts w:ascii="Verdana" w:hAnsi="Verdana" w:eastAsia="DejaVuSerifCondensed" w:cs="DejaVuSerifCondensed"/>
          <w:kern w:val="0"/>
          <w:sz w:val="18"/>
          <w:szCs w:val="18"/>
        </w:rPr>
        <w:t xml:space="preserve"> te </w:t>
      </w:r>
      <w:r w:rsidRPr="005313D3">
        <w:rPr>
          <w:rFonts w:ascii="Verdana" w:hAnsi="Verdana" w:eastAsia="DejaVuSerifCondensed" w:cs="DejaVuSerifCondensed"/>
          <w:kern w:val="0"/>
          <w:sz w:val="18"/>
          <w:szCs w:val="18"/>
        </w:rPr>
        <w:t>bieden en de informatie zoveel als mogelijk</w:t>
      </w:r>
      <w:r w:rsidRPr="005313D3" w:rsidR="00013FC9">
        <w:rPr>
          <w:rFonts w:ascii="Verdana" w:hAnsi="Verdana" w:eastAsia="DejaVuSerifCondensed" w:cs="DejaVuSerifCondensed"/>
          <w:kern w:val="0"/>
          <w:sz w:val="18"/>
          <w:szCs w:val="18"/>
        </w:rPr>
        <w:t xml:space="preserve"> te</w:t>
      </w:r>
      <w:r w:rsidRPr="005313D3">
        <w:rPr>
          <w:rFonts w:ascii="Verdana" w:hAnsi="Verdana" w:eastAsia="DejaVuSerifCondensed" w:cs="DejaVuSerifCondensed"/>
          <w:kern w:val="0"/>
          <w:sz w:val="18"/>
          <w:szCs w:val="18"/>
        </w:rPr>
        <w:t xml:space="preserve"> toetsen bij verschillende doelgroepen. Juist om rekening te houden met de diversiteit onder deelnemers, zoals laaggeletterdheid, wordt bijvoorbeeld gebruikgemaakt van </w:t>
      </w:r>
      <w:r w:rsidRPr="005313D3">
        <w:rPr>
          <w:rFonts w:ascii="Verdana" w:hAnsi="Verdana" w:eastAsia="DejaVuSerifCondensed" w:cs="DejaVuSerifCondensed"/>
          <w:i/>
          <w:iCs/>
          <w:kern w:val="0"/>
          <w:sz w:val="18"/>
          <w:szCs w:val="18"/>
        </w:rPr>
        <w:t>visuals</w:t>
      </w:r>
      <w:r w:rsidRPr="005313D3">
        <w:rPr>
          <w:rFonts w:ascii="Verdana" w:hAnsi="Verdana" w:eastAsia="DejaVuSerifCondensed" w:cs="DejaVuSerifCondensed"/>
          <w:kern w:val="0"/>
          <w:sz w:val="18"/>
          <w:szCs w:val="18"/>
        </w:rPr>
        <w:t>. Ook ziet de AFM in het toezicht toe op informatie die is toegesneden op de doelgroep.</w:t>
      </w:r>
    </w:p>
    <w:p w:rsidRPr="005313D3" w:rsidR="007D1144" w:rsidP="007D1144" w:rsidRDefault="007D1144" w14:paraId="2FE94D8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2450887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5313D3" w:rsidR="007D1144" w:rsidP="007D1144" w:rsidRDefault="007D1144" w14:paraId="40901532" w14:textId="77777777">
      <w:pPr>
        <w:autoSpaceDE w:val="0"/>
        <w:autoSpaceDN w:val="0"/>
        <w:adjustRightInd w:val="0"/>
        <w:spacing w:after="0" w:line="240" w:lineRule="auto"/>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1) Pensioen Pro, 5 december 2024, 'AFM: te kort dag als deelnemer maand voor invaren nog geen informatie</w:t>
      </w:r>
    </w:p>
    <w:p w:rsidRPr="005313D3" w:rsidR="007D1144" w:rsidP="007D1144" w:rsidRDefault="007D1144" w14:paraId="728A0271" w14:textId="77777777">
      <w:pPr>
        <w:rPr>
          <w:rFonts w:ascii="Verdana" w:hAnsi="Verdana" w:eastAsia="DejaVuSerifCondensed" w:cs="DejaVuSerifCondensed"/>
          <w:kern w:val="0"/>
          <w:sz w:val="18"/>
          <w:szCs w:val="18"/>
        </w:rPr>
      </w:pPr>
      <w:r w:rsidRPr="005313D3">
        <w:rPr>
          <w:rFonts w:ascii="Verdana" w:hAnsi="Verdana" w:eastAsia="DejaVuSerifCondensed" w:cs="DejaVuSerifCondensed"/>
          <w:kern w:val="0"/>
          <w:sz w:val="18"/>
          <w:szCs w:val="18"/>
        </w:rPr>
        <w:t>heeft', (pensioenpro.nl/afm-te-kort-dag-als-deelnemer-maand-voor-invaren-nog-geen-informatie-heeft/).</w:t>
      </w:r>
    </w:p>
    <w:p w:rsidRPr="005313D3" w:rsidR="007D1144" w:rsidP="007D1144" w:rsidRDefault="007D1144" w14:paraId="338C9CBE" w14:textId="77777777">
      <w:r w:rsidRPr="005313D3">
        <w:t xml:space="preserve"> </w:t>
      </w:r>
    </w:p>
    <w:p w:rsidRPr="005313D3" w:rsidR="00473CE0" w:rsidP="00473CE0" w:rsidRDefault="00473CE0" w14:paraId="4B72EE93" w14:textId="7C5EC52A">
      <w:pPr>
        <w:rPr>
          <w:rFonts w:ascii="Verdana" w:hAnsi="Verdana" w:eastAsia="DejaVuSerifCondensed" w:cs="DejaVuSerifCondensed"/>
          <w:kern w:val="0"/>
          <w:sz w:val="18"/>
          <w:szCs w:val="18"/>
        </w:rPr>
      </w:pPr>
    </w:p>
    <w:sectPr w:rsidRPr="005313D3" w:rsidR="00473CE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A30C" w14:textId="77777777" w:rsidR="00BC74C3" w:rsidRDefault="00BC74C3" w:rsidP="00E3739C">
      <w:pPr>
        <w:spacing w:after="0" w:line="240" w:lineRule="auto"/>
      </w:pPr>
      <w:r>
        <w:separator/>
      </w:r>
    </w:p>
  </w:endnote>
  <w:endnote w:type="continuationSeparator" w:id="0">
    <w:p w14:paraId="515BFA79" w14:textId="77777777" w:rsidR="00BC74C3" w:rsidRDefault="00BC74C3" w:rsidP="00E3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C00B" w14:textId="77777777" w:rsidR="006D7AA8" w:rsidRDefault="006D7A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9590" w14:textId="77777777" w:rsidR="006D7AA8" w:rsidRDefault="006D7A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4375" w14:textId="77777777" w:rsidR="006D7AA8" w:rsidRDefault="006D7A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733C" w14:textId="77777777" w:rsidR="00BC74C3" w:rsidRDefault="00BC74C3" w:rsidP="00E3739C">
      <w:pPr>
        <w:spacing w:after="0" w:line="240" w:lineRule="auto"/>
      </w:pPr>
      <w:r>
        <w:separator/>
      </w:r>
    </w:p>
  </w:footnote>
  <w:footnote w:type="continuationSeparator" w:id="0">
    <w:p w14:paraId="2D98AB19" w14:textId="77777777" w:rsidR="00BC74C3" w:rsidRDefault="00BC74C3" w:rsidP="00E3739C">
      <w:pPr>
        <w:spacing w:after="0" w:line="240" w:lineRule="auto"/>
      </w:pPr>
      <w:r>
        <w:continuationSeparator/>
      </w:r>
    </w:p>
  </w:footnote>
  <w:footnote w:id="1">
    <w:p w14:paraId="3465E9E2" w14:textId="77777777" w:rsidR="007D1144" w:rsidRDefault="007D1144" w:rsidP="007D1144">
      <w:pPr>
        <w:pStyle w:val="Voetnoottekst"/>
      </w:pPr>
      <w:r w:rsidRPr="00CE0447">
        <w:rPr>
          <w:rStyle w:val="Voetnootmarkering"/>
        </w:rPr>
        <w:footnoteRef/>
      </w:r>
      <w:r w:rsidRPr="00CE0447">
        <w:t xml:space="preserve"> </w:t>
      </w:r>
      <w:r w:rsidRPr="00CE0447">
        <w:rPr>
          <w:rFonts w:ascii="Verdana" w:eastAsia="DejaVuSerifCondensed" w:hAnsi="Verdana" w:cstheme="minorHAnsi"/>
          <w:kern w:val="0"/>
          <w:sz w:val="16"/>
          <w:szCs w:val="16"/>
        </w:rPr>
        <w:t xml:space="preserve">Toezichttoets AFM ontwerpbesluit vaststelling transitietermijnen, bijlage </w:t>
      </w:r>
      <w:r>
        <w:rPr>
          <w:rFonts w:ascii="Verdana" w:eastAsia="DejaVuSerifCondensed" w:hAnsi="Verdana" w:cstheme="minorHAnsi"/>
          <w:kern w:val="0"/>
          <w:sz w:val="16"/>
          <w:szCs w:val="16"/>
        </w:rPr>
        <w:t xml:space="preserve">bij </w:t>
      </w:r>
      <w:r w:rsidRPr="00CE0447">
        <w:rPr>
          <w:rFonts w:ascii="Verdana" w:eastAsia="DejaVuSerifCondensed" w:hAnsi="Verdana" w:cstheme="minorHAnsi"/>
          <w:kern w:val="0"/>
          <w:sz w:val="16"/>
          <w:szCs w:val="16"/>
        </w:rPr>
        <w:t>Aanbiedingsbrief Ontwerpbesluit Transitietermijnen</w:t>
      </w:r>
      <w:r>
        <w:rPr>
          <w:rFonts w:ascii="Verdana" w:eastAsia="DejaVuSerifCondensed" w:hAnsi="Verdana" w:cstheme="minorHAnsi"/>
          <w:kern w:val="0"/>
          <w:sz w:val="16"/>
          <w:szCs w:val="16"/>
        </w:rPr>
        <w:t xml:space="preserve"> d.d. 20 december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C3F9" w14:textId="77777777" w:rsidR="006D7AA8" w:rsidRDefault="006D7A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BDCB" w14:textId="77777777" w:rsidR="006D7AA8" w:rsidRDefault="006D7A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CEEAF" w14:textId="77777777" w:rsidR="006D7AA8" w:rsidRDefault="006D7A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17B5A"/>
    <w:multiLevelType w:val="multilevel"/>
    <w:tmpl w:val="D88E53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462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CE0"/>
    <w:rsid w:val="00013FC9"/>
    <w:rsid w:val="000C6930"/>
    <w:rsid w:val="001545EA"/>
    <w:rsid w:val="003D2A94"/>
    <w:rsid w:val="00473CE0"/>
    <w:rsid w:val="005313D3"/>
    <w:rsid w:val="006D7AA8"/>
    <w:rsid w:val="00726193"/>
    <w:rsid w:val="00781709"/>
    <w:rsid w:val="007B5257"/>
    <w:rsid w:val="007D1144"/>
    <w:rsid w:val="008E4455"/>
    <w:rsid w:val="00906EF2"/>
    <w:rsid w:val="00960341"/>
    <w:rsid w:val="009C2EF7"/>
    <w:rsid w:val="00A31112"/>
    <w:rsid w:val="00AB2321"/>
    <w:rsid w:val="00AD0FCB"/>
    <w:rsid w:val="00AD3B61"/>
    <w:rsid w:val="00BC74C3"/>
    <w:rsid w:val="00C060BF"/>
    <w:rsid w:val="00C6636B"/>
    <w:rsid w:val="00CE0447"/>
    <w:rsid w:val="00E373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DD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E3739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3739C"/>
    <w:rPr>
      <w:sz w:val="20"/>
      <w:szCs w:val="20"/>
    </w:rPr>
  </w:style>
  <w:style w:type="character" w:styleId="Voetnootmarkering">
    <w:name w:val="footnote reference"/>
    <w:basedOn w:val="Standaardalinea-lettertype"/>
    <w:uiPriority w:val="99"/>
    <w:semiHidden/>
    <w:unhideWhenUsed/>
    <w:rsid w:val="00E3739C"/>
    <w:rPr>
      <w:vertAlign w:val="superscript"/>
    </w:rPr>
  </w:style>
  <w:style w:type="character" w:styleId="Hyperlink">
    <w:name w:val="Hyperlink"/>
    <w:basedOn w:val="Standaardalinea-lettertype"/>
    <w:uiPriority w:val="99"/>
    <w:semiHidden/>
    <w:unhideWhenUsed/>
    <w:rsid w:val="00CE0447"/>
    <w:rPr>
      <w:color w:val="0000FF"/>
      <w:u w:val="single"/>
    </w:rPr>
  </w:style>
  <w:style w:type="paragraph" w:styleId="Koptekst">
    <w:name w:val="header"/>
    <w:basedOn w:val="Standaard"/>
    <w:link w:val="KoptekstChar"/>
    <w:uiPriority w:val="99"/>
    <w:unhideWhenUsed/>
    <w:rsid w:val="006D7A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D7AA8"/>
  </w:style>
  <w:style w:type="paragraph" w:styleId="Voettekst">
    <w:name w:val="footer"/>
    <w:basedOn w:val="Standaard"/>
    <w:link w:val="VoettekstChar"/>
    <w:uiPriority w:val="99"/>
    <w:unhideWhenUsed/>
    <w:rsid w:val="006D7A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D7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1494</ap:Words>
  <ap:Characters>8223</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2024-12-06T12:43:00.0000000Z</dcterms:created>
  <dcterms:modified xsi:type="dcterms:W3CDTF">2025-01-23T10:54:00.0000000Z</dcterms:modified>
  <version/>
  <category/>
</coreProperties>
</file>