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2C4E" w:rsidR="00002C4E" w:rsidP="00002C4E" w:rsidRDefault="00002C4E" w14:paraId="013B8122" w14:textId="50DE174F">
      <w:pPr>
        <w:pStyle w:val="Geenafstand"/>
        <w:rPr>
          <w:b/>
          <w:bCs/>
        </w:rPr>
      </w:pPr>
      <w:r w:rsidRPr="00002C4E">
        <w:rPr>
          <w:b/>
          <w:bCs/>
        </w:rPr>
        <w:t>A</w:t>
      </w:r>
      <w:r>
        <w:rPr>
          <w:b/>
          <w:bCs/>
        </w:rPr>
        <w:t>H 1115</w:t>
      </w:r>
    </w:p>
    <w:p w:rsidRPr="00002C4E" w:rsidR="00002C4E" w:rsidP="00002C4E" w:rsidRDefault="00002C4E" w14:paraId="6759CE99" w14:textId="46A69F56">
      <w:pPr>
        <w:pStyle w:val="Geenafstand"/>
        <w:rPr>
          <w:b/>
          <w:bCs/>
        </w:rPr>
      </w:pPr>
      <w:r w:rsidRPr="00002C4E">
        <w:rPr>
          <w:b/>
          <w:bCs/>
        </w:rPr>
        <w:t>2024Z20206</w:t>
      </w:r>
    </w:p>
    <w:p w:rsidRPr="00002C4E" w:rsidR="00002C4E" w:rsidP="00002C4E" w:rsidRDefault="00002C4E" w14:paraId="7B57C488" w14:textId="77777777">
      <w:pPr>
        <w:pStyle w:val="Geenafstand"/>
        <w:rPr>
          <w:b/>
          <w:bCs/>
        </w:rPr>
      </w:pPr>
    </w:p>
    <w:p w:rsidRPr="002F1618" w:rsidR="00002C4E" w:rsidP="002F1618" w:rsidRDefault="00002C4E" w14:paraId="711B8665" w14:textId="005D7765">
      <w:pPr>
        <w:rPr>
          <w:sz w:val="24"/>
          <w:szCs w:val="24"/>
        </w:rPr>
      </w:pPr>
      <w:r w:rsidRPr="009B5FE1">
        <w:rPr>
          <w:sz w:val="24"/>
          <w:szCs w:val="24"/>
        </w:rPr>
        <w:t>Antwoord van minister-president Schoof (Algemene Zaken)</w:t>
      </w:r>
      <w:r w:rsidR="002F1618">
        <w:rPr>
          <w:sz w:val="24"/>
          <w:szCs w:val="24"/>
        </w:rPr>
        <w:t xml:space="preserve">, mede namens </w:t>
      </w:r>
      <w:r w:rsidRPr="00D80872" w:rsidR="002F1618">
        <w:rPr>
          <w:rFonts w:ascii="Times New Roman" w:hAnsi="Times New Roman"/>
          <w:sz w:val="24"/>
          <w:szCs w:val="24"/>
        </w:rPr>
        <w:t>minister</w:t>
      </w:r>
      <w:r w:rsidR="002F1618">
        <w:rPr>
          <w:rFonts w:ascii="Times New Roman" w:hAnsi="Times New Roman"/>
          <w:sz w:val="24"/>
          <w:szCs w:val="24"/>
        </w:rPr>
        <w:t>s</w:t>
      </w:r>
      <w:r w:rsidRPr="00D80872" w:rsidR="002F1618">
        <w:rPr>
          <w:rFonts w:ascii="Times New Roman" w:hAnsi="Times New Roman"/>
          <w:sz w:val="24"/>
          <w:szCs w:val="24"/>
        </w:rPr>
        <w:t xml:space="preserve"> van Binnenlandse Zaken en Koninkrijksrelaties</w:t>
      </w:r>
      <w:r w:rsidR="002F1618">
        <w:rPr>
          <w:rFonts w:ascii="Times New Roman" w:hAnsi="Times New Roman"/>
          <w:sz w:val="24"/>
          <w:szCs w:val="24"/>
        </w:rPr>
        <w:t xml:space="preserve"> en </w:t>
      </w:r>
      <w:r w:rsidRPr="00D80872" w:rsidR="002F1618">
        <w:rPr>
          <w:rFonts w:ascii="Times New Roman" w:hAnsi="Times New Roman"/>
          <w:sz w:val="24"/>
          <w:szCs w:val="24"/>
        </w:rPr>
        <w:t>van Defensie</w:t>
      </w:r>
      <w:r w:rsidR="002F1618">
        <w:rPr>
          <w:rFonts w:ascii="Times New Roman" w:hAnsi="Times New Roman"/>
          <w:sz w:val="24"/>
          <w:szCs w:val="24"/>
        </w:rPr>
        <w:t xml:space="preserve"> </w:t>
      </w:r>
      <w:r w:rsidRPr="009B5FE1">
        <w:rPr>
          <w:sz w:val="24"/>
          <w:szCs w:val="24"/>
        </w:rPr>
        <w:t xml:space="preserve"> (ontvangen</w:t>
      </w:r>
      <w:r>
        <w:t xml:space="preserve"> 24 januari 2025)</w:t>
      </w:r>
    </w:p>
    <w:p w:rsidR="00002C4E" w:rsidP="00002C4E" w:rsidRDefault="00002C4E" w14:paraId="7D96D535" w14:textId="22BA8E54">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917</w:t>
      </w:r>
    </w:p>
    <w:p w:rsidR="00002C4E" w:rsidP="00002C4E" w:rsidRDefault="00002C4E" w14:paraId="25DE2111" w14:textId="77777777">
      <w:pPr>
        <w:spacing w:line="276" w:lineRule="auto"/>
      </w:pPr>
    </w:p>
    <w:p w:rsidRPr="00864C3F" w:rsidR="00002C4E" w:rsidP="00002C4E" w:rsidRDefault="00002C4E" w14:paraId="47FFCD99" w14:textId="77777777">
      <w:pPr>
        <w:spacing w:line="276" w:lineRule="auto"/>
        <w:rPr>
          <w:b/>
        </w:rPr>
      </w:pPr>
      <w:r w:rsidRPr="00864C3F">
        <w:rPr>
          <w:b/>
        </w:rPr>
        <w:t xml:space="preserve">Vraag </w:t>
      </w:r>
    </w:p>
    <w:p w:rsidRPr="00DD4C9C" w:rsidR="00002C4E" w:rsidP="00002C4E" w:rsidRDefault="00002C4E" w14:paraId="3B7F38A1" w14:textId="77777777">
      <w:pPr>
        <w:spacing w:line="276" w:lineRule="auto"/>
      </w:pPr>
      <w:r w:rsidRPr="00DD4C9C">
        <w:t>Bent u het eens met de stelling dat, nu het huisvestingsprobleem rondom de Commissie van Toezicht op de Inlichtingen- en Veiligheidsdiensten (CTIVD) (voorlopig) opgelost is, de taken en bevoegdheden van de inlichtingendiensten die tijdelijk zijn stilgelegd, maar volgens de Tweede Kamer wel noodzakelijk zijn voor onze nationale veiligheid, opgepakt kunnen worden? Zo ja, vanaf wanneer gaat dit gebeuren? Zo nee, waarom niet?</w:t>
      </w:r>
    </w:p>
    <w:p w:rsidR="00002C4E" w:rsidP="00002C4E" w:rsidRDefault="00002C4E" w14:paraId="1AAC4E5C" w14:textId="77777777">
      <w:pPr>
        <w:spacing w:line="276" w:lineRule="auto"/>
      </w:pPr>
      <w:r w:rsidRPr="00DD4C9C" w:rsidDel="00DD4C9C">
        <w:t xml:space="preserve"> </w:t>
      </w:r>
    </w:p>
    <w:p w:rsidRPr="00864C3F" w:rsidR="00002C4E" w:rsidP="00002C4E" w:rsidRDefault="00002C4E" w14:paraId="5F46D90A" w14:textId="77777777">
      <w:pPr>
        <w:spacing w:line="276" w:lineRule="auto"/>
        <w:rPr>
          <w:b/>
        </w:rPr>
      </w:pPr>
      <w:r w:rsidRPr="00864C3F">
        <w:rPr>
          <w:b/>
        </w:rPr>
        <w:t>Antwoord</w:t>
      </w:r>
    </w:p>
    <w:p w:rsidR="00002C4E" w:rsidP="00002C4E" w:rsidRDefault="00002C4E" w14:paraId="3C01489F" w14:textId="77777777">
      <w:pPr>
        <w:spacing w:line="276" w:lineRule="auto"/>
      </w:pPr>
      <w:r>
        <w:t xml:space="preserve">De Tijdelijke Wet wordt, zoals eerder aan de Kamer gemeld, thans in overleg met de CTIVD gedeeltelijk toegepast. </w:t>
      </w:r>
      <w:r w:rsidRPr="00D3516C">
        <w:t xml:space="preserve">In overleg tussen de diensten en de CTIVD zijn afspraken gemaakt over de </w:t>
      </w:r>
      <w:proofErr w:type="spellStart"/>
      <w:r>
        <w:t>bevoegdheden</w:t>
      </w:r>
      <w:r w:rsidRPr="00D3516C">
        <w:t>die</w:t>
      </w:r>
      <w:proofErr w:type="spellEnd"/>
      <w:r w:rsidRPr="00D3516C">
        <w:t xml:space="preserve">, ondanks de huisvestingsproblematiek en </w:t>
      </w:r>
      <w:r>
        <w:t xml:space="preserve">het daarmee samenhangende </w:t>
      </w:r>
      <w:r w:rsidRPr="00D3516C">
        <w:t xml:space="preserve">personeelstekort bij de CTIVD, </w:t>
      </w:r>
      <w:r>
        <w:t xml:space="preserve">inmiddels al </w:t>
      </w:r>
      <w:r w:rsidRPr="00D3516C">
        <w:t>ingezet kunnen worden onder de Tijdelijke Wet.</w:t>
      </w:r>
      <w:r>
        <w:t xml:space="preserve"> Per brief is 4 september jl. met de Kamer gedeeld dat voor een aantal bestaande bevoegdheden de Tijdelijke wet voorziet in een </w:t>
      </w:r>
      <w:r w:rsidRPr="00F80DA4">
        <w:t>accentverschuiving</w:t>
      </w:r>
      <w:r>
        <w:t xml:space="preserve"> in het stelsel van toetsing en toezicht: van toetsing voorafgaand aan de operatie door de Toetsingscommissie Inzet Bevoegdheden (TIB) naar toezicht tijdens en achteraf door de CTIVD, met bindende bevoegdheden (Kenmerk: </w:t>
      </w:r>
      <w:r>
        <w:rPr>
          <w:i/>
        </w:rPr>
        <w:t>Kamerstukken II</w:t>
      </w:r>
      <w:r>
        <w:t xml:space="preserve">, 2023–2024, 36 263, nr. 44). Een aantal van deze bevoegdheden wordt nu nog toegepast onder het </w:t>
      </w:r>
      <w:proofErr w:type="spellStart"/>
      <w:r>
        <w:t>toezichtsregime</w:t>
      </w:r>
      <w:proofErr w:type="spellEnd"/>
      <w:r>
        <w:t xml:space="preserve"> van de huidige </w:t>
      </w:r>
      <w:proofErr w:type="spellStart"/>
      <w:r>
        <w:t>Wiv</w:t>
      </w:r>
      <w:proofErr w:type="spellEnd"/>
      <w:r>
        <w:t xml:space="preserve"> 2017 en nog niet onder het regime van de Tijdelijke Wet, maar over de toepassing van deze bevoegdheden en het benodigde toezicht daarop voeren de Commissie en de diensten continu overleg. </w:t>
      </w:r>
    </w:p>
    <w:p w:rsidR="00002C4E" w:rsidP="00002C4E" w:rsidRDefault="00002C4E" w14:paraId="184BDC7F" w14:textId="77777777">
      <w:pPr>
        <w:shd w:val="clear" w:color="auto" w:fill="FFFFFF"/>
        <w:spacing w:before="100" w:beforeAutospacing="1" w:after="100" w:afterAutospacing="1" w:line="276" w:lineRule="auto"/>
      </w:pPr>
      <w:r>
        <w:t xml:space="preserve">In november vorig jaar is de Kamer gemeld dat de planning erop was gericht de verhuizing van de CTIVD in januari mogelijk te maken. Inmiddels is de planning van de volledige werkzaamheden uitgewerkt en aanbesteed en is duidelijk dat de verhuizing eind maart zijn beslag zal krijgen. </w:t>
      </w:r>
    </w:p>
    <w:p w:rsidRPr="00FE4E02" w:rsidR="00002C4E" w:rsidP="00002C4E" w:rsidRDefault="00002C4E" w14:paraId="3156BAB8" w14:textId="77777777">
      <w:pPr>
        <w:shd w:val="clear" w:color="auto" w:fill="FFFFFF"/>
        <w:spacing w:before="100" w:beforeAutospacing="1" w:after="100" w:afterAutospacing="1" w:line="276" w:lineRule="auto"/>
        <w:rPr>
          <w:rFonts w:cs="Verdana"/>
          <w:szCs w:val="18"/>
        </w:rPr>
      </w:pPr>
      <w:r>
        <w:t xml:space="preserve">In november is de Kamer tevens gemeld dat dat de CTIVD de werving van extra personeel ter hand nam. Met de aanstaande verhuizing in het vooruitzicht heeft </w:t>
      </w:r>
      <w:r>
        <w:lastRenderedPageBreak/>
        <w:t xml:space="preserve">de CTIVD gemeld de lopende personeelswerving te intensiveren. De toezichthouder en de diensten zullen, ieder vanuit hun eigen verantwoordelijkheid, in overleg de instroom van personeel van de CTIVD gelijke tred laten houden met de toepassing van de hiervoor genoemde bevoegdheden. Daarmee wordt maximaal voortvarend toegegroeid naar volledige toepassing van de Tijdelijke Wet. Uitgangspunt is en blijft volledige toepassing van de Tijdelijke wet onder het noodzakelijke onafhankelijke toezicht, op de kortst mogelijke en voor alle partijen uitvoerbare termijn. </w:t>
      </w:r>
    </w:p>
    <w:sectPr w:rsidRPr="00FE4E02" w:rsidR="00002C4E" w:rsidSect="00002C4E">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38A05" w14:textId="77777777" w:rsidR="00002C4E" w:rsidRDefault="00002C4E" w:rsidP="00002C4E">
      <w:pPr>
        <w:spacing w:after="0" w:line="240" w:lineRule="auto"/>
      </w:pPr>
      <w:r>
        <w:separator/>
      </w:r>
    </w:p>
  </w:endnote>
  <w:endnote w:type="continuationSeparator" w:id="0">
    <w:p w14:paraId="4C2AEEED" w14:textId="77777777" w:rsidR="00002C4E" w:rsidRDefault="00002C4E" w:rsidP="0000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8A3F2" w14:textId="77777777" w:rsidR="00002C4E" w:rsidRDefault="00002C4E" w:rsidP="00002C4E">
      <w:pPr>
        <w:spacing w:after="0" w:line="240" w:lineRule="auto"/>
      </w:pPr>
      <w:r>
        <w:separator/>
      </w:r>
    </w:p>
  </w:footnote>
  <w:footnote w:type="continuationSeparator" w:id="0">
    <w:p w14:paraId="2C776A14" w14:textId="77777777" w:rsidR="00002C4E" w:rsidRDefault="00002C4E" w:rsidP="0000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4DDC8" w14:textId="77777777" w:rsidR="00002C4E" w:rsidRPr="00002C4E" w:rsidRDefault="00002C4E" w:rsidP="00002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34B5" w14:textId="77777777" w:rsidR="00002C4E" w:rsidRPr="00002C4E" w:rsidRDefault="00002C4E" w:rsidP="00002C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4E"/>
    <w:rsid w:val="00002C4E"/>
    <w:rsid w:val="002C3023"/>
    <w:rsid w:val="002F1618"/>
    <w:rsid w:val="00DF7A30"/>
    <w:rsid w:val="00E01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C031"/>
  <w15:chartTrackingRefBased/>
  <w15:docId w15:val="{AE99B157-5C5D-4B94-9DA9-F1963EF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C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C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C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C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C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C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C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C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C4E"/>
    <w:rPr>
      <w:rFonts w:eastAsiaTheme="majorEastAsia" w:cstheme="majorBidi"/>
      <w:color w:val="272727" w:themeColor="text1" w:themeTint="D8"/>
    </w:rPr>
  </w:style>
  <w:style w:type="paragraph" w:styleId="Titel">
    <w:name w:val="Title"/>
    <w:basedOn w:val="Standaard"/>
    <w:next w:val="Standaard"/>
    <w:link w:val="TitelChar"/>
    <w:uiPriority w:val="10"/>
    <w:qFormat/>
    <w:rsid w:val="00002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C4E"/>
    <w:rPr>
      <w:i/>
      <w:iCs/>
      <w:color w:val="404040" w:themeColor="text1" w:themeTint="BF"/>
    </w:rPr>
  </w:style>
  <w:style w:type="paragraph" w:styleId="Lijstalinea">
    <w:name w:val="List Paragraph"/>
    <w:basedOn w:val="Standaard"/>
    <w:uiPriority w:val="34"/>
    <w:qFormat/>
    <w:rsid w:val="00002C4E"/>
    <w:pPr>
      <w:ind w:left="720"/>
      <w:contextualSpacing/>
    </w:pPr>
  </w:style>
  <w:style w:type="character" w:styleId="Intensievebenadrukking">
    <w:name w:val="Intense Emphasis"/>
    <w:basedOn w:val="Standaardalinea-lettertype"/>
    <w:uiPriority w:val="21"/>
    <w:qFormat/>
    <w:rsid w:val="00002C4E"/>
    <w:rPr>
      <w:i/>
      <w:iCs/>
      <w:color w:val="0F4761" w:themeColor="accent1" w:themeShade="BF"/>
    </w:rPr>
  </w:style>
  <w:style w:type="paragraph" w:styleId="Duidelijkcitaat">
    <w:name w:val="Intense Quote"/>
    <w:basedOn w:val="Standaard"/>
    <w:next w:val="Standaard"/>
    <w:link w:val="DuidelijkcitaatChar"/>
    <w:uiPriority w:val="30"/>
    <w:qFormat/>
    <w:rsid w:val="00002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C4E"/>
    <w:rPr>
      <w:i/>
      <w:iCs/>
      <w:color w:val="0F4761" w:themeColor="accent1" w:themeShade="BF"/>
    </w:rPr>
  </w:style>
  <w:style w:type="character" w:styleId="Intensieveverwijzing">
    <w:name w:val="Intense Reference"/>
    <w:basedOn w:val="Standaardalinea-lettertype"/>
    <w:uiPriority w:val="32"/>
    <w:qFormat/>
    <w:rsid w:val="00002C4E"/>
    <w:rPr>
      <w:b/>
      <w:bCs/>
      <w:smallCaps/>
      <w:color w:val="0F4761" w:themeColor="accent1" w:themeShade="BF"/>
      <w:spacing w:val="5"/>
    </w:rPr>
  </w:style>
  <w:style w:type="paragraph" w:styleId="Koptekst">
    <w:name w:val="header"/>
    <w:basedOn w:val="Standaard"/>
    <w:link w:val="KoptekstChar"/>
    <w:rsid w:val="00002C4E"/>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002C4E"/>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002C4E"/>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002C4E"/>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002C4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002C4E"/>
    <w:rPr>
      <w:rFonts w:ascii="Verdana" w:hAnsi="Verdana"/>
      <w:noProof/>
      <w:sz w:val="13"/>
      <w:szCs w:val="24"/>
      <w:lang w:eastAsia="nl-NL"/>
    </w:rPr>
  </w:style>
  <w:style w:type="paragraph" w:customStyle="1" w:styleId="Huisstijl-Gegeven">
    <w:name w:val="Huisstijl-Gegeven"/>
    <w:basedOn w:val="Standaard"/>
    <w:link w:val="Huisstijl-GegevenCharChar"/>
    <w:rsid w:val="00002C4E"/>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002C4E"/>
    <w:rPr>
      <w:rFonts w:ascii="Verdana" w:hAnsi="Verdana"/>
      <w:b/>
      <w:noProof/>
      <w:sz w:val="13"/>
      <w:szCs w:val="24"/>
      <w:lang w:eastAsia="nl-NL"/>
    </w:rPr>
  </w:style>
  <w:style w:type="paragraph" w:customStyle="1" w:styleId="Huisstijl-Rubricering">
    <w:name w:val="Huisstijl-Rubricering"/>
    <w:basedOn w:val="Standaard"/>
    <w:rsid w:val="00002C4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002C4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002C4E"/>
    <w:pPr>
      <w:spacing w:after="0"/>
    </w:pPr>
    <w:rPr>
      <w:b/>
    </w:rPr>
  </w:style>
  <w:style w:type="paragraph" w:customStyle="1" w:styleId="Huisstijl-Voorwaarden">
    <w:name w:val="Huisstijl-Voorwaarden"/>
    <w:basedOn w:val="Standaard"/>
    <w:rsid w:val="00002C4E"/>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002C4E"/>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002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424</ap:Words>
  <ap:Characters>2335</ap:Characters>
  <ap:DocSecurity>0</ap:DocSecurity>
  <ap:Lines>19</ap:Lines>
  <ap:Paragraphs>5</ap:Paragraphs>
  <ap:ScaleCrop>false</ap:ScaleCrop>
  <ap:LinksUpToDate>false</ap:LinksUpToDate>
  <ap:CharactersWithSpaces>2754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2025-01-27T09:55:00.0000000Z</dcterms:created>
  <dcterms:modified xsi:type="dcterms:W3CDTF">2025-01-27T09:55:00.0000000Z</dcterms:modified>
  <version/>
  <category/>
</coreProperties>
</file>