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774E" w:rsidR="007C049C" w:rsidRDefault="007C049C" w14:paraId="3A3DFF50" w14:textId="77777777"/>
    <w:p w:rsidRPr="0081774E" w:rsidR="007C049C" w:rsidRDefault="00704F85" w14:paraId="77787D1F" w14:textId="77777777">
      <w:r w:rsidRPr="0081774E">
        <w:t xml:space="preserve">Hierbij zend ik u de antwoorden op de Kamervragen van het lid </w:t>
      </w:r>
      <w:r w:rsidRPr="0081774E" w:rsidR="000E5CC7">
        <w:t>Patijn (GroenLinks-PvdA)</w:t>
      </w:r>
      <w:r w:rsidRPr="0081774E">
        <w:t xml:space="preserve"> over </w:t>
      </w:r>
      <w:r w:rsidRPr="0081774E" w:rsidR="000E5CC7">
        <w:t>overwerktoeslag voor deeltijdwerkers</w:t>
      </w:r>
      <w:r w:rsidRPr="0081774E">
        <w:t>.</w:t>
      </w:r>
    </w:p>
    <w:p w:rsidRPr="0081774E" w:rsidR="007C049C" w:rsidRDefault="007C049C" w14:paraId="6464FF07" w14:textId="77777777">
      <w:pPr>
        <w:pStyle w:val="WitregelW1bodytekst"/>
      </w:pPr>
    </w:p>
    <w:p w:rsidRPr="0081774E" w:rsidR="007C049C" w:rsidRDefault="00704F85" w14:paraId="1198979F" w14:textId="77777777">
      <w:r w:rsidRPr="0081774E">
        <w:t xml:space="preserve">De Minister van Sociale Zaken </w:t>
      </w:r>
      <w:r w:rsidRPr="0081774E">
        <w:br/>
        <w:t>en Werkgelegenheid,</w:t>
      </w:r>
    </w:p>
    <w:p w:rsidRPr="0081774E" w:rsidR="007C049C" w:rsidRDefault="007C049C" w14:paraId="25FD6DB4" w14:textId="77777777"/>
    <w:p w:rsidRPr="0081774E" w:rsidR="007C049C" w:rsidRDefault="007C049C" w14:paraId="06665C0D" w14:textId="77777777"/>
    <w:p w:rsidRPr="0081774E" w:rsidR="007C049C" w:rsidRDefault="007C049C" w14:paraId="1FE6010B" w14:textId="77777777"/>
    <w:p w:rsidRPr="0081774E" w:rsidR="007C049C" w:rsidRDefault="007C049C" w14:paraId="55C2BDD0" w14:textId="77777777"/>
    <w:p w:rsidRPr="0081774E" w:rsidR="007C049C" w:rsidRDefault="007C049C" w14:paraId="2AF8C4F5" w14:textId="77777777"/>
    <w:p w:rsidRPr="0081774E" w:rsidR="007C049C" w:rsidRDefault="00704F85" w14:paraId="24A8B02A" w14:textId="77777777">
      <w:r w:rsidRPr="0081774E">
        <w:t>Y.J. van Hijum</w:t>
      </w:r>
    </w:p>
    <w:p w:rsidRPr="0081774E" w:rsidR="0026698F" w:rsidRDefault="0026698F" w14:paraId="767B07D5" w14:textId="77777777"/>
    <w:p w:rsidRPr="0081774E" w:rsidR="0026698F" w:rsidRDefault="0026698F" w14:paraId="68E868A4" w14:textId="77777777"/>
    <w:p w:rsidRPr="0081774E" w:rsidR="0026698F" w:rsidRDefault="0026698F" w14:paraId="37035BEE" w14:textId="77777777"/>
    <w:p w:rsidRPr="0081774E" w:rsidR="0026698F" w:rsidRDefault="0026698F" w14:paraId="16EA9913" w14:textId="77777777"/>
    <w:p w:rsidRPr="0081774E" w:rsidR="0026698F" w:rsidRDefault="0026698F" w14:paraId="40FF18B0" w14:textId="77777777"/>
    <w:p w:rsidRPr="0081774E" w:rsidR="0026698F" w:rsidRDefault="0026698F" w14:paraId="1562E6EA" w14:textId="77777777"/>
    <w:p w:rsidRPr="0081774E" w:rsidR="0026698F" w:rsidRDefault="0026698F" w14:paraId="0E4163B8" w14:textId="77777777"/>
    <w:p w:rsidRPr="0081774E" w:rsidR="0026698F" w:rsidRDefault="0026698F" w14:paraId="7D9B52F8" w14:textId="77777777"/>
    <w:p w:rsidRPr="0081774E" w:rsidR="0026698F" w:rsidRDefault="0026698F" w14:paraId="4ACAFF16" w14:textId="77777777"/>
    <w:p w:rsidRPr="0081774E" w:rsidR="0026698F" w:rsidRDefault="0026698F" w14:paraId="68A8C6BB" w14:textId="77777777"/>
    <w:p w:rsidRPr="0081774E" w:rsidR="0026698F" w:rsidRDefault="0026698F" w14:paraId="2DDCE8AC" w14:textId="77777777"/>
    <w:p w:rsidRPr="0081774E" w:rsidR="0026698F" w:rsidRDefault="0026698F" w14:paraId="0ED6E82D" w14:textId="77777777"/>
    <w:p w:rsidRPr="0081774E" w:rsidR="0026698F" w:rsidRDefault="0026698F" w14:paraId="6595CA15" w14:textId="77777777"/>
    <w:p w:rsidRPr="0081774E" w:rsidR="0026698F" w:rsidRDefault="0026698F" w14:paraId="3E766943" w14:textId="77777777"/>
    <w:p w:rsidRPr="0081774E" w:rsidR="0026698F" w:rsidRDefault="0026698F" w14:paraId="5FB0FCD0" w14:textId="77777777"/>
    <w:p w:rsidRPr="0081774E" w:rsidR="0026698F" w:rsidRDefault="0026698F" w14:paraId="23DFB0B9" w14:textId="77777777"/>
    <w:p w:rsidRPr="0081774E" w:rsidR="0026698F" w:rsidRDefault="0026698F" w14:paraId="578B7808" w14:textId="77777777"/>
    <w:p w:rsidRPr="0081774E" w:rsidR="0026698F" w:rsidRDefault="0026698F" w14:paraId="1C88A80B" w14:textId="77777777"/>
    <w:p w:rsidRPr="0081774E" w:rsidR="0026698F" w:rsidRDefault="0026698F" w14:paraId="41A37F5E" w14:textId="77777777"/>
    <w:p w:rsidRPr="0081774E" w:rsidR="0026698F" w:rsidRDefault="0026698F" w14:paraId="385A1D07" w14:textId="77777777"/>
    <w:p w:rsidRPr="0081774E" w:rsidR="0026698F" w:rsidRDefault="0026698F" w14:paraId="74187440" w14:textId="77777777"/>
    <w:p w:rsidRPr="0081774E" w:rsidR="0026698F" w:rsidRDefault="0026698F" w14:paraId="6930ABDD" w14:textId="77777777"/>
    <w:p w:rsidRPr="0081774E" w:rsidR="0026698F" w:rsidRDefault="0026698F" w14:paraId="0B3E3DCA" w14:textId="77777777"/>
    <w:p w:rsidRPr="0081774E" w:rsidR="0026698F" w:rsidRDefault="0026698F" w14:paraId="6DD53590" w14:textId="77777777"/>
    <w:p w:rsidRPr="0081774E" w:rsidR="00704F85" w:rsidP="000E5CC7" w:rsidRDefault="00704F85" w14:paraId="2774C495" w14:textId="77777777">
      <w:pPr>
        <w:pStyle w:val="Default"/>
        <w:spacing w:line="240" w:lineRule="atLeast"/>
        <w:rPr>
          <w:b/>
          <w:bCs/>
          <w:sz w:val="18"/>
          <w:szCs w:val="18"/>
        </w:rPr>
      </w:pPr>
      <w:r w:rsidRPr="0081774E">
        <w:rPr>
          <w:b/>
          <w:bCs/>
          <w:sz w:val="18"/>
          <w:szCs w:val="18"/>
        </w:rPr>
        <w:lastRenderedPageBreak/>
        <w:t xml:space="preserve">2024Z17409 </w:t>
      </w:r>
    </w:p>
    <w:p w:rsidRPr="0081774E" w:rsidR="00704F85" w:rsidP="000E5CC7" w:rsidRDefault="00704F85" w14:paraId="45A657ED" w14:textId="77777777">
      <w:pPr>
        <w:pStyle w:val="Default"/>
        <w:spacing w:line="240" w:lineRule="atLeast"/>
        <w:rPr>
          <w:sz w:val="18"/>
          <w:szCs w:val="18"/>
        </w:rPr>
      </w:pPr>
      <w:r w:rsidRPr="0081774E">
        <w:rPr>
          <w:sz w:val="18"/>
          <w:szCs w:val="18"/>
        </w:rPr>
        <w:t>(</w:t>
      </w:r>
      <w:r w:rsidRPr="0081774E" w:rsidR="00642F1C">
        <w:rPr>
          <w:sz w:val="18"/>
          <w:szCs w:val="18"/>
        </w:rPr>
        <w:t>Ingezonden</w:t>
      </w:r>
      <w:r w:rsidRPr="0081774E">
        <w:rPr>
          <w:sz w:val="18"/>
          <w:szCs w:val="18"/>
        </w:rPr>
        <w:t xml:space="preserve"> 5 november 2024)</w:t>
      </w:r>
    </w:p>
    <w:p w:rsidRPr="0081774E" w:rsidR="00704F85" w:rsidP="000E5CC7" w:rsidRDefault="00704F85" w14:paraId="19880A19" w14:textId="77777777">
      <w:pPr>
        <w:pStyle w:val="Default"/>
        <w:spacing w:line="240" w:lineRule="atLeast"/>
        <w:rPr>
          <w:sz w:val="18"/>
          <w:szCs w:val="18"/>
        </w:rPr>
      </w:pPr>
      <w:r w:rsidRPr="0081774E">
        <w:rPr>
          <w:sz w:val="18"/>
          <w:szCs w:val="18"/>
        </w:rPr>
        <w:t xml:space="preserve"> </w:t>
      </w:r>
    </w:p>
    <w:p w:rsidRPr="0081774E" w:rsidR="00704F85" w:rsidP="000E5CC7" w:rsidRDefault="00704F85" w14:paraId="12F8233F" w14:textId="77777777">
      <w:pPr>
        <w:pStyle w:val="Default"/>
        <w:spacing w:line="240" w:lineRule="atLeast"/>
        <w:rPr>
          <w:sz w:val="18"/>
          <w:szCs w:val="18"/>
        </w:rPr>
      </w:pPr>
      <w:r w:rsidRPr="0081774E">
        <w:rPr>
          <w:sz w:val="18"/>
          <w:szCs w:val="18"/>
        </w:rPr>
        <w:t xml:space="preserve">Vragen van het lid Patijn (GroenLinks-PvdA) aan de minister van Sociale Zaken en Werkgelegenheid over overwerktoeslag voor deeltijdwerkers </w:t>
      </w:r>
    </w:p>
    <w:p w:rsidRPr="0081774E" w:rsidR="00704F85" w:rsidP="000E5CC7" w:rsidRDefault="00704F85" w14:paraId="546CEA46" w14:textId="77777777">
      <w:pPr>
        <w:pStyle w:val="Default"/>
        <w:spacing w:line="240" w:lineRule="atLeast"/>
        <w:rPr>
          <w:sz w:val="18"/>
          <w:szCs w:val="18"/>
        </w:rPr>
      </w:pPr>
    </w:p>
    <w:p w:rsidRPr="00642F1C" w:rsidR="00704F85" w:rsidP="000E5CC7" w:rsidRDefault="00704F85" w14:paraId="716456B8" w14:textId="77777777">
      <w:pPr>
        <w:pStyle w:val="Default"/>
        <w:spacing w:line="240" w:lineRule="atLeast"/>
        <w:rPr>
          <w:b/>
          <w:bCs/>
          <w:sz w:val="18"/>
          <w:szCs w:val="18"/>
        </w:rPr>
      </w:pPr>
      <w:r w:rsidRPr="0081774E">
        <w:rPr>
          <w:b/>
          <w:bCs/>
          <w:sz w:val="18"/>
          <w:szCs w:val="18"/>
        </w:rPr>
        <w:t>Vraag 1: Bent u bekend met de uitspraak van het Hof van Justitie</w:t>
      </w:r>
      <w:r w:rsidR="009164F3">
        <w:rPr>
          <w:b/>
          <w:bCs/>
          <w:sz w:val="18"/>
          <w:szCs w:val="18"/>
        </w:rPr>
        <w:t xml:space="preserve"> </w:t>
      </w:r>
      <w:r w:rsidRPr="0081774E">
        <w:rPr>
          <w:b/>
          <w:bCs/>
          <w:sz w:val="18"/>
          <w:szCs w:val="18"/>
        </w:rPr>
        <w:t>op 19 oktober 2023</w:t>
      </w:r>
      <w:r w:rsidRPr="00642F1C">
        <w:rPr>
          <w:b/>
          <w:bCs/>
          <w:sz w:val="18"/>
          <w:szCs w:val="18"/>
        </w:rPr>
        <w:t xml:space="preserve">? </w:t>
      </w:r>
      <w:r w:rsidRPr="00642F1C" w:rsidR="004374E5">
        <w:rPr>
          <w:rStyle w:val="Voetnootmarkering"/>
          <w:sz w:val="18"/>
          <w:szCs w:val="18"/>
        </w:rPr>
        <w:footnoteReference w:id="1"/>
      </w:r>
    </w:p>
    <w:p w:rsidRPr="0081774E" w:rsidR="00704F85" w:rsidP="000E5CC7" w:rsidRDefault="00704F85" w14:paraId="315FC223" w14:textId="77777777">
      <w:pPr>
        <w:pStyle w:val="Default"/>
        <w:spacing w:line="240" w:lineRule="atLeast"/>
        <w:rPr>
          <w:sz w:val="18"/>
          <w:szCs w:val="18"/>
        </w:rPr>
      </w:pPr>
    </w:p>
    <w:p w:rsidRPr="0081774E" w:rsidR="00704F85" w:rsidP="000E5CC7" w:rsidRDefault="00704F85" w14:paraId="41A784C4" w14:textId="77777777">
      <w:pPr>
        <w:pStyle w:val="Default"/>
        <w:spacing w:line="240" w:lineRule="atLeast"/>
        <w:rPr>
          <w:sz w:val="18"/>
          <w:szCs w:val="18"/>
        </w:rPr>
      </w:pPr>
      <w:r w:rsidRPr="0081774E">
        <w:rPr>
          <w:b/>
          <w:bCs/>
          <w:sz w:val="18"/>
          <w:szCs w:val="18"/>
        </w:rPr>
        <w:t>Antwoord vraag 1</w:t>
      </w:r>
      <w:r w:rsidRPr="0081774E">
        <w:rPr>
          <w:sz w:val="18"/>
          <w:szCs w:val="18"/>
        </w:rPr>
        <w:t>: Ja</w:t>
      </w:r>
      <w:r w:rsidR="00117881">
        <w:rPr>
          <w:sz w:val="18"/>
          <w:szCs w:val="18"/>
        </w:rPr>
        <w:t>.</w:t>
      </w:r>
      <w:r w:rsidRPr="0081774E">
        <w:rPr>
          <w:sz w:val="18"/>
          <w:szCs w:val="18"/>
        </w:rPr>
        <w:t xml:space="preserve"> In de uitspraak van 19 oktober 2023 (Lufthansa CityLine GmbH) ging het om een in deeltijd werkende piloot. Voor de aanvullende vergoeding van vlieguren golden drie verhoogde salaristarieven boven vastgestelde drempels</w:t>
      </w:r>
      <w:r w:rsidR="000B3241">
        <w:rPr>
          <w:sz w:val="18"/>
          <w:szCs w:val="18"/>
        </w:rPr>
        <w:t xml:space="preserve"> van vlieguren</w:t>
      </w:r>
      <w:r w:rsidRPr="0081774E">
        <w:rPr>
          <w:sz w:val="18"/>
          <w:szCs w:val="18"/>
        </w:rPr>
        <w:t xml:space="preserve">. Voor deeltijdwerkers en voltijdwerkers golden dezelfde drempels. Om voor dezelfde vergoeding in aanmerking te komen, gold voor de deeltijdwerker dat hij deze ontving wanneer zijn gewerkte uren de voor voltijdwerkers geldende drempel overschreden. Dit had als gevolg dat deeltijdwerkers meer overuren moesten werken om voor het verhoogde salaristarief in aanmerking te komen. Dit brengt een grotere belasting voor deeltijdwerkers mee, </w:t>
      </w:r>
      <w:r w:rsidR="000B3241">
        <w:rPr>
          <w:sz w:val="18"/>
          <w:szCs w:val="18"/>
        </w:rPr>
        <w:t>volgens</w:t>
      </w:r>
      <w:r w:rsidRPr="0081774E" w:rsidR="000B3241">
        <w:rPr>
          <w:sz w:val="18"/>
          <w:szCs w:val="18"/>
        </w:rPr>
        <w:t xml:space="preserve"> </w:t>
      </w:r>
      <w:r w:rsidRPr="0081774E">
        <w:rPr>
          <w:sz w:val="18"/>
          <w:szCs w:val="18"/>
        </w:rPr>
        <w:t xml:space="preserve">het </w:t>
      </w:r>
      <w:r w:rsidR="00D57765">
        <w:rPr>
          <w:sz w:val="18"/>
          <w:szCs w:val="18"/>
        </w:rPr>
        <w:t xml:space="preserve">Hof van Justitie (hierna: </w:t>
      </w:r>
      <w:r w:rsidRPr="0081774E">
        <w:rPr>
          <w:sz w:val="18"/>
          <w:szCs w:val="18"/>
        </w:rPr>
        <w:t>H</w:t>
      </w:r>
      <w:r w:rsidR="009164F3">
        <w:rPr>
          <w:sz w:val="18"/>
          <w:szCs w:val="18"/>
        </w:rPr>
        <w:t>vJ-EU</w:t>
      </w:r>
      <w:r w:rsidR="00D57765">
        <w:rPr>
          <w:sz w:val="18"/>
          <w:szCs w:val="18"/>
        </w:rPr>
        <w:t>)</w:t>
      </w:r>
      <w:r w:rsidRPr="0081774E">
        <w:rPr>
          <w:sz w:val="18"/>
          <w:szCs w:val="18"/>
        </w:rPr>
        <w:t>.</w:t>
      </w:r>
      <w:r w:rsidR="00642F1C">
        <w:rPr>
          <w:sz w:val="18"/>
          <w:szCs w:val="18"/>
        </w:rPr>
        <w:t xml:space="preserve"> </w:t>
      </w:r>
      <w:r w:rsidRPr="0081774E">
        <w:rPr>
          <w:sz w:val="18"/>
          <w:szCs w:val="18"/>
        </w:rPr>
        <w:t>Het H</w:t>
      </w:r>
      <w:r w:rsidR="009164F3">
        <w:rPr>
          <w:sz w:val="18"/>
          <w:szCs w:val="18"/>
        </w:rPr>
        <w:t>vJ-EU</w:t>
      </w:r>
      <w:r w:rsidRPr="0081774E">
        <w:rPr>
          <w:sz w:val="18"/>
          <w:szCs w:val="18"/>
        </w:rPr>
        <w:t xml:space="preserve"> oordeel</w:t>
      </w:r>
      <w:r w:rsidR="000B3241">
        <w:rPr>
          <w:sz w:val="18"/>
          <w:szCs w:val="18"/>
        </w:rPr>
        <w:t xml:space="preserve">t in deze zaak dat bovenstaande handelwijze ten aanzien van deeltijdwerkers in </w:t>
      </w:r>
      <w:r w:rsidRPr="0081774E">
        <w:rPr>
          <w:sz w:val="18"/>
          <w:szCs w:val="18"/>
        </w:rPr>
        <w:t>principe</w:t>
      </w:r>
      <w:r w:rsidR="000B3241">
        <w:rPr>
          <w:sz w:val="18"/>
          <w:szCs w:val="18"/>
        </w:rPr>
        <w:t xml:space="preserve"> leidt tot</w:t>
      </w:r>
      <w:r w:rsidRPr="0081774E">
        <w:rPr>
          <w:sz w:val="18"/>
          <w:szCs w:val="18"/>
        </w:rPr>
        <w:t xml:space="preserve"> verboden onderscheid</w:t>
      </w:r>
      <w:r w:rsidR="000B3241">
        <w:rPr>
          <w:sz w:val="18"/>
          <w:szCs w:val="18"/>
        </w:rPr>
        <w:t xml:space="preserve"> tussen </w:t>
      </w:r>
      <w:r w:rsidRPr="0081774E">
        <w:rPr>
          <w:sz w:val="18"/>
          <w:szCs w:val="18"/>
        </w:rPr>
        <w:t xml:space="preserve">piloten die in deeltijd </w:t>
      </w:r>
      <w:r w:rsidR="000B3241">
        <w:rPr>
          <w:sz w:val="18"/>
          <w:szCs w:val="18"/>
        </w:rPr>
        <w:t>werken en</w:t>
      </w:r>
      <w:r w:rsidRPr="0081774E">
        <w:rPr>
          <w:sz w:val="18"/>
          <w:szCs w:val="18"/>
        </w:rPr>
        <w:t xml:space="preserve"> voltijdwerkers in gelijke functies. Uit de aanwijzingen voor de nationale rechter inzake een mogelijke rechtvaardiging voor het gemaakte onderscheid blijkt dat die</w:t>
      </w:r>
      <w:r w:rsidR="000B3241">
        <w:rPr>
          <w:sz w:val="18"/>
          <w:szCs w:val="18"/>
        </w:rPr>
        <w:t xml:space="preserve"> rechtvaardiging</w:t>
      </w:r>
      <w:r w:rsidRPr="0081774E">
        <w:rPr>
          <w:sz w:val="18"/>
          <w:szCs w:val="18"/>
        </w:rPr>
        <w:t xml:space="preserve"> niet of nauwelijks mogelijk is</w:t>
      </w:r>
      <w:r w:rsidR="00117881">
        <w:rPr>
          <w:sz w:val="18"/>
          <w:szCs w:val="18"/>
        </w:rPr>
        <w:t xml:space="preserve"> in deze zaak</w:t>
      </w:r>
      <w:r w:rsidRPr="0081774E">
        <w:rPr>
          <w:sz w:val="18"/>
          <w:szCs w:val="18"/>
        </w:rPr>
        <w:t>.</w:t>
      </w:r>
    </w:p>
    <w:p w:rsidRPr="0081774E" w:rsidR="00704F85" w:rsidP="000E5CC7" w:rsidRDefault="00704F85" w14:paraId="529D3B0E" w14:textId="77777777">
      <w:pPr>
        <w:pStyle w:val="Default"/>
        <w:spacing w:line="240" w:lineRule="atLeast"/>
        <w:rPr>
          <w:sz w:val="18"/>
          <w:szCs w:val="18"/>
        </w:rPr>
      </w:pPr>
    </w:p>
    <w:p w:rsidRPr="0081774E" w:rsidR="00704F85" w:rsidP="000E5CC7" w:rsidRDefault="00704F85" w14:paraId="74EF587B" w14:textId="77777777">
      <w:pPr>
        <w:pStyle w:val="Default"/>
        <w:spacing w:line="240" w:lineRule="atLeast"/>
        <w:rPr>
          <w:b/>
          <w:bCs/>
          <w:sz w:val="18"/>
          <w:szCs w:val="18"/>
        </w:rPr>
      </w:pPr>
      <w:r w:rsidRPr="0081774E">
        <w:rPr>
          <w:b/>
          <w:bCs/>
          <w:sz w:val="18"/>
          <w:szCs w:val="18"/>
        </w:rPr>
        <w:t xml:space="preserve">Vraag 2: Bent u bekend met de uitspraak van het Hof van Justitie op 29 juli 2024? </w:t>
      </w:r>
      <w:r w:rsidRPr="007A4177" w:rsidR="007A4177">
        <w:rPr>
          <w:rStyle w:val="Voetnootmarkering"/>
          <w:i/>
          <w:iCs/>
          <w:sz w:val="18"/>
          <w:szCs w:val="18"/>
        </w:rPr>
        <w:t xml:space="preserve"> </w:t>
      </w:r>
      <w:r w:rsidRPr="0081774E" w:rsidR="007A4177">
        <w:rPr>
          <w:rStyle w:val="Voetnootmarkering"/>
          <w:i/>
          <w:iCs/>
          <w:sz w:val="18"/>
          <w:szCs w:val="18"/>
        </w:rPr>
        <w:footnoteReference w:id="2"/>
      </w:r>
      <w:r w:rsidRPr="0081774E" w:rsidR="007A4177">
        <w:rPr>
          <w:i/>
          <w:iCs/>
          <w:sz w:val="18"/>
          <w:szCs w:val="18"/>
        </w:rPr>
        <w:t xml:space="preserve">  </w:t>
      </w:r>
    </w:p>
    <w:p w:rsidRPr="0081774E" w:rsidR="00704F85" w:rsidP="000E5CC7" w:rsidRDefault="00704F85" w14:paraId="1D226311" w14:textId="77777777">
      <w:pPr>
        <w:pStyle w:val="Default"/>
        <w:spacing w:line="240" w:lineRule="atLeast"/>
        <w:rPr>
          <w:sz w:val="18"/>
          <w:szCs w:val="18"/>
        </w:rPr>
      </w:pPr>
    </w:p>
    <w:p w:rsidRPr="0081774E" w:rsidR="00704F85" w:rsidP="000E5CC7" w:rsidRDefault="00704F85" w14:paraId="4B3F4ABB" w14:textId="77777777">
      <w:pPr>
        <w:pStyle w:val="Default"/>
        <w:spacing w:line="240" w:lineRule="atLeast"/>
        <w:rPr>
          <w:sz w:val="18"/>
          <w:szCs w:val="18"/>
        </w:rPr>
      </w:pPr>
      <w:r w:rsidRPr="0081774E">
        <w:rPr>
          <w:b/>
          <w:bCs/>
          <w:sz w:val="18"/>
          <w:szCs w:val="18"/>
        </w:rPr>
        <w:t>Antwoord vraag 2:</w:t>
      </w:r>
      <w:r w:rsidRPr="0081774E">
        <w:rPr>
          <w:sz w:val="18"/>
          <w:szCs w:val="18"/>
        </w:rPr>
        <w:t xml:space="preserve"> Ja In de uitspraak van 29 juli 2024 (KfH Kuratorium für Dialyse und Nierentransplantation eV.) oordeelde het HvJ-EU dat sprake was van verboden onderscheid tussen voltijdwerkers en deeltijdwerkers. Verpleegkundigen die in deeltijd werkten (respectievelijk 40% en 80% van de normale wekelijkse arbeidsduur van 38,5 uur) en die méér uren werkten dan de in hun arbeidsovereenkomsten overeengekomen arbeidstijd, maar minder dan de normale wekelijkse arbeidsduur van voltijdwerkers, ontvingen voor die overuren géén overwerktoeslag. Pas als zij boven de normale arbeidsduur voor voltijdwerkers uitkwamen, ontvingen zij een overwerktoeslag. Daarmee werden in deeltijd werkende verpleegkundigen ongelijk behandeld ten opzichte van verpleegkundigen die voltijds werkten en die wel een overwerktoeslag voor hun overuren ontvingen. Weliswaar was er een uniforme drempel van 38,5 uur, maar deeltijdwerkers moesten meer overuren maken om deze drempel te halen. Het HvJ-EU kwalificeert alle overuren ongeacht </w:t>
      </w:r>
      <w:r w:rsidR="000B3241">
        <w:rPr>
          <w:sz w:val="18"/>
          <w:szCs w:val="18"/>
        </w:rPr>
        <w:t xml:space="preserve">de </w:t>
      </w:r>
      <w:r w:rsidRPr="0081774E">
        <w:rPr>
          <w:sz w:val="18"/>
          <w:szCs w:val="18"/>
        </w:rPr>
        <w:t xml:space="preserve">contractuele arbeidsduur als overwerkuren en die moeten ook als zodanig worden beloond. Ook </w:t>
      </w:r>
      <w:r w:rsidR="00117881">
        <w:rPr>
          <w:sz w:val="18"/>
          <w:szCs w:val="18"/>
        </w:rPr>
        <w:t>in deze specifieke zaak</w:t>
      </w:r>
      <w:r w:rsidRPr="0081774E">
        <w:rPr>
          <w:sz w:val="18"/>
          <w:szCs w:val="18"/>
        </w:rPr>
        <w:t xml:space="preserve"> blijkt uit de aanwijzingen voor de nationale rechter dat er praktisch gezien geen rechtvaardiging kan worden gevonden voor dit onderscheid.</w:t>
      </w:r>
    </w:p>
    <w:p w:rsidRPr="0081774E" w:rsidR="00704F85" w:rsidP="000E5CC7" w:rsidRDefault="00704F85" w14:paraId="5622D3AE" w14:textId="77777777">
      <w:pPr>
        <w:pStyle w:val="Default"/>
        <w:spacing w:line="240" w:lineRule="atLeast"/>
        <w:rPr>
          <w:sz w:val="18"/>
          <w:szCs w:val="18"/>
        </w:rPr>
      </w:pPr>
    </w:p>
    <w:p w:rsidR="001136C4" w:rsidRDefault="001136C4" w14:paraId="462676AE" w14:textId="77777777">
      <w:pPr>
        <w:spacing w:line="240" w:lineRule="auto"/>
        <w:rPr>
          <w:rFonts w:cs="Verdana" w:eastAsiaTheme="minorHAnsi"/>
          <w:b/>
          <w:bCs/>
          <w:lang w:eastAsia="en-US"/>
        </w:rPr>
      </w:pPr>
      <w:r>
        <w:rPr>
          <w:b/>
          <w:bCs/>
        </w:rPr>
        <w:br w:type="page"/>
      </w:r>
    </w:p>
    <w:p w:rsidRPr="0081774E" w:rsidR="00704F85" w:rsidP="000E5CC7" w:rsidRDefault="00704F85" w14:paraId="111F9BB2" w14:textId="24FE2D8E">
      <w:pPr>
        <w:pStyle w:val="Default"/>
        <w:spacing w:line="240" w:lineRule="atLeast"/>
        <w:rPr>
          <w:sz w:val="18"/>
          <w:szCs w:val="18"/>
        </w:rPr>
      </w:pPr>
      <w:r w:rsidRPr="0081774E">
        <w:rPr>
          <w:b/>
          <w:bCs/>
          <w:sz w:val="18"/>
          <w:szCs w:val="18"/>
        </w:rPr>
        <w:t>Vraag 3: Neemt het Hof van Justitie hiermee afstand van hun eigen ‘Helmig-arrest’</w:t>
      </w:r>
      <w:r w:rsidRPr="0081774E" w:rsidR="004374E5">
        <w:rPr>
          <w:rStyle w:val="Voetnootmarkering"/>
          <w:i/>
          <w:iCs/>
          <w:sz w:val="18"/>
          <w:szCs w:val="18"/>
        </w:rPr>
        <w:footnoteReference w:id="3"/>
      </w:r>
      <w:r w:rsidRPr="0081774E">
        <w:rPr>
          <w:b/>
          <w:bCs/>
          <w:sz w:val="18"/>
          <w:szCs w:val="18"/>
        </w:rPr>
        <w:t xml:space="preserve">  waarmee de lijn is uitgezet dat het geen ongelijke behandeling is als een deeltijdwerker pas een overurentoeslag betaald krijgt wanneer de voor voltijdwerkers geldende normale arbeidstijd wordt overschreden? Kan de tot nu toe gehanteerde Helmigdoctrine (dat de totale beloning gelijk moet zijn, ongeacht of een gewerkt uur voor de ene werknemer wel en voor de andere werknemer niet binnen zijn contractuele arbeidsduur valt) nog toegepast worden? Kunt u uw antwoord toelichten?</w:t>
      </w:r>
      <w:r w:rsidRPr="0081774E">
        <w:rPr>
          <w:sz w:val="18"/>
          <w:szCs w:val="18"/>
        </w:rPr>
        <w:t xml:space="preserve"> </w:t>
      </w:r>
    </w:p>
    <w:p w:rsidRPr="0081774E" w:rsidR="00704F85" w:rsidP="000E5CC7" w:rsidRDefault="00704F85" w14:paraId="04A4BB35" w14:textId="77777777">
      <w:pPr>
        <w:pStyle w:val="Default"/>
        <w:spacing w:line="240" w:lineRule="atLeast"/>
        <w:rPr>
          <w:sz w:val="18"/>
          <w:szCs w:val="18"/>
        </w:rPr>
      </w:pPr>
    </w:p>
    <w:p w:rsidRPr="0081774E" w:rsidR="00704F85" w:rsidP="000E5CC7" w:rsidRDefault="00704F85" w14:paraId="3EAE94EE" w14:textId="77777777">
      <w:pPr>
        <w:pStyle w:val="Default"/>
        <w:spacing w:line="240" w:lineRule="atLeast"/>
        <w:rPr>
          <w:b/>
          <w:bCs/>
          <w:sz w:val="18"/>
          <w:szCs w:val="18"/>
        </w:rPr>
      </w:pPr>
      <w:r w:rsidRPr="0081774E">
        <w:rPr>
          <w:b/>
          <w:bCs/>
          <w:sz w:val="18"/>
          <w:szCs w:val="18"/>
        </w:rPr>
        <w:t xml:space="preserve">Antwoord vraag 3: </w:t>
      </w:r>
    </w:p>
    <w:p w:rsidRPr="0081774E" w:rsidR="00704F85" w:rsidP="000E5CC7" w:rsidRDefault="00704F85" w14:paraId="4A943C89" w14:textId="77777777">
      <w:pPr>
        <w:pStyle w:val="Default"/>
        <w:spacing w:line="240" w:lineRule="atLeast"/>
        <w:rPr>
          <w:sz w:val="18"/>
          <w:szCs w:val="18"/>
        </w:rPr>
      </w:pPr>
      <w:r w:rsidRPr="0081774E">
        <w:rPr>
          <w:sz w:val="18"/>
          <w:szCs w:val="18"/>
        </w:rPr>
        <w:t xml:space="preserve">Op grond van het Helmig-arrest van het HvJ-EU </w:t>
      </w:r>
      <w:r w:rsidRPr="007F7276" w:rsidR="006F6D28">
        <w:rPr>
          <w:sz w:val="18"/>
          <w:szCs w:val="18"/>
        </w:rPr>
        <w:t xml:space="preserve">en artikel 119 EEG-verdrag </w:t>
      </w:r>
      <w:r w:rsidR="00642F1C">
        <w:rPr>
          <w:sz w:val="18"/>
          <w:szCs w:val="18"/>
        </w:rPr>
        <w:t xml:space="preserve">gold </w:t>
      </w:r>
      <w:r w:rsidRPr="0081774E" w:rsidR="00642F1C">
        <w:rPr>
          <w:sz w:val="18"/>
          <w:szCs w:val="18"/>
        </w:rPr>
        <w:t>het</w:t>
      </w:r>
      <w:r w:rsidRPr="0081774E">
        <w:rPr>
          <w:sz w:val="18"/>
          <w:szCs w:val="18"/>
        </w:rPr>
        <w:t xml:space="preserve"> uitgangspunt dat deeltijdwerkers én voltijdwerkers een overwerktoeslag konden ontvangen als zij meer uren werkten dan de normale wekelijkse arbeidsduur voor voltijders. Met het arrest van 29 juli 2024 (Kuratorium)</w:t>
      </w:r>
      <w:r w:rsidR="000B3241">
        <w:rPr>
          <w:sz w:val="18"/>
          <w:szCs w:val="18"/>
        </w:rPr>
        <w:t>, zie vraag 2,</w:t>
      </w:r>
      <w:r w:rsidRPr="0081774E">
        <w:rPr>
          <w:sz w:val="18"/>
          <w:szCs w:val="18"/>
        </w:rPr>
        <w:t xml:space="preserve"> oordeelt het HvJ-EU dat vol- en deeltijders per arbeidsvoorwaarde gelijk moeten worden behandeld</w:t>
      </w:r>
      <w:r w:rsidR="00E77FA8">
        <w:rPr>
          <w:sz w:val="18"/>
          <w:szCs w:val="18"/>
        </w:rPr>
        <w:t>, los van de vraag of de werknemers meer dan de normale wekelijkse arbeidsduur voor voltijders werken</w:t>
      </w:r>
      <w:r w:rsidRPr="0081774E">
        <w:rPr>
          <w:sz w:val="18"/>
          <w:szCs w:val="18"/>
        </w:rPr>
        <w:t>. Het H</w:t>
      </w:r>
      <w:r w:rsidR="00D57765">
        <w:rPr>
          <w:sz w:val="18"/>
          <w:szCs w:val="18"/>
        </w:rPr>
        <w:t>vJ-EU</w:t>
      </w:r>
      <w:r w:rsidRPr="0081774E">
        <w:rPr>
          <w:sz w:val="18"/>
          <w:szCs w:val="18"/>
        </w:rPr>
        <w:t xml:space="preserve"> komt tot dit oordeel op basis van specifieke bepalingen in de raamovereenkomst inzake deeltijdarbeid die als bijlage bij richtlijn </w:t>
      </w:r>
      <w:r w:rsidR="006F6D28">
        <w:rPr>
          <w:sz w:val="18"/>
          <w:szCs w:val="18"/>
        </w:rPr>
        <w:t>97</w:t>
      </w:r>
      <w:r w:rsidRPr="0081774E">
        <w:rPr>
          <w:sz w:val="18"/>
          <w:szCs w:val="18"/>
        </w:rPr>
        <w:t>/81/EG van de Raad is opgenomen, en niet op basis van artikel 119 EEG-Verdrag.</w:t>
      </w:r>
      <w:r w:rsidR="00E77FA8">
        <w:rPr>
          <w:sz w:val="18"/>
          <w:szCs w:val="18"/>
        </w:rPr>
        <w:t xml:space="preserve"> </w:t>
      </w:r>
      <w:r w:rsidR="00362494">
        <w:rPr>
          <w:sz w:val="18"/>
          <w:szCs w:val="18"/>
        </w:rPr>
        <w:t>H</w:t>
      </w:r>
      <w:r w:rsidR="00E77FA8">
        <w:rPr>
          <w:sz w:val="18"/>
          <w:szCs w:val="18"/>
        </w:rPr>
        <w:t>et H</w:t>
      </w:r>
      <w:r w:rsidR="00D57765">
        <w:rPr>
          <w:sz w:val="18"/>
          <w:szCs w:val="18"/>
        </w:rPr>
        <w:t>vJ-EU</w:t>
      </w:r>
      <w:r w:rsidR="00E77FA8">
        <w:rPr>
          <w:sz w:val="18"/>
          <w:szCs w:val="18"/>
        </w:rPr>
        <w:t xml:space="preserve"> </w:t>
      </w:r>
      <w:r w:rsidR="00362494">
        <w:rPr>
          <w:sz w:val="18"/>
          <w:szCs w:val="18"/>
        </w:rPr>
        <w:t>oordeelt</w:t>
      </w:r>
      <w:r w:rsidR="00E77FA8">
        <w:rPr>
          <w:sz w:val="18"/>
          <w:szCs w:val="18"/>
        </w:rPr>
        <w:t xml:space="preserve"> </w:t>
      </w:r>
      <w:r w:rsidR="00362494">
        <w:rPr>
          <w:sz w:val="18"/>
          <w:szCs w:val="18"/>
        </w:rPr>
        <w:t>nadrukkelijker</w:t>
      </w:r>
      <w:r w:rsidR="00E77FA8">
        <w:rPr>
          <w:sz w:val="18"/>
          <w:szCs w:val="18"/>
        </w:rPr>
        <w:t xml:space="preserve"> dan oorspronkelijk in het arrest Helmig dat een rechtvaardiging voor een inbreuk op het onderscheid naar arbeidsduur aan hoge eisen zal moeten voldoen. </w:t>
      </w:r>
      <w:r w:rsidRPr="0081774E">
        <w:rPr>
          <w:sz w:val="18"/>
          <w:szCs w:val="18"/>
        </w:rPr>
        <w:t xml:space="preserve">Het is aan de werkgever om </w:t>
      </w:r>
      <w:r w:rsidR="00E77FA8">
        <w:rPr>
          <w:sz w:val="18"/>
          <w:szCs w:val="18"/>
        </w:rPr>
        <w:t xml:space="preserve">in een specifieke casus </w:t>
      </w:r>
      <w:r w:rsidRPr="0081774E">
        <w:rPr>
          <w:sz w:val="18"/>
          <w:szCs w:val="18"/>
        </w:rPr>
        <w:t>te onderbouwen op welke wijze een eventuele inbreuk op het onderscheid naar arbeidsduur objectief gerechtvaardigd is.</w:t>
      </w:r>
    </w:p>
    <w:p w:rsidRPr="0081774E" w:rsidR="00704F85" w:rsidP="000E5CC7" w:rsidRDefault="00704F85" w14:paraId="33E337F3" w14:textId="77777777">
      <w:pPr>
        <w:pStyle w:val="Default"/>
        <w:spacing w:line="240" w:lineRule="atLeast"/>
        <w:rPr>
          <w:sz w:val="18"/>
          <w:szCs w:val="18"/>
        </w:rPr>
      </w:pPr>
    </w:p>
    <w:p w:rsidRPr="0081774E" w:rsidR="00704F85" w:rsidP="000E5CC7" w:rsidRDefault="00704F85" w14:paraId="2EE63980" w14:textId="77777777">
      <w:pPr>
        <w:pStyle w:val="Default"/>
        <w:spacing w:line="240" w:lineRule="atLeast"/>
        <w:rPr>
          <w:b/>
          <w:bCs/>
          <w:sz w:val="18"/>
          <w:szCs w:val="18"/>
        </w:rPr>
      </w:pPr>
      <w:r w:rsidRPr="0081774E">
        <w:rPr>
          <w:b/>
          <w:bCs/>
          <w:sz w:val="18"/>
          <w:szCs w:val="18"/>
        </w:rPr>
        <w:t>Vraag 4: Hoe beoordeelt u in dit kader de uitspraak in een brief aan de Eerste Kamer van 21 november 2023</w:t>
      </w:r>
      <w:r w:rsidR="00A81CC1">
        <w:rPr>
          <w:rStyle w:val="Voetnootmarkering"/>
          <w:b/>
          <w:bCs/>
          <w:sz w:val="18"/>
          <w:szCs w:val="18"/>
        </w:rPr>
        <w:footnoteReference w:id="4"/>
      </w:r>
      <w:r w:rsidRPr="0081774E">
        <w:rPr>
          <w:b/>
          <w:bCs/>
          <w:sz w:val="18"/>
          <w:szCs w:val="18"/>
        </w:rPr>
        <w:t>, namelijk dat aan de Helmigdoctrine pas een einde zou komen als de Richtlijn zou worden aangepast of als het Hof van Justitie van de Europese Unie een andere uitleg aan de Richtlijn geeft en dat Nederland gehouden is aan de aanpak van het Hof?</w:t>
      </w:r>
    </w:p>
    <w:p w:rsidRPr="0081774E" w:rsidR="000E5CC7" w:rsidP="000E5CC7" w:rsidRDefault="000E5CC7" w14:paraId="51389D45" w14:textId="77777777">
      <w:pPr>
        <w:pStyle w:val="Default"/>
        <w:spacing w:line="240" w:lineRule="atLeast"/>
        <w:rPr>
          <w:sz w:val="18"/>
          <w:szCs w:val="18"/>
        </w:rPr>
      </w:pPr>
    </w:p>
    <w:p w:rsidRPr="0081774E" w:rsidR="000E5CC7" w:rsidP="000E5CC7" w:rsidRDefault="00704F85" w14:paraId="03F63BA2" w14:textId="77777777">
      <w:pPr>
        <w:pStyle w:val="Default"/>
        <w:spacing w:line="240" w:lineRule="atLeast"/>
        <w:rPr>
          <w:b/>
          <w:bCs/>
          <w:sz w:val="18"/>
          <w:szCs w:val="18"/>
        </w:rPr>
      </w:pPr>
      <w:r w:rsidRPr="0081774E">
        <w:rPr>
          <w:b/>
          <w:bCs/>
          <w:sz w:val="18"/>
          <w:szCs w:val="18"/>
        </w:rPr>
        <w:t xml:space="preserve">Antwoord vraag 4: </w:t>
      </w:r>
    </w:p>
    <w:p w:rsidR="001136C4" w:rsidP="00031238" w:rsidRDefault="00704F85" w14:paraId="40FF76EC" w14:textId="77777777">
      <w:pPr>
        <w:pStyle w:val="Default"/>
        <w:spacing w:line="240" w:lineRule="atLeast"/>
        <w:rPr>
          <w:sz w:val="18"/>
          <w:szCs w:val="18"/>
        </w:rPr>
      </w:pPr>
      <w:r w:rsidRPr="0081774E">
        <w:rPr>
          <w:sz w:val="18"/>
          <w:szCs w:val="18"/>
        </w:rPr>
        <w:t xml:space="preserve">Vanuit de wetgeving over gelijke behandeling is onderscheid naar arbeidsduur of indirect onderscheid naar geslacht alleen toegestaan, als sprake is van een objectieve rechtvaardiging. Om te voldoen aan de toets van de objectieve rechtvaardigingsgrond moet voor een concrete maatregel sprake zijn van een legitiem doel en van een maatregel die geschikt, noodzakelijk en evenredig is om het doel te bereiken. Of sprake is van een voldoende objectieve rechtvaardiging, zal </w:t>
      </w:r>
      <w:r w:rsidR="00117881">
        <w:rPr>
          <w:sz w:val="18"/>
          <w:szCs w:val="18"/>
        </w:rPr>
        <w:t xml:space="preserve">ook na de besproken arresten van het HvJ EU </w:t>
      </w:r>
      <w:r w:rsidRPr="0081774E">
        <w:rPr>
          <w:sz w:val="18"/>
          <w:szCs w:val="18"/>
        </w:rPr>
        <w:t xml:space="preserve">moeten worden bezien in de concrete situatie waarin het onderscheid wordt gemaakt. </w:t>
      </w:r>
      <w:r w:rsidR="00362494">
        <w:rPr>
          <w:sz w:val="18"/>
          <w:szCs w:val="18"/>
        </w:rPr>
        <w:t>Dat blijft zo.</w:t>
      </w:r>
      <w:r w:rsidR="00117881">
        <w:rPr>
          <w:sz w:val="18"/>
          <w:szCs w:val="18"/>
        </w:rPr>
        <w:t xml:space="preserve"> </w:t>
      </w:r>
      <w:r w:rsidR="00362494">
        <w:rPr>
          <w:sz w:val="18"/>
          <w:szCs w:val="18"/>
        </w:rPr>
        <w:t xml:space="preserve"> Tegelijkertijd heeft h</w:t>
      </w:r>
      <w:r w:rsidRPr="0081774E" w:rsidR="00362494">
        <w:rPr>
          <w:sz w:val="18"/>
          <w:szCs w:val="18"/>
        </w:rPr>
        <w:t xml:space="preserve">et </w:t>
      </w:r>
      <w:r w:rsidRPr="0081774E">
        <w:rPr>
          <w:sz w:val="18"/>
          <w:szCs w:val="18"/>
        </w:rPr>
        <w:t>HvJ-EU in het arrest van 19 oktober 2023 en van 29 juli 2024 een aantal aanwijzingen gegeven</w:t>
      </w:r>
      <w:r w:rsidR="00117881">
        <w:rPr>
          <w:sz w:val="18"/>
          <w:szCs w:val="18"/>
        </w:rPr>
        <w:t xml:space="preserve"> waaraan een rechtvaardiging moet voldoen</w:t>
      </w:r>
      <w:r w:rsidRPr="0081774E">
        <w:rPr>
          <w:sz w:val="18"/>
          <w:szCs w:val="18"/>
        </w:rPr>
        <w:t xml:space="preserve"> op basis van de hierboven bij het antwoord op vraag 3 genoemde specifieke bepalingen.</w:t>
      </w:r>
      <w:r w:rsidR="00362494">
        <w:rPr>
          <w:sz w:val="18"/>
          <w:szCs w:val="18"/>
        </w:rPr>
        <w:t xml:space="preserve"> Daaruit wordt </w:t>
      </w:r>
      <w:r w:rsidR="00117881">
        <w:rPr>
          <w:sz w:val="18"/>
          <w:szCs w:val="18"/>
        </w:rPr>
        <w:t xml:space="preserve">wel </w:t>
      </w:r>
      <w:r w:rsidR="00362494">
        <w:rPr>
          <w:sz w:val="18"/>
          <w:szCs w:val="18"/>
        </w:rPr>
        <w:t xml:space="preserve">duidelijker dan oorspronkelijk </w:t>
      </w:r>
      <w:r w:rsidR="009164F3">
        <w:rPr>
          <w:sz w:val="18"/>
          <w:szCs w:val="18"/>
        </w:rPr>
        <w:t>in</w:t>
      </w:r>
      <w:r w:rsidR="00642F1C">
        <w:rPr>
          <w:sz w:val="18"/>
          <w:szCs w:val="18"/>
        </w:rPr>
        <w:t xml:space="preserve"> </w:t>
      </w:r>
      <w:r w:rsidR="00362494">
        <w:rPr>
          <w:sz w:val="18"/>
          <w:szCs w:val="18"/>
        </w:rPr>
        <w:t>het Helmig-arrest</w:t>
      </w:r>
      <w:r w:rsidR="009164F3">
        <w:rPr>
          <w:sz w:val="18"/>
          <w:szCs w:val="18"/>
        </w:rPr>
        <w:t>,</w:t>
      </w:r>
      <w:r w:rsidR="00362494">
        <w:rPr>
          <w:sz w:val="18"/>
          <w:szCs w:val="18"/>
        </w:rPr>
        <w:t xml:space="preserve"> dat de eisen waaraan zo’n rechtvaardiging moet voldoen hoog zijn.</w:t>
      </w:r>
      <w:r w:rsidR="00117881">
        <w:rPr>
          <w:sz w:val="18"/>
          <w:szCs w:val="18"/>
        </w:rPr>
        <w:t xml:space="preserve"> </w:t>
      </w:r>
      <w:bookmarkStart w:name="_Hlk188015438" w:id="0"/>
    </w:p>
    <w:p w:rsidR="001136C4" w:rsidRDefault="001136C4" w14:paraId="51B60C3C" w14:textId="77777777">
      <w:pPr>
        <w:spacing w:line="240" w:lineRule="auto"/>
        <w:rPr>
          <w:rFonts w:cs="Verdana" w:eastAsiaTheme="minorHAnsi"/>
          <w:lang w:eastAsia="en-US"/>
        </w:rPr>
      </w:pPr>
      <w:r>
        <w:br w:type="page"/>
      </w:r>
    </w:p>
    <w:p w:rsidRPr="0081774E" w:rsidR="00031238" w:rsidP="00031238" w:rsidRDefault="00031238" w14:paraId="185A67FB" w14:textId="23821D98">
      <w:pPr>
        <w:pStyle w:val="Default"/>
        <w:spacing w:line="240" w:lineRule="atLeast"/>
        <w:rPr>
          <w:sz w:val="18"/>
          <w:szCs w:val="18"/>
        </w:rPr>
      </w:pPr>
      <w:r w:rsidRPr="006D17C4">
        <w:rPr>
          <w:sz w:val="18"/>
          <w:szCs w:val="18"/>
        </w:rPr>
        <w:t>Wat deze uitspraken (Kuratorium en Lufthansa) voor consequenties kunnen hebben voor de praktijk, wordt nu verder onderzocht. Zodra daar meer duidelijkheid is, zal ik uw Kamer informeren.</w:t>
      </w:r>
    </w:p>
    <w:bookmarkEnd w:id="0"/>
    <w:p w:rsidRPr="0081774E" w:rsidR="00704F85" w:rsidP="000E5CC7" w:rsidRDefault="00704F85" w14:paraId="5F53CF84" w14:textId="77777777">
      <w:pPr>
        <w:pStyle w:val="Default"/>
        <w:spacing w:line="240" w:lineRule="atLeast"/>
        <w:rPr>
          <w:sz w:val="18"/>
          <w:szCs w:val="18"/>
        </w:rPr>
      </w:pPr>
    </w:p>
    <w:p w:rsidRPr="0081774E" w:rsidR="00704F85" w:rsidP="000E5CC7" w:rsidRDefault="00704F85" w14:paraId="2D4CD1CC" w14:textId="77777777">
      <w:pPr>
        <w:pStyle w:val="Default"/>
        <w:spacing w:line="240" w:lineRule="atLeast"/>
        <w:rPr>
          <w:sz w:val="18"/>
          <w:szCs w:val="18"/>
        </w:rPr>
      </w:pPr>
    </w:p>
    <w:p w:rsidR="001136C4" w:rsidP="000E5CC7" w:rsidRDefault="00704F85" w14:paraId="2019E435" w14:textId="77777777">
      <w:pPr>
        <w:pStyle w:val="Default"/>
        <w:spacing w:line="240" w:lineRule="atLeast"/>
        <w:rPr>
          <w:b/>
          <w:bCs/>
          <w:sz w:val="18"/>
          <w:szCs w:val="18"/>
        </w:rPr>
      </w:pPr>
      <w:r w:rsidRPr="0081774E">
        <w:rPr>
          <w:b/>
          <w:bCs/>
          <w:sz w:val="18"/>
          <w:szCs w:val="18"/>
        </w:rPr>
        <w:t xml:space="preserve">Vraag 5: Zijn er gevolgen voor de Werkloosheidwet </w:t>
      </w:r>
    </w:p>
    <w:p w:rsidRPr="0081774E" w:rsidR="00704F85" w:rsidP="000E5CC7" w:rsidRDefault="00704F85" w14:paraId="77194697" w14:textId="1C54761C">
      <w:pPr>
        <w:pStyle w:val="Default"/>
        <w:spacing w:line="240" w:lineRule="atLeast"/>
        <w:rPr>
          <w:b/>
          <w:bCs/>
          <w:sz w:val="18"/>
          <w:szCs w:val="18"/>
        </w:rPr>
      </w:pPr>
      <w:r w:rsidRPr="0081774E">
        <w:rPr>
          <w:b/>
          <w:bCs/>
          <w:sz w:val="18"/>
          <w:szCs w:val="18"/>
        </w:rPr>
        <w:t>(WW-</w:t>
      </w:r>
      <w:r w:rsidR="00CD6CAA">
        <w:rPr>
          <w:b/>
          <w:bCs/>
          <w:sz w:val="18"/>
          <w:szCs w:val="18"/>
        </w:rPr>
        <w:t>)</w:t>
      </w:r>
      <w:r w:rsidR="001136C4">
        <w:rPr>
          <w:b/>
          <w:bCs/>
          <w:sz w:val="18"/>
          <w:szCs w:val="18"/>
        </w:rPr>
        <w:t xml:space="preserve"> </w:t>
      </w:r>
      <w:r w:rsidRPr="0081774E">
        <w:rPr>
          <w:b/>
          <w:bCs/>
          <w:sz w:val="18"/>
          <w:szCs w:val="18"/>
        </w:rPr>
        <w:t>premiedifferentiatie verloning van overwerk? Zo ja, welke? Kunt u in dit antwoord de herzieningssituatie betrekken waarbij de werkgever de hoge WW-premie moet afdragen als de werknemer in een kalenderjaar meer uren dan 30% dan contractueel krijgt verloond?</w:t>
      </w:r>
    </w:p>
    <w:p w:rsidR="00B66D05" w:rsidP="000E5CC7" w:rsidRDefault="00B66D05" w14:paraId="1FB5F3A3" w14:textId="77777777">
      <w:pPr>
        <w:pStyle w:val="Default"/>
        <w:spacing w:line="240" w:lineRule="atLeast"/>
        <w:rPr>
          <w:b/>
          <w:bCs/>
          <w:sz w:val="18"/>
          <w:szCs w:val="18"/>
        </w:rPr>
      </w:pPr>
    </w:p>
    <w:p w:rsidRPr="0081774E" w:rsidR="00BC2759" w:rsidP="000E5CC7" w:rsidRDefault="00704F85" w14:paraId="22507388" w14:textId="77777777">
      <w:pPr>
        <w:pStyle w:val="Default"/>
        <w:spacing w:line="240" w:lineRule="atLeast"/>
        <w:rPr>
          <w:sz w:val="18"/>
          <w:szCs w:val="18"/>
        </w:rPr>
      </w:pPr>
      <w:r w:rsidRPr="0081774E">
        <w:rPr>
          <w:b/>
          <w:bCs/>
          <w:sz w:val="18"/>
          <w:szCs w:val="18"/>
        </w:rPr>
        <w:t>Antwoord vraag 5:</w:t>
      </w:r>
      <w:r w:rsidRPr="0081774E">
        <w:rPr>
          <w:sz w:val="18"/>
          <w:szCs w:val="18"/>
        </w:rPr>
        <w:t xml:space="preserve"> </w:t>
      </w:r>
    </w:p>
    <w:p w:rsidRPr="0081774E" w:rsidR="00704F85" w:rsidP="000E5CC7" w:rsidRDefault="00D17AA8" w14:paraId="036CEE8B" w14:textId="77777777">
      <w:pPr>
        <w:pStyle w:val="Default"/>
        <w:spacing w:line="240" w:lineRule="atLeast"/>
        <w:rPr>
          <w:sz w:val="18"/>
          <w:szCs w:val="18"/>
        </w:rPr>
      </w:pPr>
      <w:r>
        <w:rPr>
          <w:sz w:val="18"/>
          <w:szCs w:val="18"/>
        </w:rPr>
        <w:t xml:space="preserve">Nee. </w:t>
      </w:r>
      <w:r w:rsidRPr="0081774E" w:rsidR="00704F85">
        <w:rPr>
          <w:sz w:val="18"/>
          <w:szCs w:val="18"/>
        </w:rPr>
        <w:t xml:space="preserve">Premiedifferentiatie staat los van overwerktoeslagen waar de werknemer aanspraak op kan maken. De Awf-premie is een premie die werkgevers afdragen als onderdeel van de werknemersverzekeringen. Ook als een werkgever op grond van de 30% herzieningssituatie de lage premie moet herzien naar de hoge premie, heeft dit geen invloed op de overwerktoeslagen waar de werknemer (mogelijk) aanspraak op kan maken. Andersom geredeneerd staat premiedifferentiatie WW ook los van wet- en regelgeving </w:t>
      </w:r>
      <w:r w:rsidR="002C4CE6">
        <w:rPr>
          <w:sz w:val="18"/>
          <w:szCs w:val="18"/>
        </w:rPr>
        <w:t>inzake</w:t>
      </w:r>
      <w:r w:rsidRPr="0081774E" w:rsidR="00704F85">
        <w:rPr>
          <w:sz w:val="18"/>
          <w:szCs w:val="18"/>
        </w:rPr>
        <w:t xml:space="preserve"> overwerk. </w:t>
      </w:r>
    </w:p>
    <w:p w:rsidRPr="0081774E" w:rsidR="00704F85" w:rsidP="000E5CC7" w:rsidRDefault="00704F85" w14:paraId="0507FE93" w14:textId="77777777">
      <w:pPr>
        <w:pStyle w:val="Default"/>
        <w:spacing w:line="240" w:lineRule="atLeast"/>
        <w:rPr>
          <w:sz w:val="18"/>
          <w:szCs w:val="18"/>
        </w:rPr>
      </w:pPr>
    </w:p>
    <w:p w:rsidRPr="0081774E" w:rsidR="00704F85" w:rsidP="000E5CC7" w:rsidRDefault="00704F85" w14:paraId="1EBE0A19" w14:textId="77777777">
      <w:pPr>
        <w:pStyle w:val="Default"/>
        <w:spacing w:line="240" w:lineRule="atLeast"/>
        <w:rPr>
          <w:b/>
          <w:bCs/>
          <w:sz w:val="18"/>
          <w:szCs w:val="18"/>
        </w:rPr>
      </w:pPr>
      <w:r w:rsidRPr="0081774E">
        <w:rPr>
          <w:b/>
          <w:bCs/>
          <w:sz w:val="18"/>
          <w:szCs w:val="18"/>
        </w:rPr>
        <w:t>Vraag 6: Bent u van mening dat dit het geval is op basis van de uitkomsten van bovengenoemde uitspraken uit 2023 en 2024? Kunt u uw antwoord toelichten?</w:t>
      </w:r>
    </w:p>
    <w:p w:rsidRPr="0081774E" w:rsidR="00BC2759" w:rsidP="000E5CC7" w:rsidRDefault="00BC2759" w14:paraId="7B961980" w14:textId="77777777">
      <w:pPr>
        <w:pStyle w:val="Default"/>
        <w:spacing w:line="240" w:lineRule="atLeast"/>
        <w:rPr>
          <w:sz w:val="18"/>
          <w:szCs w:val="18"/>
        </w:rPr>
      </w:pPr>
    </w:p>
    <w:p w:rsidRPr="0081774E" w:rsidR="00BC2759" w:rsidP="000E5CC7" w:rsidRDefault="00704F85" w14:paraId="485D3B16" w14:textId="77777777">
      <w:pPr>
        <w:pStyle w:val="Default"/>
        <w:spacing w:line="240" w:lineRule="atLeast"/>
        <w:rPr>
          <w:b/>
          <w:bCs/>
          <w:sz w:val="18"/>
          <w:szCs w:val="18"/>
        </w:rPr>
      </w:pPr>
      <w:r w:rsidRPr="0081774E">
        <w:rPr>
          <w:b/>
          <w:bCs/>
          <w:sz w:val="18"/>
          <w:szCs w:val="18"/>
        </w:rPr>
        <w:t>Antwoord vraag 6:</w:t>
      </w:r>
    </w:p>
    <w:p w:rsidRPr="0081774E" w:rsidR="00704F85" w:rsidP="000E5CC7" w:rsidRDefault="00704F85" w14:paraId="3BB090EF" w14:textId="77777777">
      <w:pPr>
        <w:pStyle w:val="Default"/>
        <w:spacing w:line="240" w:lineRule="atLeast"/>
        <w:rPr>
          <w:sz w:val="18"/>
          <w:szCs w:val="18"/>
        </w:rPr>
      </w:pPr>
      <w:r w:rsidRPr="0081774E">
        <w:rPr>
          <w:sz w:val="18"/>
          <w:szCs w:val="18"/>
        </w:rPr>
        <w:t xml:space="preserve">De </w:t>
      </w:r>
      <w:r w:rsidR="00E77FA8">
        <w:rPr>
          <w:sz w:val="18"/>
          <w:szCs w:val="18"/>
        </w:rPr>
        <w:t xml:space="preserve">hiervoor toegelichte </w:t>
      </w:r>
      <w:r w:rsidRPr="0081774E">
        <w:rPr>
          <w:sz w:val="18"/>
          <w:szCs w:val="18"/>
        </w:rPr>
        <w:t>uitspraken van</w:t>
      </w:r>
      <w:r w:rsidR="00E77FA8">
        <w:rPr>
          <w:sz w:val="18"/>
          <w:szCs w:val="18"/>
        </w:rPr>
        <w:t xml:space="preserve"> het HvJ-EU </w:t>
      </w:r>
      <w:r w:rsidRPr="0081774E">
        <w:rPr>
          <w:sz w:val="18"/>
          <w:szCs w:val="18"/>
        </w:rPr>
        <w:t>19 oktober 2023 en 29 juli 2024 hebben geen gevolgen voor premiedifferentiatie WW, en ook niet voor de 30% herzieningssituatie. Zoals ook bij de beantwoording van vraag 5 genoemd</w:t>
      </w:r>
      <w:r w:rsidR="002C4CE6">
        <w:rPr>
          <w:sz w:val="18"/>
          <w:szCs w:val="18"/>
        </w:rPr>
        <w:t>,</w:t>
      </w:r>
      <w:r w:rsidRPr="0081774E">
        <w:rPr>
          <w:sz w:val="18"/>
          <w:szCs w:val="18"/>
        </w:rPr>
        <w:t xml:space="preserve"> is de Awf-premie een premie die werkgevers afdragen als onderdeel van de werknemersverzekeringen. Premiedifferentiatie stimuleert werkgevers om werknemers meer zekerheid te bieden door vaste uren aan te bieden. Deze uitspraken staan hier los van.</w:t>
      </w:r>
    </w:p>
    <w:p w:rsidRPr="0081774E" w:rsidR="00BC2759" w:rsidP="000E5CC7" w:rsidRDefault="00BC2759" w14:paraId="7FB507C6" w14:textId="77777777">
      <w:pPr>
        <w:pStyle w:val="Default"/>
        <w:spacing w:line="240" w:lineRule="atLeast"/>
        <w:rPr>
          <w:sz w:val="18"/>
          <w:szCs w:val="18"/>
        </w:rPr>
      </w:pPr>
    </w:p>
    <w:p w:rsidRPr="0081774E" w:rsidR="00704F85" w:rsidP="000E5CC7" w:rsidRDefault="00704F85" w14:paraId="5EF826CC" w14:textId="77777777">
      <w:pPr>
        <w:pStyle w:val="Default"/>
        <w:spacing w:line="240" w:lineRule="atLeast"/>
        <w:rPr>
          <w:b/>
          <w:bCs/>
          <w:sz w:val="18"/>
          <w:szCs w:val="18"/>
        </w:rPr>
      </w:pPr>
      <w:r w:rsidRPr="0081774E">
        <w:rPr>
          <w:b/>
          <w:bCs/>
          <w:sz w:val="18"/>
          <w:szCs w:val="18"/>
        </w:rPr>
        <w:t>Vraag 7: Wat voor gevolgen voor de Nederlandse wetgeving heeft deze uitspraak volgens u?</w:t>
      </w:r>
    </w:p>
    <w:p w:rsidRPr="0081774E" w:rsidR="00704F85" w:rsidP="000E5CC7" w:rsidRDefault="00704F85" w14:paraId="70F5414A" w14:textId="77777777">
      <w:pPr>
        <w:pStyle w:val="Default"/>
        <w:spacing w:line="240" w:lineRule="atLeast"/>
        <w:rPr>
          <w:sz w:val="18"/>
          <w:szCs w:val="18"/>
        </w:rPr>
      </w:pPr>
    </w:p>
    <w:p w:rsidRPr="0081774E" w:rsidR="00704F85" w:rsidP="000E5CC7" w:rsidRDefault="00704F85" w14:paraId="0BD6A447" w14:textId="77777777">
      <w:pPr>
        <w:pStyle w:val="Default"/>
        <w:spacing w:line="240" w:lineRule="atLeast"/>
        <w:rPr>
          <w:b/>
          <w:bCs/>
          <w:sz w:val="18"/>
          <w:szCs w:val="18"/>
        </w:rPr>
      </w:pPr>
      <w:r w:rsidRPr="0081774E">
        <w:rPr>
          <w:b/>
          <w:bCs/>
          <w:sz w:val="18"/>
          <w:szCs w:val="18"/>
        </w:rPr>
        <w:t>Vraag 8: Welke gevolgen zijn er voor de Wet onderscheid arbeidsduur, die is neergelegd in het Burgerlijk Wetboek, artikel 7:648?</w:t>
      </w:r>
    </w:p>
    <w:p w:rsidRPr="0081774E" w:rsidR="00704F85" w:rsidP="000E5CC7" w:rsidRDefault="00704F85" w14:paraId="4468FCF4" w14:textId="77777777">
      <w:pPr>
        <w:pStyle w:val="Default"/>
        <w:spacing w:line="240" w:lineRule="atLeast"/>
        <w:rPr>
          <w:sz w:val="18"/>
          <w:szCs w:val="18"/>
        </w:rPr>
      </w:pPr>
    </w:p>
    <w:p w:rsidRPr="0081774E" w:rsidR="00BC2759" w:rsidP="000E5CC7" w:rsidRDefault="00704F85" w14:paraId="0ABCE939" w14:textId="77777777">
      <w:pPr>
        <w:pStyle w:val="Default"/>
        <w:spacing w:line="240" w:lineRule="atLeast"/>
        <w:rPr>
          <w:b/>
          <w:bCs/>
          <w:sz w:val="18"/>
          <w:szCs w:val="18"/>
        </w:rPr>
      </w:pPr>
      <w:r w:rsidRPr="0081774E">
        <w:rPr>
          <w:b/>
          <w:bCs/>
          <w:sz w:val="18"/>
          <w:szCs w:val="18"/>
        </w:rPr>
        <w:t xml:space="preserve">Antwoord vraag 7 en 8: </w:t>
      </w:r>
    </w:p>
    <w:p w:rsidRPr="0081774E" w:rsidR="00704F85" w:rsidP="000E5CC7" w:rsidRDefault="00704F85" w14:paraId="0C4BD540" w14:textId="77777777">
      <w:pPr>
        <w:pStyle w:val="Default"/>
        <w:spacing w:line="240" w:lineRule="atLeast"/>
        <w:rPr>
          <w:sz w:val="18"/>
          <w:szCs w:val="18"/>
        </w:rPr>
      </w:pPr>
      <w:r w:rsidRPr="0081774E">
        <w:rPr>
          <w:sz w:val="18"/>
          <w:szCs w:val="18"/>
        </w:rPr>
        <w:t xml:space="preserve">De twee uitspraken zien op een invulling van het genoemde onderscheid in clausule 4, Raamovereenkomst inzake deeltijdarbeid, opgenomen in de bijlage bij Richtlijn 97/81 EG van de Raad (15 december 1997). Het Burgerlijk Wetboek </w:t>
      </w:r>
      <w:r w:rsidR="00E77FA8">
        <w:rPr>
          <w:sz w:val="18"/>
          <w:szCs w:val="18"/>
        </w:rPr>
        <w:t xml:space="preserve">(BW) </w:t>
      </w:r>
      <w:r w:rsidRPr="0081774E">
        <w:rPr>
          <w:sz w:val="18"/>
          <w:szCs w:val="18"/>
        </w:rPr>
        <w:t xml:space="preserve">bevat een vergelijkbare bepaling </w:t>
      </w:r>
      <w:r w:rsidR="00362494">
        <w:rPr>
          <w:sz w:val="18"/>
          <w:szCs w:val="18"/>
        </w:rPr>
        <w:t xml:space="preserve">als deze clausule 4 van de genoemde Raamovereenkomst </w:t>
      </w:r>
      <w:r w:rsidRPr="0081774E">
        <w:rPr>
          <w:sz w:val="18"/>
          <w:szCs w:val="18"/>
        </w:rPr>
        <w:t>te weten artikel 7:648 BW. Bovengenoemde arresten kunnen daarmee dienen als uitleg van de bestaande wet- en regelgeving. Om die reden bestaat er</w:t>
      </w:r>
      <w:r w:rsidR="00362494">
        <w:rPr>
          <w:sz w:val="18"/>
          <w:szCs w:val="18"/>
        </w:rPr>
        <w:t xml:space="preserve"> dan ook</w:t>
      </w:r>
      <w:r w:rsidRPr="0081774E">
        <w:rPr>
          <w:sz w:val="18"/>
          <w:szCs w:val="18"/>
        </w:rPr>
        <w:t xml:space="preserve"> geen noodzaak tot het aanpassen van artikel 7:648 BW.</w:t>
      </w:r>
    </w:p>
    <w:p w:rsidRPr="0081774E" w:rsidR="00704F85" w:rsidP="000E5CC7" w:rsidRDefault="00704F85" w14:paraId="5440ABCD" w14:textId="77777777">
      <w:pPr>
        <w:pStyle w:val="Default"/>
        <w:spacing w:line="240" w:lineRule="atLeast"/>
        <w:rPr>
          <w:sz w:val="18"/>
          <w:szCs w:val="18"/>
        </w:rPr>
      </w:pPr>
    </w:p>
    <w:sectPr w:rsidRPr="0081774E" w:rsidR="00704F8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6019" w14:textId="77777777" w:rsidR="004B4D40" w:rsidRDefault="004B4D40">
      <w:pPr>
        <w:spacing w:line="240" w:lineRule="auto"/>
      </w:pPr>
      <w:r>
        <w:separator/>
      </w:r>
    </w:p>
  </w:endnote>
  <w:endnote w:type="continuationSeparator" w:id="0">
    <w:p w14:paraId="55FF3055" w14:textId="77777777" w:rsidR="004B4D40" w:rsidRDefault="004B4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9BED" w14:textId="77777777" w:rsidR="002A2129" w:rsidRDefault="002A21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CAC1" w14:textId="77777777" w:rsidR="002A2129" w:rsidRDefault="002A21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893B" w14:textId="77777777" w:rsidR="002A2129" w:rsidRDefault="002A21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4FCD" w14:textId="77777777" w:rsidR="004B4D40" w:rsidRDefault="004B4D40">
      <w:pPr>
        <w:spacing w:line="240" w:lineRule="auto"/>
      </w:pPr>
      <w:r>
        <w:separator/>
      </w:r>
    </w:p>
  </w:footnote>
  <w:footnote w:type="continuationSeparator" w:id="0">
    <w:p w14:paraId="74AA1AE0" w14:textId="77777777" w:rsidR="004B4D40" w:rsidRDefault="004B4D40">
      <w:pPr>
        <w:spacing w:line="240" w:lineRule="auto"/>
      </w:pPr>
      <w:r>
        <w:continuationSeparator/>
      </w:r>
    </w:p>
  </w:footnote>
  <w:footnote w:id="1">
    <w:p w14:paraId="4081EDCF" w14:textId="77777777" w:rsidR="004374E5" w:rsidRPr="0081774E" w:rsidRDefault="004374E5" w:rsidP="004374E5">
      <w:pPr>
        <w:pStyle w:val="Voetnoottekst"/>
        <w:rPr>
          <w:sz w:val="16"/>
          <w:szCs w:val="16"/>
          <w:lang w:val="nl-NL"/>
        </w:rPr>
      </w:pPr>
      <w:r w:rsidRPr="0081774E">
        <w:rPr>
          <w:rStyle w:val="Voetnootmarkering"/>
          <w:sz w:val="16"/>
          <w:szCs w:val="16"/>
          <w:lang w:val="nl-NL"/>
        </w:rPr>
        <w:footnoteRef/>
      </w:r>
      <w:r w:rsidRPr="0081774E">
        <w:rPr>
          <w:sz w:val="16"/>
          <w:szCs w:val="16"/>
          <w:lang w:val="nl-NL"/>
        </w:rPr>
        <w:t xml:space="preserve"> Hof van Justitie van de Europese Unie, 19 oktober 2023, ECLI:EU:C:2023:789</w:t>
      </w:r>
    </w:p>
  </w:footnote>
  <w:footnote w:id="2">
    <w:p w14:paraId="538D029A" w14:textId="77777777" w:rsidR="007A4177" w:rsidRPr="0081774E" w:rsidRDefault="007A4177" w:rsidP="007A4177">
      <w:pPr>
        <w:pStyle w:val="Voetnoottekst"/>
        <w:rPr>
          <w:lang w:val="nl-NL"/>
        </w:rPr>
      </w:pPr>
      <w:r w:rsidRPr="0081774E">
        <w:rPr>
          <w:rStyle w:val="Voetnootmarkering"/>
          <w:sz w:val="16"/>
          <w:szCs w:val="16"/>
          <w:lang w:val="nl-NL"/>
        </w:rPr>
        <w:footnoteRef/>
      </w:r>
      <w:r w:rsidRPr="0081774E">
        <w:rPr>
          <w:sz w:val="16"/>
          <w:szCs w:val="16"/>
          <w:lang w:val="nl-NL"/>
        </w:rPr>
        <w:t xml:space="preserve"> </w:t>
      </w:r>
      <w:r w:rsidRPr="0081774E">
        <w:rPr>
          <w:rFonts w:cs="Verdana"/>
          <w:sz w:val="16"/>
          <w:szCs w:val="16"/>
          <w:lang w:val="nl-NL"/>
        </w:rPr>
        <w:t>Hof van Justitie van de Europese Unie, 29 juli 2024, ECLI:EU:C:2024:637</w:t>
      </w:r>
    </w:p>
  </w:footnote>
  <w:footnote w:id="3">
    <w:p w14:paraId="63A9B711" w14:textId="77777777" w:rsidR="004374E5" w:rsidRPr="0081774E" w:rsidRDefault="004374E5" w:rsidP="004374E5">
      <w:pPr>
        <w:pStyle w:val="Voetnoottekst"/>
        <w:rPr>
          <w:sz w:val="16"/>
          <w:szCs w:val="16"/>
          <w:lang w:val="nl-NL"/>
        </w:rPr>
      </w:pPr>
      <w:r w:rsidRPr="0081774E">
        <w:rPr>
          <w:rStyle w:val="Voetnootmarkering"/>
          <w:sz w:val="16"/>
          <w:szCs w:val="16"/>
          <w:lang w:val="nl-NL"/>
        </w:rPr>
        <w:footnoteRef/>
      </w:r>
      <w:r w:rsidRPr="0081774E">
        <w:rPr>
          <w:sz w:val="16"/>
          <w:szCs w:val="16"/>
          <w:lang w:val="nl-NL"/>
        </w:rPr>
        <w:t xml:space="preserve"> </w:t>
      </w:r>
      <w:r w:rsidRPr="0081774E">
        <w:rPr>
          <w:rFonts w:cs="Verdana"/>
          <w:sz w:val="16"/>
          <w:szCs w:val="16"/>
          <w:lang w:val="nl-NL"/>
        </w:rPr>
        <w:t>Hof van Justitie van de Europese Unie, 15 december 1994, ECLI:EU:C:1994:415</w:t>
      </w:r>
    </w:p>
  </w:footnote>
  <w:footnote w:id="4">
    <w:p w14:paraId="00E10150" w14:textId="77777777" w:rsidR="00A81CC1" w:rsidRPr="00A81CC1" w:rsidRDefault="00A81CC1">
      <w:pPr>
        <w:pStyle w:val="Voetnoottekst"/>
        <w:rPr>
          <w:lang w:val="nl-NL"/>
        </w:rPr>
      </w:pPr>
      <w:r>
        <w:rPr>
          <w:rStyle w:val="Voetnootmarkering"/>
        </w:rPr>
        <w:footnoteRef/>
      </w:r>
      <w:r w:rsidRPr="00D37960">
        <w:rPr>
          <w:lang w:val="nl-NL"/>
        </w:rPr>
        <w:t xml:space="preserve"> </w:t>
      </w:r>
      <w:r w:rsidRPr="00D37960">
        <w:rPr>
          <w:rFonts w:cs="Verdana"/>
          <w:sz w:val="16"/>
          <w:szCs w:val="16"/>
          <w:lang w:val="nl-NL"/>
        </w:rPr>
        <w:t>Kamerstukken I, 2023/24, 35 335, 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EC7D" w14:textId="77777777" w:rsidR="002A2129" w:rsidRDefault="002A21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233D" w14:textId="77777777" w:rsidR="007C049C" w:rsidRDefault="00704F85">
    <w:r>
      <w:rPr>
        <w:noProof/>
      </w:rPr>
      <mc:AlternateContent>
        <mc:Choice Requires="wps">
          <w:drawing>
            <wp:anchor distT="0" distB="0" distL="0" distR="0" simplePos="0" relativeHeight="251654144" behindDoc="0" locked="1" layoutInCell="1" allowOverlap="1" wp14:anchorId="1BF6A9DC" wp14:editId="60DF0C9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F770336" w14:textId="77777777" w:rsidR="007C049C" w:rsidRDefault="00704F85">
                          <w:pPr>
                            <w:pStyle w:val="Referentiegegevenskopjes"/>
                          </w:pPr>
                          <w:r>
                            <w:t>Datum</w:t>
                          </w:r>
                        </w:p>
                        <w:p w14:paraId="13C323A9" w14:textId="4B7FF951" w:rsidR="00377268" w:rsidRDefault="001136C4">
                          <w:pPr>
                            <w:pStyle w:val="Referentiegegevens"/>
                          </w:pPr>
                          <w:fldSimple w:instr=" DOCPROPERTY  &quot;iDatum&quot;  \* MERGEFORMAT ">
                            <w:r w:rsidR="002A2129">
                              <w:t>27 januari 2025</w:t>
                            </w:r>
                          </w:fldSimple>
                        </w:p>
                        <w:p w14:paraId="403BB361" w14:textId="77777777" w:rsidR="007C049C" w:rsidRDefault="007C049C">
                          <w:pPr>
                            <w:pStyle w:val="WitregelW1"/>
                          </w:pPr>
                        </w:p>
                        <w:p w14:paraId="4D5D77CA" w14:textId="77777777" w:rsidR="007C049C" w:rsidRDefault="00704F85">
                          <w:pPr>
                            <w:pStyle w:val="Referentiegegevenskopjes"/>
                          </w:pPr>
                          <w:r>
                            <w:t>Onze referentie</w:t>
                          </w:r>
                        </w:p>
                        <w:p w14:paraId="15C95B46" w14:textId="34FF4A3C" w:rsidR="00377268" w:rsidRDefault="001136C4">
                          <w:pPr>
                            <w:pStyle w:val="ReferentiegegevensHL"/>
                          </w:pPr>
                          <w:fldSimple w:instr=" DOCPROPERTY  &quot;iOnsKenmerk&quot;  \* MERGEFORMAT ">
                            <w:r w:rsidR="002A2129">
                              <w:t>2024-0000934513</w:t>
                            </w:r>
                          </w:fldSimple>
                        </w:p>
                      </w:txbxContent>
                    </wps:txbx>
                    <wps:bodyPr vert="horz" wrap="square" lIns="0" tIns="0" rIns="0" bIns="0" anchor="t" anchorCtr="0"/>
                  </wps:wsp>
                </a:graphicData>
              </a:graphic>
            </wp:anchor>
          </w:drawing>
        </mc:Choice>
        <mc:Fallback>
          <w:pict>
            <v:shapetype w14:anchorId="1BF6A9D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F770336" w14:textId="77777777" w:rsidR="007C049C" w:rsidRDefault="00704F85">
                    <w:pPr>
                      <w:pStyle w:val="Referentiegegevenskopjes"/>
                    </w:pPr>
                    <w:r>
                      <w:t>Datum</w:t>
                    </w:r>
                  </w:p>
                  <w:p w14:paraId="13C323A9" w14:textId="4B7FF951" w:rsidR="00377268" w:rsidRDefault="001136C4">
                    <w:pPr>
                      <w:pStyle w:val="Referentiegegevens"/>
                    </w:pPr>
                    <w:fldSimple w:instr=" DOCPROPERTY  &quot;iDatum&quot;  \* MERGEFORMAT ">
                      <w:r w:rsidR="002A2129">
                        <w:t>27 januari 2025</w:t>
                      </w:r>
                    </w:fldSimple>
                  </w:p>
                  <w:p w14:paraId="403BB361" w14:textId="77777777" w:rsidR="007C049C" w:rsidRDefault="007C049C">
                    <w:pPr>
                      <w:pStyle w:val="WitregelW1"/>
                    </w:pPr>
                  </w:p>
                  <w:p w14:paraId="4D5D77CA" w14:textId="77777777" w:rsidR="007C049C" w:rsidRDefault="00704F85">
                    <w:pPr>
                      <w:pStyle w:val="Referentiegegevenskopjes"/>
                    </w:pPr>
                    <w:r>
                      <w:t>Onze referentie</w:t>
                    </w:r>
                  </w:p>
                  <w:p w14:paraId="15C95B46" w14:textId="34FF4A3C" w:rsidR="00377268" w:rsidRDefault="001136C4">
                    <w:pPr>
                      <w:pStyle w:val="ReferentiegegevensHL"/>
                    </w:pPr>
                    <w:fldSimple w:instr=" DOCPROPERTY  &quot;iOnsKenmerk&quot;  \* MERGEFORMAT ">
                      <w:r w:rsidR="002A2129">
                        <w:t>2024-0000934513</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7F25152" wp14:editId="5626A28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DE9431A" w14:textId="77777777" w:rsidR="00377268" w:rsidRDefault="001136C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7F25152"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DE9431A" w14:textId="77777777" w:rsidR="00377268" w:rsidRDefault="001136C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3298" w14:textId="77777777" w:rsidR="007C049C" w:rsidRDefault="00704F85">
    <w:pPr>
      <w:spacing w:after="7029" w:line="14" w:lineRule="exact"/>
    </w:pPr>
    <w:r>
      <w:rPr>
        <w:noProof/>
      </w:rPr>
      <mc:AlternateContent>
        <mc:Choice Requires="wps">
          <w:drawing>
            <wp:anchor distT="0" distB="0" distL="0" distR="0" simplePos="0" relativeHeight="251656192" behindDoc="0" locked="1" layoutInCell="1" allowOverlap="1" wp14:anchorId="23364341" wp14:editId="73BED42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6FAD67" w14:textId="77777777" w:rsidR="007C049C" w:rsidRDefault="00704F85">
                          <w:pPr>
                            <w:spacing w:line="240" w:lineRule="auto"/>
                          </w:pPr>
                          <w:r>
                            <w:rPr>
                              <w:noProof/>
                            </w:rPr>
                            <w:drawing>
                              <wp:inline distT="0" distB="0" distL="0" distR="0" wp14:anchorId="13D8E1B2" wp14:editId="0257207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36434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56FAD67" w14:textId="77777777" w:rsidR="007C049C" w:rsidRDefault="00704F85">
                    <w:pPr>
                      <w:spacing w:line="240" w:lineRule="auto"/>
                    </w:pPr>
                    <w:r>
                      <w:rPr>
                        <w:noProof/>
                      </w:rPr>
                      <w:drawing>
                        <wp:inline distT="0" distB="0" distL="0" distR="0" wp14:anchorId="13D8E1B2" wp14:editId="0257207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DDB734" wp14:editId="26CA3A6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FB22B98" w14:textId="77777777" w:rsidR="007C049C" w:rsidRPr="00BC520A" w:rsidRDefault="00704F85">
                          <w:pPr>
                            <w:pStyle w:val="Afzendgegevens"/>
                            <w:rPr>
                              <w:lang w:val="de-DE"/>
                            </w:rPr>
                          </w:pPr>
                          <w:r w:rsidRPr="00BC520A">
                            <w:rPr>
                              <w:lang w:val="de-DE"/>
                            </w:rPr>
                            <w:t>Postbus 90801</w:t>
                          </w:r>
                        </w:p>
                        <w:p w14:paraId="113F28E8" w14:textId="77777777" w:rsidR="007C049C" w:rsidRPr="00BC520A" w:rsidRDefault="00704F85">
                          <w:pPr>
                            <w:pStyle w:val="Afzendgegevens"/>
                            <w:rPr>
                              <w:lang w:val="de-DE"/>
                            </w:rPr>
                          </w:pPr>
                          <w:r w:rsidRPr="00BC520A">
                            <w:rPr>
                              <w:lang w:val="de-DE"/>
                            </w:rPr>
                            <w:t>2509 LV  Den Haag</w:t>
                          </w:r>
                        </w:p>
                        <w:p w14:paraId="3F111915" w14:textId="77777777" w:rsidR="007C049C" w:rsidRPr="00BC520A" w:rsidRDefault="00704F85">
                          <w:pPr>
                            <w:pStyle w:val="Afzendgegevens"/>
                            <w:rPr>
                              <w:lang w:val="de-DE"/>
                            </w:rPr>
                          </w:pPr>
                          <w:r w:rsidRPr="00BC520A">
                            <w:rPr>
                              <w:lang w:val="de-DE"/>
                            </w:rPr>
                            <w:t>T   070 333 44 44</w:t>
                          </w:r>
                        </w:p>
                        <w:p w14:paraId="0DFC1B71" w14:textId="77777777" w:rsidR="007C049C" w:rsidRPr="00BC520A" w:rsidRDefault="007C049C">
                          <w:pPr>
                            <w:pStyle w:val="WitregelW2"/>
                            <w:rPr>
                              <w:lang w:val="de-DE"/>
                            </w:rPr>
                          </w:pPr>
                        </w:p>
                        <w:p w14:paraId="1BB5653E" w14:textId="77777777" w:rsidR="007C049C" w:rsidRDefault="00704F85">
                          <w:pPr>
                            <w:pStyle w:val="Referentiegegevenskopjes"/>
                          </w:pPr>
                          <w:r>
                            <w:t>Onze referentie</w:t>
                          </w:r>
                        </w:p>
                        <w:p w14:paraId="18F9AEED" w14:textId="79EF4C75" w:rsidR="00377268" w:rsidRDefault="001136C4">
                          <w:pPr>
                            <w:pStyle w:val="ReferentiegegevensHL"/>
                          </w:pPr>
                          <w:fldSimple w:instr=" DOCPROPERTY  &quot;iOnsKenmerk&quot;  \* MERGEFORMAT ">
                            <w:r w:rsidR="002A2129">
                              <w:t>2024-0000934513</w:t>
                            </w:r>
                          </w:fldSimple>
                        </w:p>
                        <w:p w14:paraId="3DB884CD" w14:textId="77777777" w:rsidR="007C049C" w:rsidRDefault="007C049C">
                          <w:pPr>
                            <w:pStyle w:val="WitregelW1"/>
                          </w:pPr>
                        </w:p>
                        <w:p w14:paraId="13D9420A" w14:textId="77777777" w:rsidR="001136C4" w:rsidRPr="001136C4" w:rsidRDefault="001136C4" w:rsidP="001136C4"/>
                        <w:p w14:paraId="6ACB89FB" w14:textId="77777777" w:rsidR="007C049C" w:rsidRDefault="00704F85">
                          <w:pPr>
                            <w:pStyle w:val="Referentiegegevenskopjes"/>
                          </w:pPr>
                          <w:r>
                            <w:t>Uw referentie</w:t>
                          </w:r>
                        </w:p>
                        <w:p w14:paraId="1D795666" w14:textId="15F8AD56" w:rsidR="00377268" w:rsidRDefault="001136C4">
                          <w:pPr>
                            <w:pStyle w:val="Referentiegegevens"/>
                          </w:pPr>
                          <w:fldSimple w:instr=" DOCPROPERTY  &quot;iUwBrief&quot;  \* MERGEFORMAT ">
                            <w:r w:rsidR="002A2129">
                              <w:t>2024Z17409</w:t>
                            </w:r>
                          </w:fldSimple>
                        </w:p>
                        <w:p w14:paraId="52F45667" w14:textId="77777777" w:rsidR="007C049C" w:rsidRDefault="007C049C">
                          <w:pPr>
                            <w:pStyle w:val="WitregelW1"/>
                          </w:pPr>
                        </w:p>
                        <w:p w14:paraId="02A394F9" w14:textId="2C2C2672" w:rsidR="00377268" w:rsidRDefault="001136C4">
                          <w:pPr>
                            <w:pStyle w:val="Referentiegegevens"/>
                          </w:pPr>
                          <w:r>
                            <w:fldChar w:fldCharType="begin"/>
                          </w:r>
                          <w:r>
                            <w:instrText xml:space="preserve"> DOCPROPERTY  "iCC"  \* MERGEFORMAT </w:instrText>
                          </w:r>
                          <w:r>
                            <w:fldChar w:fldCharType="end"/>
                          </w:r>
                        </w:p>
                        <w:p w14:paraId="5896C8FB" w14:textId="77777777" w:rsidR="007C049C" w:rsidRDefault="007C049C">
                          <w:pPr>
                            <w:pStyle w:val="WitregelW1"/>
                          </w:pPr>
                        </w:p>
                        <w:p w14:paraId="2BA92BB0" w14:textId="060E9359" w:rsidR="00377268" w:rsidRDefault="001136C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ADDB73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FB22B98" w14:textId="77777777" w:rsidR="007C049C" w:rsidRPr="00BC520A" w:rsidRDefault="00704F85">
                    <w:pPr>
                      <w:pStyle w:val="Afzendgegevens"/>
                      <w:rPr>
                        <w:lang w:val="de-DE"/>
                      </w:rPr>
                    </w:pPr>
                    <w:r w:rsidRPr="00BC520A">
                      <w:rPr>
                        <w:lang w:val="de-DE"/>
                      </w:rPr>
                      <w:t>Postbus 90801</w:t>
                    </w:r>
                  </w:p>
                  <w:p w14:paraId="113F28E8" w14:textId="77777777" w:rsidR="007C049C" w:rsidRPr="00BC520A" w:rsidRDefault="00704F85">
                    <w:pPr>
                      <w:pStyle w:val="Afzendgegevens"/>
                      <w:rPr>
                        <w:lang w:val="de-DE"/>
                      </w:rPr>
                    </w:pPr>
                    <w:r w:rsidRPr="00BC520A">
                      <w:rPr>
                        <w:lang w:val="de-DE"/>
                      </w:rPr>
                      <w:t>2509 LV  Den Haag</w:t>
                    </w:r>
                  </w:p>
                  <w:p w14:paraId="3F111915" w14:textId="77777777" w:rsidR="007C049C" w:rsidRPr="00BC520A" w:rsidRDefault="00704F85">
                    <w:pPr>
                      <w:pStyle w:val="Afzendgegevens"/>
                      <w:rPr>
                        <w:lang w:val="de-DE"/>
                      </w:rPr>
                    </w:pPr>
                    <w:r w:rsidRPr="00BC520A">
                      <w:rPr>
                        <w:lang w:val="de-DE"/>
                      </w:rPr>
                      <w:t>T   070 333 44 44</w:t>
                    </w:r>
                  </w:p>
                  <w:p w14:paraId="0DFC1B71" w14:textId="77777777" w:rsidR="007C049C" w:rsidRPr="00BC520A" w:rsidRDefault="007C049C">
                    <w:pPr>
                      <w:pStyle w:val="WitregelW2"/>
                      <w:rPr>
                        <w:lang w:val="de-DE"/>
                      </w:rPr>
                    </w:pPr>
                  </w:p>
                  <w:p w14:paraId="1BB5653E" w14:textId="77777777" w:rsidR="007C049C" w:rsidRDefault="00704F85">
                    <w:pPr>
                      <w:pStyle w:val="Referentiegegevenskopjes"/>
                    </w:pPr>
                    <w:r>
                      <w:t>Onze referentie</w:t>
                    </w:r>
                  </w:p>
                  <w:p w14:paraId="18F9AEED" w14:textId="79EF4C75" w:rsidR="00377268" w:rsidRDefault="001136C4">
                    <w:pPr>
                      <w:pStyle w:val="ReferentiegegevensHL"/>
                    </w:pPr>
                    <w:fldSimple w:instr=" DOCPROPERTY  &quot;iOnsKenmerk&quot;  \* MERGEFORMAT ">
                      <w:r w:rsidR="002A2129">
                        <w:t>2024-0000934513</w:t>
                      </w:r>
                    </w:fldSimple>
                  </w:p>
                  <w:p w14:paraId="3DB884CD" w14:textId="77777777" w:rsidR="007C049C" w:rsidRDefault="007C049C">
                    <w:pPr>
                      <w:pStyle w:val="WitregelW1"/>
                    </w:pPr>
                  </w:p>
                  <w:p w14:paraId="13D9420A" w14:textId="77777777" w:rsidR="001136C4" w:rsidRPr="001136C4" w:rsidRDefault="001136C4" w:rsidP="001136C4"/>
                  <w:p w14:paraId="6ACB89FB" w14:textId="77777777" w:rsidR="007C049C" w:rsidRDefault="00704F85">
                    <w:pPr>
                      <w:pStyle w:val="Referentiegegevenskopjes"/>
                    </w:pPr>
                    <w:r>
                      <w:t>Uw referentie</w:t>
                    </w:r>
                  </w:p>
                  <w:p w14:paraId="1D795666" w14:textId="15F8AD56" w:rsidR="00377268" w:rsidRDefault="001136C4">
                    <w:pPr>
                      <w:pStyle w:val="Referentiegegevens"/>
                    </w:pPr>
                    <w:fldSimple w:instr=" DOCPROPERTY  &quot;iUwBrief&quot;  \* MERGEFORMAT ">
                      <w:r w:rsidR="002A2129">
                        <w:t>2024Z17409</w:t>
                      </w:r>
                    </w:fldSimple>
                  </w:p>
                  <w:p w14:paraId="52F45667" w14:textId="77777777" w:rsidR="007C049C" w:rsidRDefault="007C049C">
                    <w:pPr>
                      <w:pStyle w:val="WitregelW1"/>
                    </w:pPr>
                  </w:p>
                  <w:p w14:paraId="02A394F9" w14:textId="2C2C2672" w:rsidR="00377268" w:rsidRDefault="001136C4">
                    <w:pPr>
                      <w:pStyle w:val="Referentiegegevens"/>
                    </w:pPr>
                    <w:r>
                      <w:fldChar w:fldCharType="begin"/>
                    </w:r>
                    <w:r>
                      <w:instrText xml:space="preserve"> DOCPROPERTY  "iCC"  \* MERGEFORMAT </w:instrText>
                    </w:r>
                    <w:r>
                      <w:fldChar w:fldCharType="end"/>
                    </w:r>
                  </w:p>
                  <w:p w14:paraId="5896C8FB" w14:textId="77777777" w:rsidR="007C049C" w:rsidRDefault="007C049C">
                    <w:pPr>
                      <w:pStyle w:val="WitregelW1"/>
                    </w:pPr>
                  </w:p>
                  <w:p w14:paraId="2BA92BB0" w14:textId="060E9359" w:rsidR="00377268" w:rsidRDefault="001136C4">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72F6CA4" wp14:editId="3167A6A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CEDB668" w14:textId="77777777" w:rsidR="007C049C" w:rsidRDefault="00704F8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72F6CA4"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CEDB668" w14:textId="77777777" w:rsidR="007C049C" w:rsidRDefault="00704F8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70E453" wp14:editId="35F442E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9546835" w14:textId="77777777" w:rsidR="007C049C" w:rsidRDefault="00704F85">
                          <w:r>
                            <w:t>De voorzitter van de Tweede Kamer der Staten-Generaal</w:t>
                          </w:r>
                        </w:p>
                        <w:p w14:paraId="562E8707" w14:textId="77777777" w:rsidR="007C049C" w:rsidRDefault="00704F85">
                          <w:r>
                            <w:t>Prinses Irenestraat 6</w:t>
                          </w:r>
                        </w:p>
                        <w:p w14:paraId="51FF0636" w14:textId="77777777" w:rsidR="007C049C" w:rsidRDefault="00704F85">
                          <w:r>
                            <w:t>2595 BD  Den Haag</w:t>
                          </w:r>
                        </w:p>
                      </w:txbxContent>
                    </wps:txbx>
                    <wps:bodyPr vert="horz" wrap="square" lIns="0" tIns="0" rIns="0" bIns="0" anchor="t" anchorCtr="0"/>
                  </wps:wsp>
                </a:graphicData>
              </a:graphic>
            </wp:anchor>
          </w:drawing>
        </mc:Choice>
        <mc:Fallback>
          <w:pict>
            <v:shape w14:anchorId="7070E453"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9546835" w14:textId="77777777" w:rsidR="007C049C" w:rsidRDefault="00704F85">
                    <w:r>
                      <w:t>De voorzitter van de Tweede Kamer der Staten-Generaal</w:t>
                    </w:r>
                  </w:p>
                  <w:p w14:paraId="562E8707" w14:textId="77777777" w:rsidR="007C049C" w:rsidRDefault="00704F85">
                    <w:r>
                      <w:t>Prinses Irenestraat 6</w:t>
                    </w:r>
                  </w:p>
                  <w:p w14:paraId="51FF0636" w14:textId="77777777" w:rsidR="007C049C" w:rsidRDefault="00704F85">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B88B2F" wp14:editId="20C08B6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C049C" w14:paraId="647FAE49" w14:textId="77777777">
                            <w:trPr>
                              <w:trHeight w:val="200"/>
                            </w:trPr>
                            <w:tc>
                              <w:tcPr>
                                <w:tcW w:w="1134" w:type="dxa"/>
                              </w:tcPr>
                              <w:p w14:paraId="31CA6A6D" w14:textId="77777777" w:rsidR="007C049C" w:rsidRDefault="007C049C"/>
                            </w:tc>
                            <w:tc>
                              <w:tcPr>
                                <w:tcW w:w="5244" w:type="dxa"/>
                              </w:tcPr>
                              <w:p w14:paraId="3D619AE2" w14:textId="77777777" w:rsidR="007C049C" w:rsidRDefault="007C049C"/>
                            </w:tc>
                          </w:tr>
                          <w:tr w:rsidR="007C049C" w14:paraId="265D0112" w14:textId="77777777">
                            <w:trPr>
                              <w:trHeight w:val="240"/>
                            </w:trPr>
                            <w:tc>
                              <w:tcPr>
                                <w:tcW w:w="1134" w:type="dxa"/>
                              </w:tcPr>
                              <w:p w14:paraId="114E0CBA" w14:textId="77777777" w:rsidR="007C049C" w:rsidRDefault="00704F85">
                                <w:r>
                                  <w:t>Datum</w:t>
                                </w:r>
                              </w:p>
                            </w:tc>
                            <w:tc>
                              <w:tcPr>
                                <w:tcW w:w="5244" w:type="dxa"/>
                              </w:tcPr>
                              <w:p w14:paraId="7A4AE5C0" w14:textId="042E6D03" w:rsidR="00377268" w:rsidRDefault="001136C4">
                                <w:fldSimple w:instr=" DOCPROPERTY  &quot;iDatum&quot;  \* MERGEFORMAT ">
                                  <w:r w:rsidR="002A2129">
                                    <w:t>27 januari 2025</w:t>
                                  </w:r>
                                </w:fldSimple>
                              </w:p>
                            </w:tc>
                          </w:tr>
                          <w:tr w:rsidR="007C049C" w14:paraId="4BD3CD85" w14:textId="77777777">
                            <w:trPr>
                              <w:trHeight w:val="240"/>
                            </w:trPr>
                            <w:tc>
                              <w:tcPr>
                                <w:tcW w:w="1134" w:type="dxa"/>
                              </w:tcPr>
                              <w:p w14:paraId="58FECF01" w14:textId="77777777" w:rsidR="007C049C" w:rsidRDefault="00704F85">
                                <w:r>
                                  <w:t>Betreft</w:t>
                                </w:r>
                              </w:p>
                            </w:tc>
                            <w:tc>
                              <w:tcPr>
                                <w:tcW w:w="5244" w:type="dxa"/>
                              </w:tcPr>
                              <w:p w14:paraId="42582D6F" w14:textId="41A58FF0" w:rsidR="00377268" w:rsidRDefault="001136C4">
                                <w:fldSimple w:instr=" DOCPROPERTY  &quot;iOnderwerp&quot;  \* MERGEFORMAT ">
                                  <w:r w:rsidR="002A2129">
                                    <w:t>Beantwoording Kamervragen over overwerktoeslag voor deeltijdwerkers</w:t>
                                  </w:r>
                                </w:fldSimple>
                              </w:p>
                            </w:tc>
                          </w:tr>
                          <w:tr w:rsidR="007C049C" w14:paraId="290F40BD" w14:textId="77777777">
                            <w:trPr>
                              <w:trHeight w:val="200"/>
                            </w:trPr>
                            <w:tc>
                              <w:tcPr>
                                <w:tcW w:w="1134" w:type="dxa"/>
                              </w:tcPr>
                              <w:p w14:paraId="17804B20" w14:textId="77777777" w:rsidR="007C049C" w:rsidRDefault="007C049C"/>
                            </w:tc>
                            <w:tc>
                              <w:tcPr>
                                <w:tcW w:w="5244" w:type="dxa"/>
                              </w:tcPr>
                              <w:p w14:paraId="2FCEBC01" w14:textId="77777777" w:rsidR="007C049C" w:rsidRDefault="007C049C"/>
                            </w:tc>
                          </w:tr>
                        </w:tbl>
                        <w:p w14:paraId="49336C59" w14:textId="77777777" w:rsidR="00704F85" w:rsidRDefault="00704F85"/>
                      </w:txbxContent>
                    </wps:txbx>
                    <wps:bodyPr vert="horz" wrap="square" lIns="0" tIns="0" rIns="0" bIns="0" anchor="t" anchorCtr="0"/>
                  </wps:wsp>
                </a:graphicData>
              </a:graphic>
            </wp:anchor>
          </w:drawing>
        </mc:Choice>
        <mc:Fallback>
          <w:pict>
            <v:shape w14:anchorId="76B88B2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C049C" w14:paraId="647FAE49" w14:textId="77777777">
                      <w:trPr>
                        <w:trHeight w:val="200"/>
                      </w:trPr>
                      <w:tc>
                        <w:tcPr>
                          <w:tcW w:w="1134" w:type="dxa"/>
                        </w:tcPr>
                        <w:p w14:paraId="31CA6A6D" w14:textId="77777777" w:rsidR="007C049C" w:rsidRDefault="007C049C"/>
                      </w:tc>
                      <w:tc>
                        <w:tcPr>
                          <w:tcW w:w="5244" w:type="dxa"/>
                        </w:tcPr>
                        <w:p w14:paraId="3D619AE2" w14:textId="77777777" w:rsidR="007C049C" w:rsidRDefault="007C049C"/>
                      </w:tc>
                    </w:tr>
                    <w:tr w:rsidR="007C049C" w14:paraId="265D0112" w14:textId="77777777">
                      <w:trPr>
                        <w:trHeight w:val="240"/>
                      </w:trPr>
                      <w:tc>
                        <w:tcPr>
                          <w:tcW w:w="1134" w:type="dxa"/>
                        </w:tcPr>
                        <w:p w14:paraId="114E0CBA" w14:textId="77777777" w:rsidR="007C049C" w:rsidRDefault="00704F85">
                          <w:r>
                            <w:t>Datum</w:t>
                          </w:r>
                        </w:p>
                      </w:tc>
                      <w:tc>
                        <w:tcPr>
                          <w:tcW w:w="5244" w:type="dxa"/>
                        </w:tcPr>
                        <w:p w14:paraId="7A4AE5C0" w14:textId="042E6D03" w:rsidR="00377268" w:rsidRDefault="001136C4">
                          <w:fldSimple w:instr=" DOCPROPERTY  &quot;iDatum&quot;  \* MERGEFORMAT ">
                            <w:r w:rsidR="002A2129">
                              <w:t>27 januari 2025</w:t>
                            </w:r>
                          </w:fldSimple>
                        </w:p>
                      </w:tc>
                    </w:tr>
                    <w:tr w:rsidR="007C049C" w14:paraId="4BD3CD85" w14:textId="77777777">
                      <w:trPr>
                        <w:trHeight w:val="240"/>
                      </w:trPr>
                      <w:tc>
                        <w:tcPr>
                          <w:tcW w:w="1134" w:type="dxa"/>
                        </w:tcPr>
                        <w:p w14:paraId="58FECF01" w14:textId="77777777" w:rsidR="007C049C" w:rsidRDefault="00704F85">
                          <w:r>
                            <w:t>Betreft</w:t>
                          </w:r>
                        </w:p>
                      </w:tc>
                      <w:tc>
                        <w:tcPr>
                          <w:tcW w:w="5244" w:type="dxa"/>
                        </w:tcPr>
                        <w:p w14:paraId="42582D6F" w14:textId="41A58FF0" w:rsidR="00377268" w:rsidRDefault="001136C4">
                          <w:fldSimple w:instr=" DOCPROPERTY  &quot;iOnderwerp&quot;  \* MERGEFORMAT ">
                            <w:r w:rsidR="002A2129">
                              <w:t>Beantwoording Kamervragen over overwerktoeslag voor deeltijdwerkers</w:t>
                            </w:r>
                          </w:fldSimple>
                        </w:p>
                      </w:tc>
                    </w:tr>
                    <w:tr w:rsidR="007C049C" w14:paraId="290F40BD" w14:textId="77777777">
                      <w:trPr>
                        <w:trHeight w:val="200"/>
                      </w:trPr>
                      <w:tc>
                        <w:tcPr>
                          <w:tcW w:w="1134" w:type="dxa"/>
                        </w:tcPr>
                        <w:p w14:paraId="17804B20" w14:textId="77777777" w:rsidR="007C049C" w:rsidRDefault="007C049C"/>
                      </w:tc>
                      <w:tc>
                        <w:tcPr>
                          <w:tcW w:w="5244" w:type="dxa"/>
                        </w:tcPr>
                        <w:p w14:paraId="2FCEBC01" w14:textId="77777777" w:rsidR="007C049C" w:rsidRDefault="007C049C"/>
                      </w:tc>
                    </w:tr>
                  </w:tbl>
                  <w:p w14:paraId="49336C59" w14:textId="77777777" w:rsidR="00704F85" w:rsidRDefault="00704F8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B0B5AD" wp14:editId="37367DB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426997" w14:textId="77777777" w:rsidR="00377268" w:rsidRDefault="001136C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B0B5A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D426997" w14:textId="77777777" w:rsidR="00377268" w:rsidRDefault="001136C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A65B81"/>
    <w:multiLevelType w:val="multilevel"/>
    <w:tmpl w:val="C1488A7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8E70A5"/>
    <w:multiLevelType w:val="multilevel"/>
    <w:tmpl w:val="356CDA0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BB7CFE"/>
    <w:multiLevelType w:val="multilevel"/>
    <w:tmpl w:val="7AF603A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83BBA8"/>
    <w:multiLevelType w:val="multilevel"/>
    <w:tmpl w:val="1965C1D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69F80E1"/>
    <w:multiLevelType w:val="multilevel"/>
    <w:tmpl w:val="A22A33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0000403"/>
    <w:multiLevelType w:val="multilevel"/>
    <w:tmpl w:val="FFFFFFFF"/>
    <w:lvl w:ilvl="0">
      <w:start w:val="1"/>
      <w:numFmt w:val="decimal"/>
      <w:lvlText w:val="%1)"/>
      <w:lvlJc w:val="left"/>
      <w:pPr>
        <w:ind w:left="115" w:hanging="260"/>
      </w:pPr>
      <w:rPr>
        <w:rFonts w:ascii="Verdana" w:hAnsi="Verdana" w:cs="Verdana"/>
        <w:b w:val="0"/>
        <w:bCs w:val="0"/>
        <w:i w:val="0"/>
        <w:iCs w:val="0"/>
        <w:spacing w:val="-1"/>
        <w:w w:val="100"/>
        <w:sz w:val="18"/>
        <w:szCs w:val="18"/>
      </w:rPr>
    </w:lvl>
    <w:lvl w:ilvl="1">
      <w:numFmt w:val="bullet"/>
      <w:lvlText w:val="•"/>
      <w:lvlJc w:val="left"/>
      <w:pPr>
        <w:ind w:left="1032" w:hanging="260"/>
      </w:pPr>
    </w:lvl>
    <w:lvl w:ilvl="2">
      <w:numFmt w:val="bullet"/>
      <w:lvlText w:val="•"/>
      <w:lvlJc w:val="left"/>
      <w:pPr>
        <w:ind w:left="1945" w:hanging="260"/>
      </w:pPr>
    </w:lvl>
    <w:lvl w:ilvl="3">
      <w:numFmt w:val="bullet"/>
      <w:lvlText w:val="•"/>
      <w:lvlJc w:val="left"/>
      <w:pPr>
        <w:ind w:left="2857" w:hanging="260"/>
      </w:pPr>
    </w:lvl>
    <w:lvl w:ilvl="4">
      <w:numFmt w:val="bullet"/>
      <w:lvlText w:val="•"/>
      <w:lvlJc w:val="left"/>
      <w:pPr>
        <w:ind w:left="3770" w:hanging="260"/>
      </w:pPr>
    </w:lvl>
    <w:lvl w:ilvl="5">
      <w:numFmt w:val="bullet"/>
      <w:lvlText w:val="•"/>
      <w:lvlJc w:val="left"/>
      <w:pPr>
        <w:ind w:left="4682" w:hanging="260"/>
      </w:pPr>
    </w:lvl>
    <w:lvl w:ilvl="6">
      <w:numFmt w:val="bullet"/>
      <w:lvlText w:val="•"/>
      <w:lvlJc w:val="left"/>
      <w:pPr>
        <w:ind w:left="5595" w:hanging="260"/>
      </w:pPr>
    </w:lvl>
    <w:lvl w:ilvl="7">
      <w:numFmt w:val="bullet"/>
      <w:lvlText w:val="•"/>
      <w:lvlJc w:val="left"/>
      <w:pPr>
        <w:ind w:left="6507" w:hanging="260"/>
      </w:pPr>
    </w:lvl>
    <w:lvl w:ilvl="8">
      <w:numFmt w:val="bullet"/>
      <w:lvlText w:val="•"/>
      <w:lvlJc w:val="left"/>
      <w:pPr>
        <w:ind w:left="7420" w:hanging="260"/>
      </w:pPr>
    </w:lvl>
  </w:abstractNum>
  <w:abstractNum w:abstractNumId="6" w15:restartNumberingAfterBreak="0">
    <w:nsid w:val="0BAFA220"/>
    <w:multiLevelType w:val="multilevel"/>
    <w:tmpl w:val="90508FC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7E69AD"/>
    <w:multiLevelType w:val="multilevel"/>
    <w:tmpl w:val="A55C7F4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89AEAD"/>
    <w:multiLevelType w:val="multilevel"/>
    <w:tmpl w:val="422E15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3741431">
    <w:abstractNumId w:val="2"/>
  </w:num>
  <w:num w:numId="2" w16cid:durableId="914364984">
    <w:abstractNumId w:val="3"/>
  </w:num>
  <w:num w:numId="3" w16cid:durableId="542644791">
    <w:abstractNumId w:val="4"/>
  </w:num>
  <w:num w:numId="4" w16cid:durableId="243103932">
    <w:abstractNumId w:val="8"/>
  </w:num>
  <w:num w:numId="5" w16cid:durableId="374937841">
    <w:abstractNumId w:val="6"/>
  </w:num>
  <w:num w:numId="6" w16cid:durableId="1820533823">
    <w:abstractNumId w:val="1"/>
  </w:num>
  <w:num w:numId="7" w16cid:durableId="1206059371">
    <w:abstractNumId w:val="0"/>
  </w:num>
  <w:num w:numId="8" w16cid:durableId="138152561">
    <w:abstractNumId w:val="7"/>
  </w:num>
  <w:num w:numId="9" w16cid:durableId="661813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9C"/>
    <w:rsid w:val="00023B51"/>
    <w:rsid w:val="00031238"/>
    <w:rsid w:val="000B3241"/>
    <w:rsid w:val="000E5CC7"/>
    <w:rsid w:val="001136C4"/>
    <w:rsid w:val="00117881"/>
    <w:rsid w:val="001A2C75"/>
    <w:rsid w:val="001B20AB"/>
    <w:rsid w:val="0026698F"/>
    <w:rsid w:val="00273A9F"/>
    <w:rsid w:val="00280247"/>
    <w:rsid w:val="002A2129"/>
    <w:rsid w:val="002C4CE6"/>
    <w:rsid w:val="003513AE"/>
    <w:rsid w:val="00362494"/>
    <w:rsid w:val="00377268"/>
    <w:rsid w:val="003D17A3"/>
    <w:rsid w:val="00423E4F"/>
    <w:rsid w:val="004374E5"/>
    <w:rsid w:val="00465B9B"/>
    <w:rsid w:val="004B4D40"/>
    <w:rsid w:val="004E5AFD"/>
    <w:rsid w:val="00642F1C"/>
    <w:rsid w:val="006B11AE"/>
    <w:rsid w:val="006D17C4"/>
    <w:rsid w:val="006F6D28"/>
    <w:rsid w:val="00704F85"/>
    <w:rsid w:val="007102AE"/>
    <w:rsid w:val="00723084"/>
    <w:rsid w:val="00727124"/>
    <w:rsid w:val="007A4177"/>
    <w:rsid w:val="007C049C"/>
    <w:rsid w:val="007E23F0"/>
    <w:rsid w:val="0081774E"/>
    <w:rsid w:val="00822E71"/>
    <w:rsid w:val="009164F3"/>
    <w:rsid w:val="00997389"/>
    <w:rsid w:val="00A64D3E"/>
    <w:rsid w:val="00A81CC1"/>
    <w:rsid w:val="00AF03E1"/>
    <w:rsid w:val="00B0457F"/>
    <w:rsid w:val="00B32E2B"/>
    <w:rsid w:val="00B66D05"/>
    <w:rsid w:val="00BC2759"/>
    <w:rsid w:val="00BC520A"/>
    <w:rsid w:val="00BE6C1C"/>
    <w:rsid w:val="00C459F2"/>
    <w:rsid w:val="00CC3EBD"/>
    <w:rsid w:val="00CD6CAA"/>
    <w:rsid w:val="00D15446"/>
    <w:rsid w:val="00D17AA8"/>
    <w:rsid w:val="00D37960"/>
    <w:rsid w:val="00D57765"/>
    <w:rsid w:val="00D81823"/>
    <w:rsid w:val="00DB3450"/>
    <w:rsid w:val="00E74732"/>
    <w:rsid w:val="00E77FA8"/>
    <w:rsid w:val="00E9450D"/>
    <w:rsid w:val="00EB689D"/>
    <w:rsid w:val="00FB1AF0"/>
    <w:rsid w:val="00FD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4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6698F"/>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26698F"/>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26698F"/>
    <w:rPr>
      <w:vertAlign w:val="superscript"/>
    </w:rPr>
  </w:style>
  <w:style w:type="character" w:styleId="Verwijzingopmerking">
    <w:name w:val="annotation reference"/>
    <w:basedOn w:val="Standaardalinea-lettertype"/>
    <w:uiPriority w:val="99"/>
    <w:semiHidden/>
    <w:unhideWhenUsed/>
    <w:rsid w:val="0026698F"/>
    <w:rPr>
      <w:sz w:val="16"/>
      <w:szCs w:val="16"/>
    </w:rPr>
  </w:style>
  <w:style w:type="paragraph" w:styleId="Tekstopmerking">
    <w:name w:val="annotation text"/>
    <w:basedOn w:val="Standaard"/>
    <w:link w:val="TekstopmerkingChar"/>
    <w:uiPriority w:val="99"/>
    <w:unhideWhenUsed/>
    <w:rsid w:val="0026698F"/>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26698F"/>
    <w:rPr>
      <w:rFonts w:ascii="Verdana" w:eastAsiaTheme="minorHAnsi" w:hAnsi="Verdana" w:cstheme="minorBidi"/>
      <w:lang w:val="en-US" w:eastAsia="en-US"/>
    </w:rPr>
  </w:style>
  <w:style w:type="paragraph" w:styleId="Geenafstand">
    <w:name w:val="No Spacing"/>
    <w:uiPriority w:val="1"/>
    <w:qFormat/>
    <w:rsid w:val="0026698F"/>
    <w:pPr>
      <w:autoSpaceDN/>
      <w:textAlignment w:val="auto"/>
    </w:pPr>
    <w:rPr>
      <w:rFonts w:asciiTheme="minorHAnsi" w:eastAsiaTheme="minorHAnsi" w:hAnsiTheme="minorHAnsi" w:cstheme="minorBidi"/>
      <w:sz w:val="22"/>
      <w:szCs w:val="22"/>
      <w:lang w:eastAsia="en-US"/>
    </w:rPr>
  </w:style>
  <w:style w:type="paragraph" w:customStyle="1" w:styleId="Default">
    <w:name w:val="Default"/>
    <w:rsid w:val="0026698F"/>
    <w:pPr>
      <w:autoSpaceDE w:val="0"/>
      <w:adjustRightInd w:val="0"/>
      <w:textAlignment w:val="auto"/>
    </w:pPr>
    <w:rPr>
      <w:rFonts w:ascii="Verdana" w:eastAsiaTheme="minorHAnsi" w:hAnsi="Verdana" w:cs="Verdana"/>
      <w:color w:val="000000"/>
      <w:sz w:val="24"/>
      <w:szCs w:val="24"/>
      <w:lang w:eastAsia="en-US"/>
    </w:rPr>
  </w:style>
  <w:style w:type="paragraph" w:styleId="Revisie">
    <w:name w:val="Revision"/>
    <w:hidden/>
    <w:uiPriority w:val="99"/>
    <w:semiHidden/>
    <w:rsid w:val="006F6D2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B3241"/>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0B3241"/>
    <w:rPr>
      <w:rFonts w:ascii="Verdana" w:eastAsiaTheme="minorHAnsi" w:hAnsi="Verdana" w:cstheme="minorBidi"/>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1307</ap:Words>
  <ap:Characters>7191</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Kamer - Kamervragen van het lid Patijn (GroenLinks-PvdA) over overwerktoeslag voor deeltijdwerkers</vt:lpstr>
    </vt:vector>
  </ap:TitlesOfParts>
  <ap:LinksUpToDate>false</ap:LinksUpToDate>
  <ap:CharactersWithSpaces>8482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2025-01-15T11:32:00.0000000Z</dcterms:created>
  <dcterms:modified xsi:type="dcterms:W3CDTF">2025-01-24T09:49:00.0000000Z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Patijn (GroenLinks-PvdA) over overwerktoeslag voor deeltijdwerkers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E.C.M. Dik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27 januari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overwerktoeslag voor deeltijdwerkers</vt:lpwstr>
  </property>
  <property fmtid="{D5CDD505-2E9C-101B-9397-08002B2CF9AE}" pid="36" name="iOnsKenmerk">
    <vt:lpwstr>2024-0000934513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2024Z17409</vt:lpwstr>
  </property>
</Properties>
</file>