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2025Z01275</w:t>
        <w:br/>
      </w:r>
      <w:proofErr w:type="spellEnd"/>
    </w:p>
    <w:p>
      <w:pPr>
        <w:pStyle w:val="Normal"/>
        <w:rPr>
          <w:b w:val="1"/>
          <w:bCs w:val="1"/>
        </w:rPr>
      </w:pPr>
      <w:r w:rsidR="250AE766">
        <w:rPr>
          <w:b w:val="0"/>
          <w:bCs w:val="0"/>
        </w:rPr>
        <w:t>(ingezonden 27 januari 2025)</w:t>
        <w:br/>
      </w:r>
    </w:p>
    <w:p>
      <w:r>
        <w:t xml:space="preserve">Vragen van het lid Patijn (GroenLinks-PvdA) aan de minister van Sociale Zaken en Werkgelegenheid over bezuinigingen op de uitvoering van de sociale zekerheid</w:t>
      </w:r>
      <w:r>
        <w:br/>
      </w:r>
    </w:p>
    <w:p>
      <w:pPr>
        <w:pStyle w:val="ListParagraph"/>
        <w:numPr>
          <w:ilvl w:val="0"/>
          <w:numId w:val="100466450"/>
        </w:numPr>
        <w:ind w:left="360"/>
      </w:pPr>
      <w:r>
        <w:t>Wat is de exacte invulling van de taakstelling van de bezuiniging van 22% op de uitvoering? Kunt u de Kamer hier in ieder geval voor het volgende commissiedebat Uitvoering sociale zekerheid over informeren?</w:t>
      </w:r>
      <w:r>
        <w:br/>
      </w:r>
    </w:p>
    <w:p>
      <w:pPr>
        <w:pStyle w:val="ListParagraph"/>
        <w:numPr>
          <w:ilvl w:val="0"/>
          <w:numId w:val="100466450"/>
        </w:numPr>
        <w:ind w:left="360"/>
      </w:pPr>
      <w:r>
        <w:t>Klopt het dat als gevolg van de zogeheten ‘onderwijsdeal’ 34 miljoen extra bezuinigd wordt op uitvoeringsinstanties?</w:t>
      </w:r>
      <w:r>
        <w:br/>
      </w:r>
    </w:p>
    <w:p>
      <w:pPr>
        <w:pStyle w:val="ListParagraph"/>
        <w:numPr>
          <w:ilvl w:val="0"/>
          <w:numId w:val="100466450"/>
        </w:numPr>
        <w:ind w:left="360"/>
      </w:pPr>
      <w:r>
        <w:t>Hoeveel wordt er nu in totaal bezuinigd op de uitvoering?</w:t>
      </w:r>
      <w:r>
        <w:br/>
      </w:r>
    </w:p>
    <w:p>
      <w:pPr>
        <w:pStyle w:val="ListParagraph"/>
        <w:numPr>
          <w:ilvl w:val="0"/>
          <w:numId w:val="100466450"/>
        </w:numPr>
        <w:ind w:left="360"/>
      </w:pPr>
      <w:r>
        <w:t>Hoe verhoudt dit zich op de afspraak in het Hoofdlijnenakkoord dat niet bezuinigd wordt op uitvoeringsinstanties?</w:t>
      </w:r>
      <w:r>
        <w:br/>
      </w:r>
    </w:p>
    <w:p>
      <w:pPr>
        <w:pStyle w:val="ListParagraph"/>
        <w:numPr>
          <w:ilvl w:val="0"/>
          <w:numId w:val="100466450"/>
        </w:numPr>
        <w:ind w:left="360"/>
      </w:pPr>
      <w:r>
        <w:t>Op welke organisaties wordt er, naast de expliciet genoemde SVB en UWV, op bezuinigd? Op welke manier wordt de bezuiniging verdeeld over de verschillende uitvoeringsorganisaties?</w:t>
      </w:r>
      <w:r>
        <w:br/>
      </w:r>
    </w:p>
    <w:p>
      <w:pPr>
        <w:pStyle w:val="ListParagraph"/>
        <w:numPr>
          <w:ilvl w:val="0"/>
          <w:numId w:val="100466450"/>
        </w:numPr>
        <w:ind w:left="360"/>
      </w:pPr>
      <w:r>
        <w:t>Kunt u garanderen dat de oorspronkelijke bezuiniging in combinatie met deze extra bezuiniging op de uitvoering geen impact zullen hebben op de hersteloperaties die het UWV moet uitvoeren? Zo nee, wat is de verwachte impact?</w:t>
      </w:r>
      <w:r>
        <w:br/>
      </w:r>
    </w:p>
    <w:p>
      <w:pPr>
        <w:pStyle w:val="ListParagraph"/>
        <w:numPr>
          <w:ilvl w:val="0"/>
          <w:numId w:val="100466450"/>
        </w:numPr>
        <w:ind w:left="360"/>
      </w:pPr>
      <w:r>
        <w:t>Kunt u deze vragen beantwoorden voor het volgende commissiedebat Uitvoering sociale zekerheid?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400">
    <w:abstractNumId w:val="100466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