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D1E" w:rsidP="00610998" w:rsidRDefault="009B1E45" w14:paraId="75B5BCD0" w14:textId="77777777">
      <w:pPr>
        <w:spacing w:line="276" w:lineRule="auto"/>
      </w:pPr>
      <w:r>
        <w:t>Geachte voorzitter,</w:t>
      </w:r>
    </w:p>
    <w:p w:rsidR="00317D1E" w:rsidP="00610998" w:rsidRDefault="00317D1E" w14:paraId="75B5BCD1" w14:textId="77777777">
      <w:pPr>
        <w:spacing w:line="276" w:lineRule="auto"/>
      </w:pPr>
    </w:p>
    <w:p w:rsidR="009B1E45" w:rsidP="00610998" w:rsidRDefault="00487669" w14:paraId="1354FE51" w14:textId="2CFDE721">
      <w:pPr>
        <w:spacing w:line="276" w:lineRule="auto"/>
      </w:pPr>
      <w:r>
        <w:t xml:space="preserve">Met deze brief </w:t>
      </w:r>
      <w:r w:rsidR="005F71A3">
        <w:t>informeer ik uw Kamer</w:t>
      </w:r>
      <w:r w:rsidR="009B1E45">
        <w:t xml:space="preserve"> over de</w:t>
      </w:r>
      <w:r w:rsidR="005F71A3">
        <w:t xml:space="preserve"> voortzetting van de</w:t>
      </w:r>
      <w:r w:rsidR="009B1E45">
        <w:t xml:space="preserve"> </w:t>
      </w:r>
      <w:r w:rsidR="006C682C">
        <w:t>s</w:t>
      </w:r>
      <w:r w:rsidR="009B1E45">
        <w:t xml:space="preserve">ubsidieverlening ten behoeve van de begeleiding van Nederlandse gedetineerden in het buitenland. </w:t>
      </w:r>
      <w:r w:rsidR="00B13F58">
        <w:t xml:space="preserve">De verlenging van het </w:t>
      </w:r>
      <w:r w:rsidR="009B1E45">
        <w:t>huidige subsidiebeleidskader loopt af op 31 december 2025</w:t>
      </w:r>
      <w:r w:rsidR="00FE664E">
        <w:t>.</w:t>
      </w:r>
      <w:r w:rsidR="00713A46">
        <w:t xml:space="preserve"> </w:t>
      </w:r>
      <w:r w:rsidR="009B1E45">
        <w:t>Ik ben voornemens d</w:t>
      </w:r>
      <w:r w:rsidR="00B13F58">
        <w:t xml:space="preserve">e samenwerking met gespecialiseerde partners </w:t>
      </w:r>
      <w:r w:rsidR="006C682C">
        <w:t xml:space="preserve">voort te zetten </w:t>
      </w:r>
      <w:r w:rsidR="00B13F58">
        <w:t xml:space="preserve">met een nieuw </w:t>
      </w:r>
      <w:r w:rsidRPr="00B923C6" w:rsidR="00B13F58">
        <w:t>subsidiebeleidskader 2026-2030</w:t>
      </w:r>
      <w:r w:rsidR="006C682C">
        <w:t xml:space="preserve"> </w:t>
      </w:r>
      <w:r w:rsidRPr="00B923C6" w:rsidR="00B13F58">
        <w:t xml:space="preserve">gericht op het bevorderen van welzijn, </w:t>
      </w:r>
      <w:r w:rsidRPr="00B923C6" w:rsidR="00B923C6">
        <w:t>adequate rechtsgang</w:t>
      </w:r>
      <w:r w:rsidRPr="00B923C6" w:rsidR="00B13F58">
        <w:t xml:space="preserve"> en resocialisatie van de Nederlandse gedetineerden in het buitenland</w:t>
      </w:r>
      <w:r w:rsidRPr="00B923C6" w:rsidR="00DE409C">
        <w:t>. Dit besluit tot continuïteit</w:t>
      </w:r>
      <w:r w:rsidR="00F238D2">
        <w:t xml:space="preserve"> </w:t>
      </w:r>
      <w:r w:rsidR="00DE409C">
        <w:t>is in lijn met de aangenomen motie van de leden Van der Staaij en Sjoerdsma van 24 november 2022 (</w:t>
      </w:r>
      <w:r w:rsidR="0099602C">
        <w:t xml:space="preserve">Kamerstuk </w:t>
      </w:r>
      <w:r w:rsidR="001B5E73">
        <w:t>36200-V-47</w:t>
      </w:r>
      <w:r w:rsidR="00DE409C">
        <w:t>)</w:t>
      </w:r>
      <w:r w:rsidRPr="00C457ED" w:rsidR="009B1E45">
        <w:t>.</w:t>
      </w:r>
    </w:p>
    <w:p w:rsidR="00B923C6" w:rsidP="00610998" w:rsidRDefault="00B923C6" w14:paraId="6C500341" w14:textId="77777777">
      <w:pPr>
        <w:spacing w:line="276" w:lineRule="auto"/>
      </w:pPr>
    </w:p>
    <w:p w:rsidR="00416672" w:rsidP="00610998" w:rsidRDefault="00FE664E" w14:paraId="54605079" w14:textId="339F60B7">
      <w:pPr>
        <w:spacing w:line="276" w:lineRule="auto"/>
      </w:pPr>
      <w:r>
        <w:t xml:space="preserve">Het </w:t>
      </w:r>
      <w:r w:rsidR="00B13F58">
        <w:t xml:space="preserve">huidige </w:t>
      </w:r>
      <w:r>
        <w:t>subsidiebeleidskader is geëvalueerd</w:t>
      </w:r>
      <w:r w:rsidR="004C6682">
        <w:t xml:space="preserve"> door Prisonwatch</w:t>
      </w:r>
      <w:r w:rsidR="00ED3570">
        <w:rPr>
          <w:rStyle w:val="FootnoteReference"/>
        </w:rPr>
        <w:footnoteReference w:id="1"/>
      </w:r>
      <w:r>
        <w:t xml:space="preserve">, </w:t>
      </w:r>
      <w:r w:rsidR="00821743">
        <w:t xml:space="preserve">met als belangrijke conclusie </w:t>
      </w:r>
      <w:r w:rsidRPr="00DB7459">
        <w:t xml:space="preserve">dat de samenwerking tussen </w:t>
      </w:r>
      <w:r>
        <w:t xml:space="preserve">het </w:t>
      </w:r>
      <w:r w:rsidR="0099602C">
        <w:t>m</w:t>
      </w:r>
      <w:r>
        <w:t>inisterie van Buitenlandse Zaken</w:t>
      </w:r>
      <w:r w:rsidRPr="00DB7459">
        <w:t xml:space="preserve"> en de gespecialiseerde subsidiepartners goed werkt en zorgt voor synergie.</w:t>
      </w:r>
      <w:r w:rsidRPr="00FE664E">
        <w:t xml:space="preserve"> </w:t>
      </w:r>
      <w:r w:rsidR="00B13F58">
        <w:t>Aansluitend</w:t>
      </w:r>
      <w:r w:rsidR="001A6187">
        <w:t xml:space="preserve"> </w:t>
      </w:r>
      <w:r>
        <w:t xml:space="preserve">zijn alle </w:t>
      </w:r>
      <w:r w:rsidR="00B13F58">
        <w:t>subsidie</w:t>
      </w:r>
      <w:r>
        <w:t>partners</w:t>
      </w:r>
      <w:r>
        <w:rPr>
          <w:rStyle w:val="FootnoteReference"/>
        </w:rPr>
        <w:footnoteReference w:id="2"/>
      </w:r>
      <w:r>
        <w:t xml:space="preserve"> geconsulteerd. </w:t>
      </w:r>
      <w:r w:rsidRPr="00C457ED">
        <w:t>De uitkomsten van de</w:t>
      </w:r>
      <w:r w:rsidR="001A6187">
        <w:t xml:space="preserve"> evaluatie </w:t>
      </w:r>
      <w:r w:rsidR="004C6682">
        <w:t xml:space="preserve">en </w:t>
      </w:r>
      <w:r w:rsidR="001A6187">
        <w:t>de</w:t>
      </w:r>
      <w:r w:rsidRPr="00C457ED">
        <w:t xml:space="preserve"> consultatieronde worden meegenomen in de vorm</w:t>
      </w:r>
      <w:r w:rsidR="00821743">
        <w:t>gevi</w:t>
      </w:r>
      <w:r w:rsidRPr="00C457ED">
        <w:t>ng van het nieuwe subsidiebeleidskader</w:t>
      </w:r>
      <w:r w:rsidR="00416672">
        <w:t xml:space="preserve">. De belangrijkste uitgangspunten </w:t>
      </w:r>
      <w:r w:rsidR="00B923C6">
        <w:t>voor</w:t>
      </w:r>
      <w:r w:rsidR="00416672">
        <w:t xml:space="preserve"> </w:t>
      </w:r>
      <w:r w:rsidR="001B207C">
        <w:t xml:space="preserve">het nieuwe subsidiebeleidskader </w:t>
      </w:r>
      <w:r w:rsidR="00416672">
        <w:t>licht ik hieronder toe.</w:t>
      </w:r>
    </w:p>
    <w:p w:rsidR="00416672" w:rsidP="00610998" w:rsidRDefault="00416672" w14:paraId="1A5D3746" w14:textId="77777777">
      <w:pPr>
        <w:spacing w:line="276" w:lineRule="auto"/>
      </w:pPr>
    </w:p>
    <w:p w:rsidR="009B1E45" w:rsidP="00610998" w:rsidRDefault="00416672" w14:paraId="2DD1C104" w14:textId="45014AE2">
      <w:pPr>
        <w:spacing w:line="276" w:lineRule="auto"/>
      </w:pPr>
      <w:r>
        <w:t xml:space="preserve">Prioriteit </w:t>
      </w:r>
      <w:r w:rsidR="001B207C">
        <w:t xml:space="preserve">in het nieuwe subsidiekader </w:t>
      </w:r>
      <w:r>
        <w:t>wereldwijd blijven kwetsbare Nederlandse gedetineerden</w:t>
      </w:r>
      <w:r w:rsidR="00821743">
        <w:t xml:space="preserve">. Bij </w:t>
      </w:r>
      <w:r>
        <w:t xml:space="preserve">de te subsidiëren activiteiten </w:t>
      </w:r>
      <w:r w:rsidR="00821743">
        <w:t xml:space="preserve">wordt </w:t>
      </w:r>
      <w:r>
        <w:t>de focus op gedetineerden in zorglanden voortgezet</w:t>
      </w:r>
      <w:r w:rsidR="0099602C">
        <w:t>.</w:t>
      </w:r>
      <w:r w:rsidR="004D3C3E">
        <w:rPr>
          <w:rStyle w:val="FootnoteReference"/>
        </w:rPr>
        <w:footnoteReference w:id="3"/>
      </w:r>
      <w:r>
        <w:t xml:space="preserve"> </w:t>
      </w:r>
      <w:r w:rsidR="009B1E45">
        <w:t xml:space="preserve">Afweging hierbij zijn de inhumane(re) detentieomstandigheden, vaak langere </w:t>
      </w:r>
      <w:r w:rsidR="00821743">
        <w:t>gevangenis</w:t>
      </w:r>
      <w:r w:rsidR="009B1E45">
        <w:t xml:space="preserve">straffen en minder </w:t>
      </w:r>
      <w:r w:rsidR="00821743">
        <w:t xml:space="preserve">mogelijkheden tot </w:t>
      </w:r>
      <w:r w:rsidR="009B1E45">
        <w:t>frequent bezoek door familie of bekenden</w:t>
      </w:r>
      <w:r w:rsidR="00C009D9">
        <w:t xml:space="preserve"> v</w:t>
      </w:r>
      <w:r w:rsidR="00821743">
        <w:t xml:space="preserve">an </w:t>
      </w:r>
      <w:r w:rsidR="00C009D9">
        <w:t>gedetineerden</w:t>
      </w:r>
      <w:r w:rsidR="00821743">
        <w:t xml:space="preserve">. </w:t>
      </w:r>
    </w:p>
    <w:p w:rsidR="00416672" w:rsidP="00610998" w:rsidRDefault="00416672" w14:paraId="72A9D041" w14:textId="77777777">
      <w:pPr>
        <w:spacing w:line="276" w:lineRule="auto"/>
      </w:pPr>
    </w:p>
    <w:p w:rsidR="00FE664E" w:rsidP="00610998" w:rsidRDefault="001B207C" w14:paraId="24A44F03" w14:textId="4C5BD4CB">
      <w:pPr>
        <w:spacing w:line="276" w:lineRule="auto"/>
      </w:pPr>
      <w:r w:rsidRPr="001B207C">
        <w:t>Verder vindt een accentverschuiving binnen de kernactiviteiten plaats.</w:t>
      </w:r>
      <w:r>
        <w:t xml:space="preserve"> </w:t>
      </w:r>
      <w:r w:rsidR="001A6187">
        <w:t>E</w:t>
      </w:r>
      <w:r w:rsidRPr="00165301" w:rsidR="009B1E45">
        <w:t>en actieve voorbereiding op resocialisatie in Nederland</w:t>
      </w:r>
      <w:r w:rsidR="001A6187">
        <w:t xml:space="preserve"> en aanvullend </w:t>
      </w:r>
      <w:r w:rsidRPr="00165301" w:rsidR="009B1E45">
        <w:t xml:space="preserve">juridisch </w:t>
      </w:r>
      <w:r w:rsidR="001A6187">
        <w:t xml:space="preserve">advies zijn </w:t>
      </w:r>
      <w:r w:rsidRPr="00165301" w:rsidR="009B1E45">
        <w:t>de belangrijkste hulpvragen van gedetineerden</w:t>
      </w:r>
      <w:r w:rsidR="001A6187">
        <w:t>, zo blijkt uit de evaluatie</w:t>
      </w:r>
      <w:r w:rsidRPr="00165301" w:rsidR="009B1E45">
        <w:t>.</w:t>
      </w:r>
      <w:r w:rsidR="009B1E45">
        <w:t xml:space="preserve"> </w:t>
      </w:r>
      <w:r w:rsidR="00F238D2">
        <w:t xml:space="preserve">In lijn met </w:t>
      </w:r>
      <w:r w:rsidR="00F238D2">
        <w:lastRenderedPageBreak/>
        <w:t>deze bevinding verlegt h</w:t>
      </w:r>
      <w:r w:rsidR="00C009D9">
        <w:t xml:space="preserve">et nieuwe </w:t>
      </w:r>
      <w:r w:rsidR="00F238D2">
        <w:t xml:space="preserve">kader het accent naar de </w:t>
      </w:r>
      <w:r w:rsidRPr="00165301" w:rsidR="00B923C6">
        <w:t>activiteit</w:t>
      </w:r>
      <w:r w:rsidR="00B923C6">
        <w:t>en</w:t>
      </w:r>
      <w:r w:rsidRPr="00165301" w:rsidR="00B923C6">
        <w:t xml:space="preserve"> </w:t>
      </w:r>
      <w:r w:rsidR="00B923C6">
        <w:t xml:space="preserve">resocialisatie en aanvullende </w:t>
      </w:r>
      <w:r w:rsidRPr="00165301" w:rsidR="00B923C6">
        <w:t>juridische ondersteuning</w:t>
      </w:r>
      <w:r w:rsidR="00F238D2">
        <w:t xml:space="preserve"> </w:t>
      </w:r>
      <w:r w:rsidR="00B923C6">
        <w:t>zodat de ondersteuning geboden door partners</w:t>
      </w:r>
      <w:r w:rsidR="001A6187">
        <w:t xml:space="preserve"> </w:t>
      </w:r>
      <w:r w:rsidR="00F238D2">
        <w:t xml:space="preserve">nog meer </w:t>
      </w:r>
      <w:r w:rsidR="00B923C6">
        <w:t>aansluit</w:t>
      </w:r>
      <w:r w:rsidR="001A6187">
        <w:t xml:space="preserve"> bij de behoeften</w:t>
      </w:r>
      <w:r w:rsidR="006C70EA">
        <w:t xml:space="preserve"> van de gedetineerden</w:t>
      </w:r>
      <w:r w:rsidR="00B923C6">
        <w:t xml:space="preserve">. </w:t>
      </w:r>
    </w:p>
    <w:p w:rsidR="00B923C6" w:rsidP="00610998" w:rsidRDefault="00B923C6" w14:paraId="27E087DC" w14:textId="77777777">
      <w:pPr>
        <w:spacing w:line="276" w:lineRule="auto"/>
      </w:pPr>
    </w:p>
    <w:p w:rsidR="00B923C6" w:rsidP="00610998" w:rsidRDefault="00B923C6" w14:paraId="55F2EF00" w14:textId="42F298F9">
      <w:pPr>
        <w:spacing w:line="276" w:lineRule="auto"/>
      </w:pPr>
      <w:r>
        <w:t xml:space="preserve">Prisonwatch beveelt </w:t>
      </w:r>
      <w:r w:rsidR="00C009D9">
        <w:t xml:space="preserve">daarnaast </w:t>
      </w:r>
      <w:r>
        <w:t>aan de bezoekfrequentie in niet-zorglanden te verhogen van 1x naar 2x per detentie</w:t>
      </w:r>
      <w:r w:rsidR="0099602C">
        <w:t>.</w:t>
      </w:r>
      <w:r w:rsidR="00D11DDE">
        <w:rPr>
          <w:rStyle w:val="FootnoteReference"/>
        </w:rPr>
        <w:footnoteReference w:id="4"/>
      </w:r>
      <w:r>
        <w:t xml:space="preserve"> Opvolgen van deze aanbeveling kan echter niet zonder aanzienlijke ver</w:t>
      </w:r>
      <w:r w:rsidR="00821743">
        <w:t xml:space="preserve">ruiming </w:t>
      </w:r>
      <w:r>
        <w:t>van de consulaire capaciteit op de posten in de niet-zorglanden. Daarom wordt ingezet op het handhaven van de huidige consulaire bijstand met minimaal één bezoek voor niet-zorglanden.</w:t>
      </w:r>
    </w:p>
    <w:p w:rsidR="00B923C6" w:rsidP="00610998" w:rsidRDefault="00B923C6" w14:paraId="00272FCC" w14:textId="77777777">
      <w:pPr>
        <w:spacing w:line="276" w:lineRule="auto"/>
      </w:pPr>
    </w:p>
    <w:p w:rsidR="001B207C" w:rsidP="00610998" w:rsidRDefault="00B923C6" w14:paraId="25636EC4" w14:textId="610DE037">
      <w:pPr>
        <w:spacing w:line="276" w:lineRule="auto"/>
      </w:pPr>
      <w:r>
        <w:t>Tot slot wordt in het volgende subsidiebeleidskader een prijsindexatie toegepast, waarmee het jaarlijkse budget wordt verhoogd van €1.560.000 naar €1.780.613.</w:t>
      </w:r>
    </w:p>
    <w:p w:rsidR="00B923C6" w:rsidP="00610998" w:rsidRDefault="00B923C6" w14:paraId="0E691476" w14:textId="77777777">
      <w:pPr>
        <w:spacing w:line="276" w:lineRule="auto"/>
      </w:pPr>
    </w:p>
    <w:p w:rsidR="009B1E45" w:rsidP="00610998" w:rsidRDefault="009B1E45" w14:paraId="351CD102" w14:textId="70B07ED5">
      <w:pPr>
        <w:spacing w:line="276" w:lineRule="auto"/>
      </w:pPr>
      <w:r>
        <w:t xml:space="preserve">Op basis van deze uitgangspunten </w:t>
      </w:r>
      <w:r w:rsidR="00F238D2">
        <w:t xml:space="preserve">wordt het </w:t>
      </w:r>
      <w:r>
        <w:t xml:space="preserve">nieuwe subsidiebeleidskader </w:t>
      </w:r>
      <w:r w:rsidR="00F238D2">
        <w:t xml:space="preserve">verder </w:t>
      </w:r>
      <w:r>
        <w:t>uitgewerkt</w:t>
      </w:r>
      <w:r w:rsidR="00F238D2">
        <w:t xml:space="preserve">, </w:t>
      </w:r>
      <w:r w:rsidR="00267058">
        <w:t xml:space="preserve">voorjaar </w:t>
      </w:r>
      <w:r>
        <w:t xml:space="preserve">2025 </w:t>
      </w:r>
      <w:r w:rsidR="00F238D2">
        <w:t xml:space="preserve">volgt </w:t>
      </w:r>
      <w:r>
        <w:t>public</w:t>
      </w:r>
      <w:r w:rsidR="00F238D2">
        <w:t xml:space="preserve">atie </w:t>
      </w:r>
      <w:r>
        <w:t xml:space="preserve">in de Staatscourant. </w:t>
      </w:r>
    </w:p>
    <w:p w:rsidR="00317D1E" w:rsidP="00610998" w:rsidRDefault="00317D1E" w14:paraId="75B5BCD3" w14:textId="77777777">
      <w:pPr>
        <w:spacing w:line="276" w:lineRule="auto"/>
      </w:pPr>
    </w:p>
    <w:p w:rsidR="00610998" w:rsidP="00610998" w:rsidRDefault="00610998" w14:paraId="157E67B1" w14:textId="77777777">
      <w:pPr>
        <w:spacing w:line="276" w:lineRule="auto"/>
      </w:pPr>
    </w:p>
    <w:p w:rsidR="00610998" w:rsidP="00610998" w:rsidRDefault="00610998" w14:paraId="0736EE21" w14:textId="425D6F2A">
      <w:pPr>
        <w:spacing w:line="276" w:lineRule="auto"/>
      </w:pPr>
      <w:r>
        <w:t>De minister van Buitenlandse Zaken,</w:t>
      </w:r>
    </w:p>
    <w:p w:rsidR="00610998" w:rsidP="00610998" w:rsidRDefault="00610998" w14:paraId="615A0CDA" w14:textId="77777777">
      <w:pPr>
        <w:spacing w:line="276" w:lineRule="auto"/>
      </w:pPr>
    </w:p>
    <w:p w:rsidR="00610998" w:rsidP="00610998" w:rsidRDefault="00610998" w14:paraId="56ABEF1F" w14:textId="77777777">
      <w:pPr>
        <w:spacing w:line="276" w:lineRule="auto"/>
      </w:pPr>
    </w:p>
    <w:p w:rsidR="00610998" w:rsidP="00610998" w:rsidRDefault="00610998" w14:paraId="1D014FA1" w14:textId="77777777">
      <w:pPr>
        <w:spacing w:line="276" w:lineRule="auto"/>
      </w:pPr>
    </w:p>
    <w:p w:rsidR="00610998" w:rsidP="00610998" w:rsidRDefault="00610998" w14:paraId="5658A562" w14:textId="77777777">
      <w:pPr>
        <w:spacing w:line="276" w:lineRule="auto"/>
      </w:pPr>
    </w:p>
    <w:p w:rsidR="00610998" w:rsidP="00610998" w:rsidRDefault="00610998" w14:paraId="21CD8EE6" w14:textId="77777777">
      <w:pPr>
        <w:spacing w:line="276" w:lineRule="auto"/>
      </w:pPr>
    </w:p>
    <w:p w:rsidR="00317D1E" w:rsidP="00610998" w:rsidRDefault="00610998" w14:paraId="75B5BCD7" w14:textId="65EFCF6A">
      <w:pPr>
        <w:spacing w:line="276" w:lineRule="auto"/>
      </w:pPr>
      <w:r>
        <w:t>Caspar Veldkamp</w:t>
      </w:r>
      <w:r>
        <w:tab/>
      </w:r>
    </w:p>
    <w:sectPr w:rsidR="00317D1E">
      <w:headerReference w:type="default" r:id="rId14"/>
      <w:footerReference w:type="default" r:id="rId15"/>
      <w:headerReference w:type="first" r:id="rId16"/>
      <w:footerReference w:type="first" r:id="rId17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1C87" w14:textId="77777777" w:rsidR="00415F59" w:rsidRDefault="00415F59">
      <w:pPr>
        <w:spacing w:line="240" w:lineRule="auto"/>
      </w:pPr>
      <w:r>
        <w:separator/>
      </w:r>
    </w:p>
  </w:endnote>
  <w:endnote w:type="continuationSeparator" w:id="0">
    <w:p w14:paraId="1870239F" w14:textId="77777777" w:rsidR="00415F59" w:rsidRDefault="00415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768023"/>
      <w:docPartObj>
        <w:docPartGallery w:val="Page Numbers (Bottom of Page)"/>
        <w:docPartUnique/>
      </w:docPartObj>
    </w:sdtPr>
    <w:sdtContent>
      <w:p w14:paraId="493D8BC9" w14:textId="135C8D2B" w:rsidR="0075675E" w:rsidRDefault="0075675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599CC" w14:textId="77777777" w:rsidR="0075675E" w:rsidRDefault="00756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870212"/>
      <w:docPartObj>
        <w:docPartGallery w:val="Page Numbers (Bottom of Page)"/>
        <w:docPartUnique/>
      </w:docPartObj>
    </w:sdtPr>
    <w:sdtContent>
      <w:p w14:paraId="112CFC0E" w14:textId="64A669E2" w:rsidR="0075675E" w:rsidRDefault="0075675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FDC09" w14:textId="77777777" w:rsidR="0075675E" w:rsidRDefault="00756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AD66" w14:textId="77777777" w:rsidR="00415F59" w:rsidRDefault="00415F59">
      <w:pPr>
        <w:spacing w:line="240" w:lineRule="auto"/>
      </w:pPr>
      <w:r>
        <w:separator/>
      </w:r>
    </w:p>
  </w:footnote>
  <w:footnote w:type="continuationSeparator" w:id="0">
    <w:p w14:paraId="623471EF" w14:textId="77777777" w:rsidR="00415F59" w:rsidRDefault="00415F59">
      <w:pPr>
        <w:spacing w:line="240" w:lineRule="auto"/>
      </w:pPr>
      <w:r>
        <w:continuationSeparator/>
      </w:r>
    </w:p>
  </w:footnote>
  <w:footnote w:id="1">
    <w:p w14:paraId="0190A6BB" w14:textId="1411B4E1" w:rsidR="00ED3570" w:rsidRPr="006C70EA" w:rsidRDefault="00ED3570" w:rsidP="00ED3570">
      <w:pPr>
        <w:pStyle w:val="FootnoteText"/>
        <w:rPr>
          <w:sz w:val="16"/>
          <w:szCs w:val="16"/>
        </w:rPr>
      </w:pPr>
      <w:r w:rsidRPr="00ED3570">
        <w:rPr>
          <w:rStyle w:val="FootnoteReference"/>
          <w:sz w:val="16"/>
          <w:szCs w:val="16"/>
        </w:rPr>
        <w:footnoteRef/>
      </w:r>
      <w:r w:rsidRPr="00ED357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Prisonwatch 2024; </w:t>
      </w:r>
      <w:r w:rsidRPr="00ED3570">
        <w:rPr>
          <w:sz w:val="16"/>
          <w:szCs w:val="16"/>
        </w:rPr>
        <w:t>Evaluatie</w:t>
      </w:r>
      <w:r>
        <w:rPr>
          <w:sz w:val="16"/>
          <w:szCs w:val="16"/>
        </w:rPr>
        <w:t xml:space="preserve"> </w:t>
      </w:r>
      <w:r w:rsidRPr="00ED3570">
        <w:rPr>
          <w:sz w:val="16"/>
          <w:szCs w:val="16"/>
        </w:rPr>
        <w:t>Gesubsidieerde</w:t>
      </w:r>
      <w:r>
        <w:rPr>
          <w:sz w:val="16"/>
          <w:szCs w:val="16"/>
        </w:rPr>
        <w:t xml:space="preserve"> </w:t>
      </w:r>
      <w:r w:rsidRPr="00ED3570">
        <w:rPr>
          <w:sz w:val="16"/>
          <w:szCs w:val="16"/>
        </w:rPr>
        <w:t>gedetineerdenbegeleiding</w:t>
      </w:r>
      <w:r>
        <w:rPr>
          <w:sz w:val="16"/>
          <w:szCs w:val="16"/>
        </w:rPr>
        <w:t>. Meegestuurd als bijlage bij deze brief.</w:t>
      </w:r>
    </w:p>
  </w:footnote>
  <w:footnote w:id="2">
    <w:p w14:paraId="5E12E8CC" w14:textId="77777777" w:rsidR="00FE664E" w:rsidRPr="006C70EA" w:rsidRDefault="00FE664E" w:rsidP="00FE664E">
      <w:pPr>
        <w:pStyle w:val="FootnoteText"/>
        <w:rPr>
          <w:sz w:val="16"/>
          <w:szCs w:val="16"/>
        </w:rPr>
      </w:pPr>
      <w:r w:rsidRPr="00C943CB">
        <w:rPr>
          <w:rStyle w:val="FootnoteReference"/>
          <w:sz w:val="16"/>
          <w:szCs w:val="16"/>
        </w:rPr>
        <w:footnoteRef/>
      </w:r>
      <w:r w:rsidRPr="00C943CB">
        <w:rPr>
          <w:sz w:val="16"/>
          <w:szCs w:val="16"/>
        </w:rPr>
        <w:t xml:space="preserve"> </w:t>
      </w:r>
      <w:r>
        <w:rPr>
          <w:sz w:val="16"/>
          <w:szCs w:val="16"/>
        </w:rPr>
        <w:t>Reclassering Nederland</w:t>
      </w:r>
      <w:r w:rsidRPr="00C943CB">
        <w:rPr>
          <w:sz w:val="16"/>
          <w:szCs w:val="16"/>
        </w:rPr>
        <w:t xml:space="preserve"> </w:t>
      </w:r>
      <w:r>
        <w:rPr>
          <w:sz w:val="16"/>
          <w:szCs w:val="16"/>
        </w:rPr>
        <w:t>Bureau Buitenland, Epafras, Lawyers Across Borders en Dutch&amp;Detained</w:t>
      </w:r>
    </w:p>
  </w:footnote>
  <w:footnote w:id="3">
    <w:p w14:paraId="19F6841A" w14:textId="4AA8FA4B" w:rsidR="004D3C3E" w:rsidRPr="006C70EA" w:rsidRDefault="004D3C3E">
      <w:pPr>
        <w:pStyle w:val="FootnoteText"/>
      </w:pPr>
      <w:r w:rsidRPr="004D3C3E">
        <w:rPr>
          <w:rStyle w:val="FootnoteReference"/>
          <w:sz w:val="16"/>
          <w:szCs w:val="16"/>
        </w:rPr>
        <w:footnoteRef/>
      </w:r>
      <w:r w:rsidRPr="004D3C3E">
        <w:rPr>
          <w:sz w:val="16"/>
          <w:szCs w:val="16"/>
        </w:rPr>
        <w:t xml:space="preserve"> </w:t>
      </w:r>
      <w:r>
        <w:rPr>
          <w:sz w:val="16"/>
          <w:szCs w:val="16"/>
        </w:rPr>
        <w:t>Ministerie van Buitenlandse Zaken 2018; Staat van het Consulaire. Pagina 48-53.</w:t>
      </w:r>
    </w:p>
  </w:footnote>
  <w:footnote w:id="4">
    <w:p w14:paraId="4B032C2C" w14:textId="28041FBD" w:rsidR="00D11DDE" w:rsidRPr="006C70EA" w:rsidRDefault="00D11DDE" w:rsidP="00F55D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5D40" w:rsidRPr="00F55D40">
        <w:rPr>
          <w:sz w:val="16"/>
          <w:szCs w:val="16"/>
        </w:rPr>
        <w:t>In zorglanden kunnen vervolgbezoeken afgelegd worden door consulair medewerkers (met een flexibele bezoekfrequentie van indicatief maximaal viermaal per jaar).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BCD8" w14:textId="337CFD7C" w:rsidR="00317D1E" w:rsidRDefault="009B1E45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5B5BCDC" wp14:editId="2B641356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0970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5BD0B" w14:textId="77777777" w:rsidR="00317D1E" w:rsidRDefault="009B1E4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5B5BD0C" w14:textId="77777777" w:rsidR="00317D1E" w:rsidRDefault="00317D1E">
                          <w:pPr>
                            <w:pStyle w:val="WitregelW2"/>
                          </w:pPr>
                        </w:p>
                        <w:p w14:paraId="75B5BD0D" w14:textId="77777777" w:rsidR="00317D1E" w:rsidRDefault="009B1E4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B5BD0E" w14:textId="77777777" w:rsidR="00317D1E" w:rsidRDefault="009B1E45">
                          <w:pPr>
                            <w:pStyle w:val="Referentiegegevens"/>
                          </w:pPr>
                          <w:r>
                            <w:t>BZ2511667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B5BCD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4.5pt;width:111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" filled="f" stroked="f">
              <v:textbox inset="0,0,0,0">
                <w:txbxContent>
                  <w:p w14:paraId="75B5BD0B" w14:textId="77777777" w:rsidR="00317D1E" w:rsidRDefault="009B1E4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5B5BD0C" w14:textId="77777777" w:rsidR="00317D1E" w:rsidRDefault="00317D1E">
                    <w:pPr>
                      <w:pStyle w:val="WitregelW2"/>
                    </w:pPr>
                  </w:p>
                  <w:p w14:paraId="75B5BD0D" w14:textId="77777777" w:rsidR="00317D1E" w:rsidRDefault="009B1E4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B5BD0E" w14:textId="77777777" w:rsidR="00317D1E" w:rsidRDefault="009B1E45">
                    <w:pPr>
                      <w:pStyle w:val="Referentiegegevens"/>
                    </w:pPr>
                    <w:r>
                      <w:t>BZ2511667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5B5BCE0" wp14:editId="181D8F0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5BD1C" w14:textId="77777777" w:rsidR="009B1E45" w:rsidRDefault="009B1E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B5BCE0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75B5BD1C" w14:textId="77777777" w:rsidR="009B1E45" w:rsidRDefault="009B1E4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BCDA" w14:textId="2D5588DF" w:rsidR="00317D1E" w:rsidRDefault="009B1E4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5B5BCE2" wp14:editId="75B5BCE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5BD10" w14:textId="77777777" w:rsidR="009B1E45" w:rsidRDefault="009B1E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B5BCE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5B5BD10" w14:textId="77777777" w:rsidR="009B1E45" w:rsidRDefault="009B1E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5B5BCE4" wp14:editId="75B5BCE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5BCF3" w14:textId="77777777" w:rsidR="00317D1E" w:rsidRDefault="009B1E4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B5BCE4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5B5BCF3" w14:textId="77777777" w:rsidR="00317D1E" w:rsidRDefault="009B1E4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5B5BCE6" wp14:editId="75B5BCE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17D1E" w14:paraId="75B5BCF6" w14:textId="77777777">
                            <w:tc>
                              <w:tcPr>
                                <w:tcW w:w="678" w:type="dxa"/>
                              </w:tcPr>
                              <w:p w14:paraId="75B5BCF4" w14:textId="77777777" w:rsidR="00317D1E" w:rsidRDefault="009B1E4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5B5BCF5" w14:textId="1E0D86D5" w:rsidR="00317D1E" w:rsidRDefault="00310880">
                                <w:r>
                                  <w:t>28 j</w:t>
                                </w:r>
                                <w:r w:rsidR="009B1E45">
                                  <w:t>anuari 2025</w:t>
                                </w:r>
                              </w:p>
                            </w:tc>
                          </w:tr>
                          <w:tr w:rsidR="00317D1E" w14:paraId="75B5BCFB" w14:textId="77777777">
                            <w:tc>
                              <w:tcPr>
                                <w:tcW w:w="678" w:type="dxa"/>
                              </w:tcPr>
                              <w:p w14:paraId="75B5BCF7" w14:textId="77777777" w:rsidR="00317D1E" w:rsidRDefault="009B1E45">
                                <w:r>
                                  <w:t>Betreft</w:t>
                                </w:r>
                              </w:p>
                              <w:p w14:paraId="75B5BCF8" w14:textId="77777777" w:rsidR="00317D1E" w:rsidRDefault="00317D1E"/>
                            </w:tc>
                            <w:tc>
                              <w:tcPr>
                                <w:tcW w:w="6851" w:type="dxa"/>
                              </w:tcPr>
                              <w:p w14:paraId="75B5BCF9" w14:textId="557569BB" w:rsidR="00317D1E" w:rsidRDefault="00B13F58">
                                <w:r>
                                  <w:t xml:space="preserve">Voortzetting samenwerking met gespecialiseerde partners </w:t>
                                </w:r>
                                <w:r w:rsidR="009B1E45">
                                  <w:t>gedetineerdenbegeleiding</w:t>
                                </w:r>
                              </w:p>
                              <w:p w14:paraId="75B5BCFA" w14:textId="77777777" w:rsidR="00317D1E" w:rsidRDefault="00317D1E"/>
                            </w:tc>
                          </w:tr>
                        </w:tbl>
                        <w:p w14:paraId="75B5BCFC" w14:textId="77777777" w:rsidR="00317D1E" w:rsidRDefault="00317D1E"/>
                        <w:p w14:paraId="75B5BCFD" w14:textId="77777777" w:rsidR="00317D1E" w:rsidRDefault="00317D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B5BCE6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17D1E" w14:paraId="75B5BCF6" w14:textId="77777777">
                      <w:tc>
                        <w:tcPr>
                          <w:tcW w:w="678" w:type="dxa"/>
                        </w:tcPr>
                        <w:p w14:paraId="75B5BCF4" w14:textId="77777777" w:rsidR="00317D1E" w:rsidRDefault="009B1E4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5B5BCF5" w14:textId="1E0D86D5" w:rsidR="00317D1E" w:rsidRDefault="00310880">
                          <w:r>
                            <w:t>28 j</w:t>
                          </w:r>
                          <w:r w:rsidR="009B1E45">
                            <w:t>anuari 2025</w:t>
                          </w:r>
                        </w:p>
                      </w:tc>
                    </w:tr>
                    <w:tr w:rsidR="00317D1E" w14:paraId="75B5BCFB" w14:textId="77777777">
                      <w:tc>
                        <w:tcPr>
                          <w:tcW w:w="678" w:type="dxa"/>
                        </w:tcPr>
                        <w:p w14:paraId="75B5BCF7" w14:textId="77777777" w:rsidR="00317D1E" w:rsidRDefault="009B1E45">
                          <w:r>
                            <w:t>Betreft</w:t>
                          </w:r>
                        </w:p>
                        <w:p w14:paraId="75B5BCF8" w14:textId="77777777" w:rsidR="00317D1E" w:rsidRDefault="00317D1E"/>
                      </w:tc>
                      <w:tc>
                        <w:tcPr>
                          <w:tcW w:w="6851" w:type="dxa"/>
                        </w:tcPr>
                        <w:p w14:paraId="75B5BCF9" w14:textId="557569BB" w:rsidR="00317D1E" w:rsidRDefault="00B13F58">
                          <w:r>
                            <w:t xml:space="preserve">Voortzetting samenwerking met gespecialiseerde partners </w:t>
                          </w:r>
                          <w:r w:rsidR="009B1E45">
                            <w:t>gedetineerdenbegeleiding</w:t>
                          </w:r>
                        </w:p>
                        <w:p w14:paraId="75B5BCFA" w14:textId="77777777" w:rsidR="00317D1E" w:rsidRDefault="00317D1E"/>
                      </w:tc>
                    </w:tr>
                  </w:tbl>
                  <w:p w14:paraId="75B5BCFC" w14:textId="77777777" w:rsidR="00317D1E" w:rsidRDefault="00317D1E"/>
                  <w:p w14:paraId="75B5BCFD" w14:textId="77777777" w:rsidR="00317D1E" w:rsidRDefault="00317D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5B5BCE8" wp14:editId="7C3BE033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541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46ED6653" w14:textId="77777777" w:rsidR="0075675E" w:rsidRPr="00F51C07" w:rsidRDefault="0075675E" w:rsidP="0075675E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1C7B4F14" w14:textId="77777777" w:rsidR="0075675E" w:rsidRPr="00EE5E5D" w:rsidRDefault="0075675E" w:rsidP="0075675E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956C56" w14:textId="77777777" w:rsidR="0075675E" w:rsidRPr="0075675E" w:rsidRDefault="0075675E" w:rsidP="0075675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5675E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1C69F051" w14:textId="77777777" w:rsidR="0075675E" w:rsidRPr="0075675E" w:rsidRDefault="0075675E" w:rsidP="0075675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5675E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351B6F" w14:textId="77777777" w:rsidR="0075675E" w:rsidRPr="0075675E" w:rsidRDefault="0075675E" w:rsidP="0075675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5675E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5B5BCFF" w14:textId="77777777" w:rsidR="00317D1E" w:rsidRDefault="00317D1E">
                          <w:pPr>
                            <w:pStyle w:val="WitregelW1"/>
                          </w:pPr>
                        </w:p>
                        <w:p w14:paraId="75B5BD00" w14:textId="77777777" w:rsidR="00317D1E" w:rsidRDefault="009B1E45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75B5BD01" w14:textId="77777777" w:rsidR="00317D1E" w:rsidRDefault="009B1E45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75B5BD02" w14:textId="77777777" w:rsidR="00317D1E" w:rsidRDefault="00317D1E">
                          <w:pPr>
                            <w:pStyle w:val="WitregelW2"/>
                          </w:pPr>
                        </w:p>
                        <w:p w14:paraId="75B5BD03" w14:textId="77777777" w:rsidR="00317D1E" w:rsidRDefault="009B1E4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B5BD04" w14:textId="77777777" w:rsidR="00317D1E" w:rsidRDefault="009B1E45">
                          <w:pPr>
                            <w:pStyle w:val="Referentiegegevens"/>
                          </w:pPr>
                          <w:r>
                            <w:t>BZ2511667</w:t>
                          </w:r>
                        </w:p>
                        <w:p w14:paraId="75B5BD05" w14:textId="77777777" w:rsidR="00317D1E" w:rsidRDefault="00317D1E">
                          <w:pPr>
                            <w:pStyle w:val="WitregelW1"/>
                          </w:pPr>
                        </w:p>
                        <w:p w14:paraId="75B5BD06" w14:textId="77777777" w:rsidR="00317D1E" w:rsidRDefault="009B1E4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5B5BD07" w14:textId="095519B6" w:rsidR="00317D1E" w:rsidRDefault="009B1E4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5B5BCE8" id="41b10cd4-80a4-11ea-b356-6230a4311406" o:spid="_x0000_s1031" type="#_x0000_t202" style="position:absolute;margin-left:466.5pt;margin-top:155pt;width:114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46ED6653" w14:textId="77777777" w:rsidR="0075675E" w:rsidRPr="00F51C07" w:rsidRDefault="0075675E" w:rsidP="0075675E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1C7B4F14" w14:textId="77777777" w:rsidR="0075675E" w:rsidRPr="00EE5E5D" w:rsidRDefault="0075675E" w:rsidP="0075675E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956C56" w14:textId="77777777" w:rsidR="0075675E" w:rsidRPr="0075675E" w:rsidRDefault="0075675E" w:rsidP="0075675E">
                    <w:pPr>
                      <w:rPr>
                        <w:sz w:val="13"/>
                        <w:szCs w:val="13"/>
                      </w:rPr>
                    </w:pPr>
                    <w:r w:rsidRPr="0075675E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1C69F051" w14:textId="77777777" w:rsidR="0075675E" w:rsidRPr="0075675E" w:rsidRDefault="0075675E" w:rsidP="0075675E">
                    <w:pPr>
                      <w:rPr>
                        <w:sz w:val="13"/>
                        <w:szCs w:val="13"/>
                      </w:rPr>
                    </w:pPr>
                    <w:r w:rsidRPr="0075675E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351B6F" w14:textId="77777777" w:rsidR="0075675E" w:rsidRPr="0075675E" w:rsidRDefault="0075675E" w:rsidP="0075675E">
                    <w:pPr>
                      <w:rPr>
                        <w:sz w:val="13"/>
                        <w:szCs w:val="13"/>
                      </w:rPr>
                    </w:pPr>
                    <w:r w:rsidRPr="0075675E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5B5BCFF" w14:textId="77777777" w:rsidR="00317D1E" w:rsidRDefault="00317D1E">
                    <w:pPr>
                      <w:pStyle w:val="WitregelW1"/>
                    </w:pPr>
                  </w:p>
                  <w:p w14:paraId="75B5BD00" w14:textId="77777777" w:rsidR="00317D1E" w:rsidRDefault="009B1E45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75B5BD01" w14:textId="77777777" w:rsidR="00317D1E" w:rsidRDefault="009B1E45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75B5BD02" w14:textId="77777777" w:rsidR="00317D1E" w:rsidRDefault="00317D1E">
                    <w:pPr>
                      <w:pStyle w:val="WitregelW2"/>
                    </w:pPr>
                  </w:p>
                  <w:p w14:paraId="75B5BD03" w14:textId="77777777" w:rsidR="00317D1E" w:rsidRDefault="009B1E4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B5BD04" w14:textId="77777777" w:rsidR="00317D1E" w:rsidRDefault="009B1E45">
                    <w:pPr>
                      <w:pStyle w:val="Referentiegegevens"/>
                    </w:pPr>
                    <w:r>
                      <w:t>BZ2511667</w:t>
                    </w:r>
                  </w:p>
                  <w:p w14:paraId="75B5BD05" w14:textId="77777777" w:rsidR="00317D1E" w:rsidRDefault="00317D1E">
                    <w:pPr>
                      <w:pStyle w:val="WitregelW1"/>
                    </w:pPr>
                  </w:p>
                  <w:p w14:paraId="75B5BD06" w14:textId="77777777" w:rsidR="00317D1E" w:rsidRDefault="009B1E4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5B5BD07" w14:textId="095519B6" w:rsidR="00317D1E" w:rsidRDefault="009B1E4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5B5BCEC" wp14:editId="457098F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5BD16" w14:textId="77777777" w:rsidR="009B1E45" w:rsidRDefault="009B1E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B5BCEC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5B5BD16" w14:textId="77777777" w:rsidR="009B1E45" w:rsidRDefault="009B1E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5B5BCEE" wp14:editId="75B5BCE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5BD09" w14:textId="77777777" w:rsidR="00317D1E" w:rsidRDefault="009B1E4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2B4DD" wp14:editId="75B5BD1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B5BCEE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5B5BD09" w14:textId="77777777" w:rsidR="00317D1E" w:rsidRDefault="009B1E4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62B4DD" wp14:editId="75B5BD1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5B5BCF0" wp14:editId="75B5BCF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5BD0A" w14:textId="77777777" w:rsidR="00317D1E" w:rsidRDefault="009B1E4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5BD12" wp14:editId="75B5BD1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B5BCF0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5B5BD0A" w14:textId="77777777" w:rsidR="00317D1E" w:rsidRDefault="009B1E4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B5BD12" wp14:editId="75B5BD1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30DD4F"/>
    <w:multiLevelType w:val="multilevel"/>
    <w:tmpl w:val="A76338C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D030EAA"/>
    <w:multiLevelType w:val="multilevel"/>
    <w:tmpl w:val="CB35867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7C5CF34"/>
    <w:multiLevelType w:val="multilevel"/>
    <w:tmpl w:val="2AAB1E8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DC24E4C"/>
    <w:multiLevelType w:val="hybridMultilevel"/>
    <w:tmpl w:val="67300A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0642D"/>
    <w:multiLevelType w:val="multilevel"/>
    <w:tmpl w:val="E220D3E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03280F"/>
    <w:multiLevelType w:val="hybridMultilevel"/>
    <w:tmpl w:val="EB6AD9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E5679"/>
    <w:multiLevelType w:val="multilevel"/>
    <w:tmpl w:val="49AF4C7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153788232">
    <w:abstractNumId w:val="6"/>
  </w:num>
  <w:num w:numId="2" w16cid:durableId="167839384">
    <w:abstractNumId w:val="2"/>
  </w:num>
  <w:num w:numId="3" w16cid:durableId="914164047">
    <w:abstractNumId w:val="0"/>
  </w:num>
  <w:num w:numId="4" w16cid:durableId="386996853">
    <w:abstractNumId w:val="1"/>
  </w:num>
  <w:num w:numId="5" w16cid:durableId="592324443">
    <w:abstractNumId w:val="4"/>
  </w:num>
  <w:num w:numId="6" w16cid:durableId="892154857">
    <w:abstractNumId w:val="3"/>
  </w:num>
  <w:num w:numId="7" w16cid:durableId="139619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1E"/>
    <w:rsid w:val="001A6187"/>
    <w:rsid w:val="001B207C"/>
    <w:rsid w:val="001B5E73"/>
    <w:rsid w:val="00267058"/>
    <w:rsid w:val="00310880"/>
    <w:rsid w:val="00317D1E"/>
    <w:rsid w:val="00415F59"/>
    <w:rsid w:val="00416672"/>
    <w:rsid w:val="00457764"/>
    <w:rsid w:val="00487669"/>
    <w:rsid w:val="004C6682"/>
    <w:rsid w:val="004D3C3E"/>
    <w:rsid w:val="005107BA"/>
    <w:rsid w:val="005F71A3"/>
    <w:rsid w:val="00610998"/>
    <w:rsid w:val="00616FEA"/>
    <w:rsid w:val="006C682C"/>
    <w:rsid w:val="006C70EA"/>
    <w:rsid w:val="00713A46"/>
    <w:rsid w:val="0075675E"/>
    <w:rsid w:val="007B1785"/>
    <w:rsid w:val="00821743"/>
    <w:rsid w:val="00950EBF"/>
    <w:rsid w:val="0099602C"/>
    <w:rsid w:val="009B1E45"/>
    <w:rsid w:val="009F3118"/>
    <w:rsid w:val="00B13F58"/>
    <w:rsid w:val="00B229A7"/>
    <w:rsid w:val="00B923C6"/>
    <w:rsid w:val="00B92725"/>
    <w:rsid w:val="00C009D9"/>
    <w:rsid w:val="00C1422C"/>
    <w:rsid w:val="00D11DDE"/>
    <w:rsid w:val="00D219CA"/>
    <w:rsid w:val="00DC08C3"/>
    <w:rsid w:val="00DD4615"/>
    <w:rsid w:val="00DE409C"/>
    <w:rsid w:val="00ED3570"/>
    <w:rsid w:val="00EF241B"/>
    <w:rsid w:val="00F238D2"/>
    <w:rsid w:val="00F55D40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5BCD0"/>
  <w15:docId w15:val="{A7302337-874D-4A6F-BC9E-0A5F6BCB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B1E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E4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1E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E45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E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E4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B1E45"/>
    <w:rPr>
      <w:vertAlign w:val="superscript"/>
    </w:rPr>
  </w:style>
  <w:style w:type="paragraph" w:styleId="ListParagraph">
    <w:name w:val="List Paragraph"/>
    <w:basedOn w:val="Normal"/>
    <w:uiPriority w:val="34"/>
    <w:semiHidden/>
    <w:rsid w:val="009B1E45"/>
    <w:pPr>
      <w:ind w:left="720"/>
      <w:contextualSpacing/>
    </w:pPr>
  </w:style>
  <w:style w:type="table" w:styleId="TableGrid">
    <w:name w:val="Table Grid"/>
    <w:basedOn w:val="TableNormal"/>
    <w:uiPriority w:val="39"/>
    <w:rsid w:val="009B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71A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1A3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1A3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ntTable" Target="fontTable.xml" Id="rId18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webSettings" Target="webSettings.xml" Id="rId11" /><Relationship Type="http://schemas.openxmlformats.org/officeDocument/2006/relationships/footer" Target="footer1.xml" Id="rId15" /><Relationship Type="http://schemas.openxmlformats.org/officeDocument/2006/relationships/webSetting" Target="webSettings0.xml" Id="rId23" /><Relationship Type="http://schemas.openxmlformats.org/officeDocument/2006/relationships/settings" Target="settings.xml" Id="rId10" /><Relationship Type="http://schemas.openxmlformats.org/officeDocument/2006/relationships/theme" Target="theme/theme1.xml" Id="rId19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427</ap:Words>
  <ap:Characters>2350</ap:Characters>
  <ap:DocSecurity>0</ap:DocSecurity>
  <ap:Lines>19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Herziening subsidiebeleidskader gedetineerdenbegeleiding</vt:lpstr>
    </vt:vector>
  </ap:TitlesOfParts>
  <ap:LinksUpToDate>false</ap:LinksUpToDate>
  <ap:CharactersWithSpaces>2772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2025-01-28T08:56:00.0000000Z</dcterms:created>
  <dcterms:modified xsi:type="dcterms:W3CDTF">2025-01-28T08:59:00.0000000Z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dbe5a03f-5e3c-4f2b-b8c1-c3ab16dea2a2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