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2025Z01347</w:t>
        <w:br/>
      </w:r>
      <w:proofErr w:type="spellEnd"/>
    </w:p>
    <w:p>
      <w:pPr>
        <w:pStyle w:val="Normal"/>
        <w:rPr>
          <w:b w:val="1"/>
          <w:bCs w:val="1"/>
        </w:rPr>
      </w:pPr>
      <w:r w:rsidR="250AE766">
        <w:rPr>
          <w:b w:val="0"/>
          <w:bCs w:val="0"/>
        </w:rPr>
        <w:t>(ingezonden 28 januari 2025)</w:t>
        <w:br/>
      </w:r>
    </w:p>
    <w:p>
      <w:r>
        <w:t xml:space="preserve">Vragen van het lid Bruyning (Nieuw Sociaal Contract) aan de staatssecretaris van Justitie en Veiligheid over de artikelen ‘Jeugdzorg en Rechtsstraat: een systeem in crisis’ en ‘Ouders kunnen bij de kinderrechter niet meer rekenen op een eerlijk proces’ </w:t>
      </w:r>
      <w:r>
        <w:br/>
      </w:r>
    </w:p>
    <w:p>
      <w:r>
        <w:t xml:space="preserve"> </w:t>
      </w:r>
      <w:r>
        <w:br/>
      </w:r>
    </w:p>
    <w:p>
      <w:pPr>
        <w:pStyle w:val="ListParagraph"/>
        <w:numPr>
          <w:ilvl w:val="0"/>
          <w:numId w:val="100466590"/>
        </w:numPr>
        <w:ind w:left="360"/>
      </w:pPr>
      <w:r>
        <w:t>Heeft u kennisgenomen van het opinieartikel van de advocaten Mieke Krol en Richard Korver in het Algemeen Dagblad van 14 januari 2025 met de titel ‘Jeugdzorg en Rechtsstaat: een systeem in crisis’? 1) Zo nee, zou u deze opinie willen lezen voor de beantwoording van de volgende vragen?</w:t>
      </w:r>
      <w:r>
        <w:br/>
      </w:r>
    </w:p>
    <w:p>
      <w:pPr>
        <w:pStyle w:val="ListParagraph"/>
        <w:numPr>
          <w:ilvl w:val="0"/>
          <w:numId w:val="100466590"/>
        </w:numPr>
        <w:ind w:left="360"/>
      </w:pPr>
      <w:r>
        <w:t>Heeft u kennisgenomen van het artikel gepubliceerd bij Follow The Money (FTM) op 9 januari 2025 onder de titel ‘Ouders kunnen bij de kinderrechter niet rekenen op een eerlijk proces’? 2) Zo nee, zou u dit artikel willen lezen voor de beantwoording van de volgende vragen?</w:t>
      </w:r>
      <w:r>
        <w:br/>
      </w:r>
    </w:p>
    <w:p>
      <w:pPr>
        <w:pStyle w:val="ListParagraph"/>
        <w:numPr>
          <w:ilvl w:val="0"/>
          <w:numId w:val="100466590"/>
        </w:numPr>
        <w:ind w:left="360"/>
      </w:pPr>
      <w:r>
        <w:t>Hoe beoordeelt u het signaal van veel verschillende advocaten in genoemde artikelen maar ook op sociale media dat rechters wetten en richtlijnen in jeugdzorgzaken verschillend interpreteren, waardoor rechtsongelijkheid ontstaat en de rechtsbescherming van ouders en kinderen wordt ondermijnd? Hoe kijkt u naar het zorgelijke signaal van deze advocaten dat zij de uitspraken van rechters nog nauwelijks kunnen uitleggen aan hun cliënten?</w:t>
      </w:r>
      <w:r>
        <w:br/>
      </w:r>
    </w:p>
    <w:p>
      <w:pPr>
        <w:pStyle w:val="ListParagraph"/>
        <w:numPr>
          <w:ilvl w:val="0"/>
          <w:numId w:val="100466590"/>
        </w:numPr>
        <w:ind w:left="360"/>
      </w:pPr>
      <w:r>
        <w:t>Wat is de visie van u op het feit dat lagere rechters zich niet houden aan uitspraken van hogere rechters, en welke maatregelen worden overwogen om deze schending van gerechtelijke hiërarchie te corrigeren verwijzend naar de uitspraak van rechtbank Midden-Nederland d.d. 8 november 2024? 3)</w:t>
      </w:r>
      <w:r>
        <w:br/>
      </w:r>
    </w:p>
    <w:p>
      <w:pPr>
        <w:pStyle w:val="ListParagraph"/>
        <w:numPr>
          <w:ilvl w:val="0"/>
          <w:numId w:val="100466590"/>
        </w:numPr>
        <w:ind w:left="360"/>
      </w:pPr>
      <w:r>
        <w:t>Wat is uw visie op het feit dat verschillende rechters de uitspraak van de Hoge Raad met betrekking tot het perspectief verschillend interpreteren waardoor er rechtsongelijkheid kan ontstaan? 4)</w:t>
      </w:r>
      <w:r>
        <w:br/>
      </w:r>
    </w:p>
    <w:p>
      <w:pPr>
        <w:pStyle w:val="ListParagraph"/>
        <w:numPr>
          <w:ilvl w:val="0"/>
          <w:numId w:val="100466590"/>
        </w:numPr>
        <w:ind w:left="360"/>
      </w:pPr>
      <w:r>
        <w:t>Hoe ziet u de aanduiding van rechtbanken als "ketenpartners" in jeugdzorg?</w:t>
      </w:r>
      <w:r>
        <w:br/>
      </w:r>
    </w:p>
    <w:p>
      <w:pPr>
        <w:pStyle w:val="ListParagraph"/>
        <w:numPr>
          <w:ilvl w:val="0"/>
          <w:numId w:val="100466590"/>
        </w:numPr>
        <w:ind w:left="360"/>
      </w:pPr>
      <w:r>
        <w:t>Deelt u de mening dat het benoemen van de rechter als ketenpartner de onafhankelijkheid, althans het beeld hiervan, van de rechter/de rechtspraak in gevaar brengt?</w:t>
      </w:r>
      <w:r>
        <w:br/>
      </w:r>
    </w:p>
    <w:p>
      <w:pPr>
        <w:pStyle w:val="ListParagraph"/>
        <w:numPr>
          <w:ilvl w:val="0"/>
          <w:numId w:val="100466590"/>
        </w:numPr>
        <w:ind w:left="360"/>
      </w:pPr>
      <w:r>
        <w:t>Deelt u de mening dat het elkaar als ketenpartner benoemen kan leiden tot een gevoel bij ouders en jongeren dat rechtbanken samenwerken en onderdeel zijn van het systeem en daardoor niet onafhankelijk en onpartijdig zijn?</w:t>
      </w:r>
      <w:r>
        <w:br/>
      </w:r>
    </w:p>
    <w:p>
      <w:pPr>
        <w:pStyle w:val="ListParagraph"/>
        <w:numPr>
          <w:ilvl w:val="0"/>
          <w:numId w:val="100466590"/>
        </w:numPr>
        <w:ind w:left="360"/>
      </w:pPr>
      <w:r>
        <w:t>Gezien het feit dat overleg tussen instellingen en de Rechtsspraak en het maken van lokale afspraken over trends en ontwikkelingen mogelijk moeten zijn, deelt u de mening dat, om te voorkomen dat individuele zaken inhoudelijk besproken kunnen worden, gesprekken op stafniveau gevoerd moeten worden en dat rechters hierbuiten moeten blijven? Bent u ook voornemens om dit vast te leggen in richtlijnen over het contact met externe partijen?</w:t>
      </w:r>
      <w:r>
        <w:br/>
      </w:r>
    </w:p>
    <w:p>
      <w:pPr>
        <w:pStyle w:val="ListParagraph"/>
        <w:numPr>
          <w:ilvl w:val="0"/>
          <w:numId w:val="100466590"/>
        </w:numPr>
        <w:ind w:left="360"/>
      </w:pPr>
      <w:r>
        <w:t>Hoe oordeelt u over de praktijk waarin rechtbanken eenzijdig communiceren met jeugdzorginstanties zonder betrokkenheid van ouders of advocaten, zoals blijkt uit het FTM-artikel en het feit dat als gevolg van het ketenpartnerschap en het Collectieve Opdracht Routeer Voorziening (CORV)-systeem er rechtstreekse contacten tussen de gecertificeerde instellingen (GI's)/Raad voor de Kinderbescherming en rechtbanken/rechters zijn?</w:t>
      </w:r>
      <w:r>
        <w:br/>
      </w:r>
    </w:p>
    <w:p>
      <w:pPr>
        <w:pStyle w:val="ListParagraph"/>
        <w:numPr>
          <w:ilvl w:val="0"/>
          <w:numId w:val="100466590"/>
        </w:numPr>
        <w:ind w:left="360"/>
      </w:pPr>
      <w:r>
        <w:t>Hoe kijkt u aan tegen het feit dat uit het FTM-artikel blijkt dat niet alle procespartijen toegang hebben tot de stukken die in het CORV-systeem worden gehangen en dat Hans Hofhuis CORV als ‘fundamentele fout’ beschouwt als dat systeem ertoe leidt dat er buiten het zicht van ouders en advocaten wordt gecommuniceerd?</w:t>
      </w:r>
      <w:r>
        <w:br/>
      </w:r>
    </w:p>
    <w:p>
      <w:pPr>
        <w:pStyle w:val="ListParagraph"/>
        <w:numPr>
          <w:ilvl w:val="0"/>
          <w:numId w:val="100466590"/>
        </w:numPr>
        <w:ind w:left="360"/>
      </w:pPr>
      <w:r>
        <w:t>Hoe kijkt u aan tegen het feit dat uit het FTM-artikel blijkt dat rechtbanken tegenover FTM stellen dat communicatie over proces-technische problemen niet met ouders gedeeld hoeven te worden? Deelt u de mening van Hans Hofhuis (oud-rechter) dat dit een lelijke misvatting is?</w:t>
      </w:r>
      <w:r>
        <w:br/>
      </w:r>
    </w:p>
    <w:p>
      <w:pPr>
        <w:pStyle w:val="ListParagraph"/>
        <w:numPr>
          <w:ilvl w:val="0"/>
          <w:numId w:val="100466590"/>
        </w:numPr>
        <w:ind w:left="360"/>
      </w:pPr>
      <w:r>
        <w:t>Uit het artikel van FTM blijkt dat een algemene uitzondering voor proces-technische kwesties niet bestaat volgens Ruth de Bock, hoogleraar civiele rechtspleging en advocaat-generaal bij de Hoge Raad; kunt u aan de hand hiervan uitleggen hoe het kan dat de rechtspraak vindt dat het wel mogelijk is om zonder alle procespartijen over proces-technische kwesties te communiceren, terwijl Ruth de Bock aangeeft dat er geen uitzonderingen mogelijk zijn? Hoe kijkt u hier tegenaan?</w:t>
      </w:r>
      <w:r>
        <w:br/>
      </w:r>
    </w:p>
    <w:p>
      <w:pPr>
        <w:pStyle w:val="ListParagraph"/>
        <w:numPr>
          <w:ilvl w:val="0"/>
          <w:numId w:val="100466590"/>
        </w:numPr>
        <w:ind w:left="360"/>
      </w:pPr>
      <w:r>
        <w:t>In beide artikelen wordt benoemd dat het fundamentele recht op hoor en wederhoor in zaken waarbij een kinderbeschermingsmaatregel wordt verzocht niet altijd wordt nageleefd en dat dit indruist tegen het artikel 6 van het Europees Verdrag voor de Rechten van de Mens (EVRM), bent u hier bekend mee en bent u van plan dit te gaan borgen zodat partijen daadwerkelijk een eerlijk proces kunnen verwachten?</w:t>
      </w:r>
      <w:r>
        <w:br/>
      </w:r>
    </w:p>
    <w:p>
      <w:pPr>
        <w:pStyle w:val="ListParagraph"/>
        <w:numPr>
          <w:ilvl w:val="0"/>
          <w:numId w:val="100466590"/>
        </w:numPr>
        <w:ind w:left="360"/>
      </w:pPr>
      <w:r>
        <w:t>Hoe verhoudt volgens u de praktijk van kortdurende verlengingen van uithuisplaatsingen zonder hoor en wederhoor zich tot het beginsel van een eerlijk proces?</w:t>
      </w:r>
      <w:r>
        <w:br/>
      </w:r>
    </w:p>
    <w:p>
      <w:pPr>
        <w:pStyle w:val="ListParagraph"/>
        <w:numPr>
          <w:ilvl w:val="0"/>
          <w:numId w:val="100466590"/>
        </w:numPr>
        <w:ind w:left="360"/>
      </w:pPr>
      <w:r>
        <w:t>Welke maatregelen worden overwogen om verlengingen van uithuisplaatsingen die worden verlengd zonder hoor en wederhoor in verband met administratieve of organisatorische redenen bij de rechtbank te voorkomen?</w:t>
      </w:r>
      <w:r>
        <w:br/>
      </w:r>
    </w:p>
    <w:p>
      <w:pPr>
        <w:pStyle w:val="ListParagraph"/>
        <w:numPr>
          <w:ilvl w:val="0"/>
          <w:numId w:val="100466590"/>
        </w:numPr>
        <w:ind w:left="360"/>
      </w:pPr>
      <w:r>
        <w:t>Hoe beoordeelt u de effectiviteit van de aanbevelingen van de reflectiecommissie familie- en jeugdrechters uit 2023 (het rapport ‘Recht doen aan kinderen en ouders’) in het licht van de artikelen van FTM en de opinie uit het AD van Krol en Korver zoals benoemd in vraag 1 en 2?</w:t>
      </w:r>
      <w:r>
        <w:br/>
      </w:r>
    </w:p>
    <w:p>
      <w:r>
        <w:t xml:space="preserve"> </w:t>
      </w:r>
      <w:r>
        <w:br/>
      </w:r>
    </w:p>
    <w:p>
      <w:r>
        <w:t xml:space="preserve">1) AD, 14 januari 2025, Opinie: ‘Jeugdzorg en rechtsstaat: een systeem in crisis’ (https://www.ad.nl/opinie/opinie-jeugdzorg-en-rechtsstaat-een-systeem-in-crisis~ada4a487/251165990/).</w:t>
      </w:r>
      <w:r>
        <w:br/>
      </w:r>
    </w:p>
    <w:p>
      <w:r>
        <w:t xml:space="preserve">2) Follow the Money, 9 januari 2025, Ouders kunnen bij de kinderrechter niet rekenen op een eerlijk proces (https://www.ftm.nl/artikelen/geen-eerlijk-proces-kinderrechter).</w:t>
      </w:r>
      <w:r>
        <w:br/>
      </w:r>
    </w:p>
    <w:p>
      <w:r>
        <w:t xml:space="preserve">3) ECLI:NL:RBMNE:2024:6492.</w:t>
      </w:r>
      <w:r>
        <w:br/>
      </w:r>
    </w:p>
    <w:p>
      <w:r>
        <w:t xml:space="preserve">4) ECLI:NL:HR:2023:1148.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