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C67D6" w:rsidTr="00D9561B" w14:paraId="7B0DD0B6" w14:textId="77777777">
        <w:trPr>
          <w:trHeight w:val="1514"/>
        </w:trPr>
        <w:tc>
          <w:tcPr>
            <w:tcW w:w="7522" w:type="dxa"/>
            <w:tcBorders>
              <w:top w:val="nil"/>
              <w:left w:val="nil"/>
              <w:bottom w:val="nil"/>
              <w:right w:val="nil"/>
            </w:tcBorders>
            <w:tcMar>
              <w:left w:w="0" w:type="dxa"/>
              <w:right w:w="0" w:type="dxa"/>
            </w:tcMar>
          </w:tcPr>
          <w:p w:rsidR="00374412" w:rsidP="00D9561B" w:rsidRDefault="00E63106" w14:paraId="12C39091" w14:textId="77777777">
            <w:r>
              <w:t>De v</w:t>
            </w:r>
            <w:r w:rsidR="008E3932">
              <w:t>oorzitter van de Tweede Kamer der Staten-Generaal</w:t>
            </w:r>
          </w:p>
          <w:p w:rsidR="00374412" w:rsidP="00D9561B" w:rsidRDefault="00E63106" w14:paraId="738DBE00" w14:textId="77777777">
            <w:r>
              <w:t>Postbus 20018</w:t>
            </w:r>
          </w:p>
          <w:p w:rsidR="008E3932" w:rsidP="00D9561B" w:rsidRDefault="00E63106" w14:paraId="1FBEF01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C67D6" w:rsidTr="00FF66F9" w14:paraId="03F4DD0B" w14:textId="77777777">
        <w:trPr>
          <w:trHeight w:val="289" w:hRule="exact"/>
        </w:trPr>
        <w:tc>
          <w:tcPr>
            <w:tcW w:w="929" w:type="dxa"/>
          </w:tcPr>
          <w:p w:rsidRPr="00434042" w:rsidR="0005404B" w:rsidP="00FF66F9" w:rsidRDefault="00E63106" w14:paraId="5C0CC9F4" w14:textId="77777777">
            <w:pPr>
              <w:rPr>
                <w:lang w:eastAsia="en-US"/>
              </w:rPr>
            </w:pPr>
            <w:r>
              <w:rPr>
                <w:lang w:eastAsia="en-US"/>
              </w:rPr>
              <w:t>Datum</w:t>
            </w:r>
          </w:p>
        </w:tc>
        <w:tc>
          <w:tcPr>
            <w:tcW w:w="6581" w:type="dxa"/>
          </w:tcPr>
          <w:p w:rsidRPr="00434042" w:rsidR="0005404B" w:rsidP="00FF66F9" w:rsidRDefault="000C6A19" w14:paraId="71AC8EF2" w14:textId="1086D33C">
            <w:pPr>
              <w:rPr>
                <w:lang w:eastAsia="en-US"/>
              </w:rPr>
            </w:pPr>
            <w:r>
              <w:rPr>
                <w:lang w:eastAsia="en-US"/>
              </w:rPr>
              <w:t>28 januari 2025</w:t>
            </w:r>
          </w:p>
        </w:tc>
      </w:tr>
      <w:tr w:rsidR="00EC67D6" w:rsidTr="00FF66F9" w14:paraId="4043F9E0" w14:textId="77777777">
        <w:trPr>
          <w:trHeight w:val="368"/>
        </w:trPr>
        <w:tc>
          <w:tcPr>
            <w:tcW w:w="929" w:type="dxa"/>
          </w:tcPr>
          <w:p w:rsidR="0005404B" w:rsidP="00FF66F9" w:rsidRDefault="00E63106" w14:paraId="63D09DAD" w14:textId="77777777">
            <w:pPr>
              <w:rPr>
                <w:lang w:eastAsia="en-US"/>
              </w:rPr>
            </w:pPr>
            <w:r>
              <w:rPr>
                <w:lang w:eastAsia="en-US"/>
              </w:rPr>
              <w:t>Betreft</w:t>
            </w:r>
          </w:p>
        </w:tc>
        <w:tc>
          <w:tcPr>
            <w:tcW w:w="6581" w:type="dxa"/>
          </w:tcPr>
          <w:p w:rsidR="0005404B" w:rsidP="00FF66F9" w:rsidRDefault="00D40E99" w14:paraId="553DD5E8" w14:textId="5AAA416A">
            <w:pPr>
              <w:rPr>
                <w:lang w:eastAsia="en-US"/>
              </w:rPr>
            </w:pPr>
            <w:r>
              <w:rPr>
                <w:lang w:eastAsia="en-US"/>
              </w:rPr>
              <w:t>Deels foutief toegekende</w:t>
            </w:r>
            <w:r w:rsidR="00E63106">
              <w:rPr>
                <w:lang w:eastAsia="en-US"/>
              </w:rPr>
              <w:t xml:space="preserve"> tegemoetkoming</w:t>
            </w:r>
            <w:r>
              <w:rPr>
                <w:lang w:eastAsia="en-US"/>
              </w:rPr>
              <w:t xml:space="preserve"> leenstelsel</w:t>
            </w:r>
            <w:r w:rsidR="00E63106">
              <w:rPr>
                <w:lang w:eastAsia="en-US"/>
              </w:rPr>
              <w:t xml:space="preserve"> voor </w:t>
            </w:r>
            <w:r>
              <w:rPr>
                <w:lang w:eastAsia="en-US"/>
              </w:rPr>
              <w:t>specifieke groep EER-</w:t>
            </w:r>
            <w:r w:rsidR="00E63106">
              <w:rPr>
                <w:lang w:eastAsia="en-US"/>
              </w:rPr>
              <w:t>studenten</w:t>
            </w:r>
          </w:p>
        </w:tc>
      </w:tr>
    </w:tbl>
    <w:p w:rsidR="00EC67D6" w:rsidRDefault="001C2C36" w14:paraId="0AD5E2F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C6A19" w:rsidR="00EC67D6" w:rsidTr="00A421A1" w14:paraId="5000AD40" w14:textId="77777777">
        <w:tc>
          <w:tcPr>
            <w:tcW w:w="2160" w:type="dxa"/>
          </w:tcPr>
          <w:p w:rsidRPr="00F53C9D" w:rsidR="006205C0" w:rsidP="00686AED" w:rsidRDefault="00E63106" w14:paraId="4A71CADE" w14:textId="77777777">
            <w:pPr>
              <w:pStyle w:val="Colofonkop"/>
              <w:framePr w:hSpace="0" w:wrap="auto" w:hAnchor="text" w:vAnchor="margin" w:xAlign="left" w:yAlign="inline"/>
            </w:pPr>
            <w:r>
              <w:t>Hoger Onderwijs en Studiefinanciering</w:t>
            </w:r>
          </w:p>
          <w:p w:rsidR="006205C0" w:rsidP="00A421A1" w:rsidRDefault="00E63106" w14:paraId="0A808104" w14:textId="77777777">
            <w:pPr>
              <w:pStyle w:val="Huisstijl-Gegeven"/>
              <w:spacing w:after="0"/>
            </w:pPr>
            <w:r>
              <w:t xml:space="preserve">Rijnstraat 50 </w:t>
            </w:r>
          </w:p>
          <w:p w:rsidR="004425A7" w:rsidP="00E972A2" w:rsidRDefault="00E63106" w14:paraId="7EE22C2C" w14:textId="77777777">
            <w:pPr>
              <w:pStyle w:val="Huisstijl-Gegeven"/>
              <w:spacing w:after="0"/>
            </w:pPr>
            <w:r>
              <w:t>Den Haag</w:t>
            </w:r>
          </w:p>
          <w:p w:rsidR="004425A7" w:rsidP="00E972A2" w:rsidRDefault="00E63106" w14:paraId="45C59D41" w14:textId="77777777">
            <w:pPr>
              <w:pStyle w:val="Huisstijl-Gegeven"/>
              <w:spacing w:after="0"/>
            </w:pPr>
            <w:r>
              <w:t>Postbus 16375</w:t>
            </w:r>
          </w:p>
          <w:p w:rsidR="004425A7" w:rsidP="00E972A2" w:rsidRDefault="00E63106" w14:paraId="492E9776" w14:textId="77777777">
            <w:pPr>
              <w:pStyle w:val="Huisstijl-Gegeven"/>
              <w:spacing w:after="0"/>
            </w:pPr>
            <w:r>
              <w:t>2500 BJ Den Haag</w:t>
            </w:r>
          </w:p>
          <w:p w:rsidR="004425A7" w:rsidP="00E972A2" w:rsidRDefault="00E63106" w14:paraId="1B756356" w14:textId="77777777">
            <w:pPr>
              <w:pStyle w:val="Huisstijl-Gegeven"/>
              <w:spacing w:after="90"/>
            </w:pPr>
            <w:r>
              <w:t>www.rijksoverheid.nl</w:t>
            </w:r>
          </w:p>
          <w:p w:rsidRPr="00D86CC6" w:rsidR="006205C0" w:rsidP="00A421A1" w:rsidRDefault="00E63106" w14:paraId="01708914" w14:textId="77777777">
            <w:pPr>
              <w:spacing w:line="180" w:lineRule="exact"/>
              <w:rPr>
                <w:b/>
                <w:sz w:val="13"/>
                <w:szCs w:val="13"/>
              </w:rPr>
            </w:pPr>
            <w:r>
              <w:rPr>
                <w:b/>
                <w:sz w:val="13"/>
                <w:szCs w:val="13"/>
              </w:rPr>
              <w:t>Contactpersoon</w:t>
            </w:r>
          </w:p>
          <w:p w:rsidR="000C6A19" w:rsidP="000C6A19" w:rsidRDefault="000C6A19" w14:paraId="55476588" w14:textId="186EE147">
            <w:pPr>
              <w:spacing w:after="90" w:line="180" w:lineRule="exact"/>
              <w:rPr>
                <w:sz w:val="13"/>
                <w:szCs w:val="13"/>
              </w:rPr>
            </w:pPr>
          </w:p>
          <w:p w:rsidRPr="00E63106" w:rsidR="000C6A19" w:rsidP="000C6A19" w:rsidRDefault="000C6A19" w14:paraId="616F2459" w14:textId="77777777">
            <w:pPr>
              <w:spacing w:after="90" w:line="180" w:lineRule="exact"/>
              <w:rPr>
                <w:sz w:val="13"/>
                <w:szCs w:val="13"/>
                <w:lang w:val="en-US"/>
              </w:rPr>
            </w:pPr>
          </w:p>
          <w:p w:rsidRPr="00E63106" w:rsidR="006205C0" w:rsidP="00A421A1" w:rsidRDefault="006205C0" w14:paraId="6E445F15" w14:textId="236E3047">
            <w:pPr>
              <w:spacing w:line="180" w:lineRule="exact"/>
              <w:rPr>
                <w:sz w:val="13"/>
                <w:szCs w:val="13"/>
                <w:lang w:val="en-US"/>
              </w:rPr>
            </w:pPr>
          </w:p>
        </w:tc>
      </w:tr>
      <w:tr w:rsidRPr="000C6A19" w:rsidR="00EC67D6" w:rsidTr="00A421A1" w14:paraId="2D298467" w14:textId="77777777">
        <w:trPr>
          <w:trHeight w:val="200" w:hRule="exact"/>
        </w:trPr>
        <w:tc>
          <w:tcPr>
            <w:tcW w:w="2160" w:type="dxa"/>
          </w:tcPr>
          <w:p w:rsidRPr="00E63106" w:rsidR="006205C0" w:rsidP="00A421A1" w:rsidRDefault="006205C0" w14:paraId="45035D92" w14:textId="77777777">
            <w:pPr>
              <w:spacing w:after="90" w:line="180" w:lineRule="exact"/>
              <w:rPr>
                <w:sz w:val="13"/>
                <w:szCs w:val="13"/>
                <w:lang w:val="en-US"/>
              </w:rPr>
            </w:pPr>
          </w:p>
        </w:tc>
      </w:tr>
      <w:tr w:rsidR="00EC67D6" w:rsidTr="00A421A1" w14:paraId="7C8DC869" w14:textId="77777777">
        <w:trPr>
          <w:trHeight w:val="450"/>
        </w:trPr>
        <w:tc>
          <w:tcPr>
            <w:tcW w:w="2160" w:type="dxa"/>
          </w:tcPr>
          <w:p w:rsidR="00F51A76" w:rsidP="00A421A1" w:rsidRDefault="00E63106" w14:paraId="2CC93F82" w14:textId="77777777">
            <w:pPr>
              <w:spacing w:line="180" w:lineRule="exact"/>
              <w:rPr>
                <w:b/>
                <w:sz w:val="13"/>
                <w:szCs w:val="13"/>
              </w:rPr>
            </w:pPr>
            <w:r>
              <w:rPr>
                <w:b/>
                <w:sz w:val="13"/>
                <w:szCs w:val="13"/>
              </w:rPr>
              <w:t>Onze referentie</w:t>
            </w:r>
          </w:p>
          <w:p w:rsidRPr="00FA7882" w:rsidR="006205C0" w:rsidP="00215356" w:rsidRDefault="00E63106" w14:paraId="3F961AC5" w14:textId="56755B43">
            <w:pPr>
              <w:spacing w:line="180" w:lineRule="exact"/>
              <w:rPr>
                <w:sz w:val="13"/>
                <w:szCs w:val="13"/>
              </w:rPr>
            </w:pPr>
            <w:r>
              <w:rPr>
                <w:sz w:val="13"/>
                <w:szCs w:val="13"/>
              </w:rPr>
              <w:t>5029</w:t>
            </w:r>
            <w:r w:rsidR="000171B9">
              <w:rPr>
                <w:sz w:val="13"/>
                <w:szCs w:val="13"/>
              </w:rPr>
              <w:t>5356</w:t>
            </w:r>
          </w:p>
        </w:tc>
      </w:tr>
      <w:tr w:rsidR="00EC67D6" w:rsidTr="00D130C0" w14:paraId="685E1CCC" w14:textId="77777777">
        <w:trPr>
          <w:trHeight w:val="113"/>
        </w:trPr>
        <w:tc>
          <w:tcPr>
            <w:tcW w:w="2160" w:type="dxa"/>
          </w:tcPr>
          <w:p w:rsidRPr="00C5333A" w:rsidR="006205C0" w:rsidP="00D36088" w:rsidRDefault="00E63106" w14:paraId="664E63F8" w14:textId="77777777">
            <w:pPr>
              <w:tabs>
                <w:tab w:val="center" w:pos="1080"/>
              </w:tabs>
              <w:spacing w:line="180" w:lineRule="exact"/>
              <w:rPr>
                <w:sz w:val="13"/>
                <w:szCs w:val="13"/>
              </w:rPr>
            </w:pPr>
            <w:r>
              <w:rPr>
                <w:b/>
                <w:sz w:val="13"/>
                <w:szCs w:val="13"/>
              </w:rPr>
              <w:t>Bijlagen</w:t>
            </w:r>
          </w:p>
        </w:tc>
      </w:tr>
      <w:tr w:rsidR="00EC67D6" w:rsidTr="00D130C0" w14:paraId="4184FC1B" w14:textId="77777777">
        <w:trPr>
          <w:trHeight w:val="113"/>
        </w:trPr>
        <w:tc>
          <w:tcPr>
            <w:tcW w:w="2160" w:type="dxa"/>
          </w:tcPr>
          <w:p w:rsidRPr="00D74F66" w:rsidR="006205C0" w:rsidP="00A421A1" w:rsidRDefault="006205C0" w14:paraId="7D83BA0A" w14:textId="77777777">
            <w:pPr>
              <w:spacing w:after="90" w:line="180" w:lineRule="exact"/>
              <w:rPr>
                <w:sz w:val="13"/>
              </w:rPr>
            </w:pPr>
          </w:p>
        </w:tc>
      </w:tr>
    </w:tbl>
    <w:p w:rsidR="00215356" w:rsidRDefault="00215356" w14:paraId="25C875FF" w14:textId="77777777"/>
    <w:p w:rsidR="00E63106" w:rsidP="00E63106" w:rsidRDefault="00E63106" w14:paraId="6DBDEB48" w14:textId="77777777">
      <w:pPr>
        <w:rPr>
          <w:szCs w:val="18"/>
        </w:rPr>
      </w:pPr>
      <w:r w:rsidRPr="00480DE5">
        <w:rPr>
          <w:szCs w:val="18"/>
        </w:rPr>
        <w:t xml:space="preserve">DUO voert vanaf deze maand twee tegemoetkomingen uit: de tegemoetkoming voor leenstelselstudenten en de tegemoetkoming ter vervanging van de studievoorschotvoucher. Op 9 en 10 januari is de eerste stap gezet: 576.000 studenten hebben in totaal meer dan € 800 miljoen euro afgetrokken gekregen van hun studieschuld. Over een aantal weken wordt de volgende stap gezet: dan wordt meer dan € 500 miljoen uitgekeerd aan 240.500 studenten zonder studieschuld of waarvan de studieschuld lager is dan het bedrag dat ze ontvangen.  </w:t>
      </w:r>
    </w:p>
    <w:p w:rsidRPr="00480DE5" w:rsidR="00E63106" w:rsidP="00E63106" w:rsidRDefault="00E63106" w14:paraId="6DD428DC" w14:textId="77777777">
      <w:pPr>
        <w:rPr>
          <w:szCs w:val="18"/>
        </w:rPr>
      </w:pPr>
    </w:p>
    <w:p w:rsidR="00E63106" w:rsidP="00E63106" w:rsidRDefault="00E63106" w14:paraId="29F81641" w14:textId="77777777">
      <w:pPr>
        <w:rPr>
          <w:szCs w:val="18"/>
        </w:rPr>
      </w:pPr>
      <w:r w:rsidRPr="00480DE5">
        <w:rPr>
          <w:szCs w:val="18"/>
        </w:rPr>
        <w:t>Helaas heeft DUO geconstateerd dat er een fout is gemaakt, die de komende weken zal worden hersteld</w:t>
      </w:r>
      <w:r>
        <w:rPr>
          <w:szCs w:val="18"/>
        </w:rPr>
        <w:t>:</w:t>
      </w:r>
      <w:r w:rsidRPr="00480DE5">
        <w:rPr>
          <w:szCs w:val="18"/>
        </w:rPr>
        <w:t xml:space="preserve"> 8.590 studenten </w:t>
      </w:r>
      <w:r>
        <w:rPr>
          <w:szCs w:val="18"/>
        </w:rPr>
        <w:t xml:space="preserve">hebben </w:t>
      </w:r>
      <w:r w:rsidRPr="00480DE5">
        <w:rPr>
          <w:szCs w:val="18"/>
        </w:rPr>
        <w:t xml:space="preserve">een bericht ontvangen dat zij recht hebben op een tegemoetkoming voor leenstelselstudenten, terwijl zij daar geen of slechts gedeeltelijk recht op hadden. Het gaat om internationale studenten </w:t>
      </w:r>
      <w:r>
        <w:rPr>
          <w:szCs w:val="18"/>
        </w:rPr>
        <w:t xml:space="preserve">afkomstig uit de </w:t>
      </w:r>
      <w:r w:rsidRPr="00480DE5">
        <w:rPr>
          <w:szCs w:val="18"/>
        </w:rPr>
        <w:t>E</w:t>
      </w:r>
      <w:r>
        <w:rPr>
          <w:szCs w:val="18"/>
        </w:rPr>
        <w:t xml:space="preserve">uropese </w:t>
      </w:r>
      <w:r w:rsidRPr="00480DE5">
        <w:rPr>
          <w:szCs w:val="18"/>
        </w:rPr>
        <w:t>E</w:t>
      </w:r>
      <w:r>
        <w:rPr>
          <w:szCs w:val="18"/>
        </w:rPr>
        <w:t xml:space="preserve">conomische </w:t>
      </w:r>
      <w:r w:rsidRPr="00480DE5">
        <w:rPr>
          <w:szCs w:val="18"/>
        </w:rPr>
        <w:t>R</w:t>
      </w:r>
      <w:r>
        <w:rPr>
          <w:szCs w:val="18"/>
        </w:rPr>
        <w:t xml:space="preserve">uimte, Zwitserland en het Verenigd Koninkrijk (hierna: EER), </w:t>
      </w:r>
      <w:r w:rsidRPr="00480DE5">
        <w:rPr>
          <w:szCs w:val="18"/>
        </w:rPr>
        <w:t xml:space="preserve">die ten onrechte </w:t>
      </w:r>
      <w:r>
        <w:rPr>
          <w:szCs w:val="18"/>
        </w:rPr>
        <w:t xml:space="preserve">een bericht over </w:t>
      </w:r>
      <w:r w:rsidRPr="00480DE5">
        <w:rPr>
          <w:szCs w:val="18"/>
        </w:rPr>
        <w:t>tegemoetkoming hebben gekregen voor maanden waarin zij, op grond van de bij DUO beschikbare gegevens, alleen recht hadden op collegegeldkrediet.</w:t>
      </w:r>
      <w:r>
        <w:rPr>
          <w:rStyle w:val="Voetnootmarkering"/>
          <w:szCs w:val="18"/>
        </w:rPr>
        <w:footnoteReference w:id="1"/>
      </w:r>
      <w:r w:rsidRPr="00480DE5">
        <w:rPr>
          <w:szCs w:val="18"/>
        </w:rPr>
        <w:t xml:space="preserve"> Voor het grootste deel van deze studenten is de tegemoetkoming inmiddels ook afgetrokken van hun studieschuld.</w:t>
      </w:r>
    </w:p>
    <w:p w:rsidRPr="00480DE5" w:rsidR="00E63106" w:rsidP="00E63106" w:rsidRDefault="00E63106" w14:paraId="603D9FC0" w14:textId="77777777">
      <w:pPr>
        <w:rPr>
          <w:szCs w:val="18"/>
        </w:rPr>
      </w:pPr>
    </w:p>
    <w:p w:rsidR="00E63106" w:rsidP="00E63106" w:rsidRDefault="00E63106" w14:paraId="2D7A8113" w14:textId="6DC2CB88">
      <w:pPr>
        <w:rPr>
          <w:szCs w:val="18"/>
        </w:rPr>
      </w:pPr>
      <w:r w:rsidRPr="00CF127E">
        <w:rPr>
          <w:szCs w:val="18"/>
        </w:rPr>
        <w:t xml:space="preserve">DUO gaat dit zo snel mogelijk herstellen. DUO stuurt de betreffende </w:t>
      </w:r>
      <w:r>
        <w:rPr>
          <w:szCs w:val="18"/>
        </w:rPr>
        <w:t>(oud-)</w:t>
      </w:r>
      <w:r w:rsidR="000C6A19">
        <w:rPr>
          <w:szCs w:val="18"/>
        </w:rPr>
        <w:t xml:space="preserve"> </w:t>
      </w:r>
      <w:r w:rsidRPr="00CF127E">
        <w:rPr>
          <w:szCs w:val="18"/>
        </w:rPr>
        <w:t>studenten een brief</w:t>
      </w:r>
      <w:r>
        <w:rPr>
          <w:szCs w:val="18"/>
        </w:rPr>
        <w:t xml:space="preserve"> en</w:t>
      </w:r>
      <w:r w:rsidRPr="00CF127E">
        <w:rPr>
          <w:szCs w:val="18"/>
        </w:rPr>
        <w:t xml:space="preserve"> past de </w:t>
      </w:r>
      <w:r>
        <w:rPr>
          <w:szCs w:val="18"/>
        </w:rPr>
        <w:t xml:space="preserve">openstaande </w:t>
      </w:r>
      <w:r w:rsidRPr="00CF127E">
        <w:rPr>
          <w:szCs w:val="18"/>
        </w:rPr>
        <w:t>studieschuld weer aan naar het juiste bedrag</w:t>
      </w:r>
      <w:r>
        <w:rPr>
          <w:szCs w:val="18"/>
        </w:rPr>
        <w:t>.</w:t>
      </w:r>
      <w:r w:rsidRPr="00CF127E">
        <w:rPr>
          <w:szCs w:val="18"/>
        </w:rPr>
        <w:t xml:space="preserve"> </w:t>
      </w:r>
      <w:r>
        <w:rPr>
          <w:szCs w:val="18"/>
        </w:rPr>
        <w:t>G</w:t>
      </w:r>
      <w:r w:rsidRPr="00CF127E">
        <w:rPr>
          <w:szCs w:val="18"/>
        </w:rPr>
        <w:t xml:space="preserve">eplande </w:t>
      </w:r>
      <w:r>
        <w:rPr>
          <w:szCs w:val="18"/>
        </w:rPr>
        <w:t xml:space="preserve">onjuiste </w:t>
      </w:r>
      <w:r w:rsidRPr="00CF127E">
        <w:rPr>
          <w:szCs w:val="18"/>
        </w:rPr>
        <w:t>uitbetalingen worden tegengehouden.</w:t>
      </w:r>
      <w:r w:rsidRPr="00480DE5">
        <w:rPr>
          <w:szCs w:val="18"/>
        </w:rPr>
        <w:t xml:space="preserve"> In totaal gaat het </w:t>
      </w:r>
      <w:r>
        <w:rPr>
          <w:szCs w:val="18"/>
        </w:rPr>
        <w:t>te herstellen</w:t>
      </w:r>
      <w:r w:rsidRPr="00480DE5">
        <w:rPr>
          <w:szCs w:val="18"/>
        </w:rPr>
        <w:t xml:space="preserve"> bedrag om € 6,6 miljoen.  </w:t>
      </w:r>
    </w:p>
    <w:p w:rsidRPr="00480DE5" w:rsidR="00E63106" w:rsidP="00E63106" w:rsidRDefault="00E63106" w14:paraId="4706B8B8" w14:textId="77777777">
      <w:pPr>
        <w:rPr>
          <w:szCs w:val="18"/>
        </w:rPr>
      </w:pPr>
    </w:p>
    <w:p w:rsidR="00E63106" w:rsidP="00E63106" w:rsidRDefault="00E63106" w14:paraId="4FB677FD" w14:textId="77777777">
      <w:pPr>
        <w:rPr>
          <w:szCs w:val="18"/>
        </w:rPr>
      </w:pPr>
      <w:r>
        <w:rPr>
          <w:szCs w:val="18"/>
        </w:rPr>
        <w:t>De fout is ontstaan door</w:t>
      </w:r>
      <w:r w:rsidRPr="00480DE5">
        <w:rPr>
          <w:szCs w:val="18"/>
        </w:rPr>
        <w:t xml:space="preserve"> een onvolledige afbakening van de doelgroep binnen het toekenningsproces</w:t>
      </w:r>
      <w:r>
        <w:rPr>
          <w:szCs w:val="18"/>
        </w:rPr>
        <w:t xml:space="preserve"> van de tegemoetkoming voor leenstelselstudenten</w:t>
      </w:r>
      <w:r w:rsidRPr="00480DE5">
        <w:rPr>
          <w:szCs w:val="18"/>
        </w:rPr>
        <w:t>.</w:t>
      </w:r>
      <w:r w:rsidRPr="00CF127E">
        <w:rPr>
          <w:rStyle w:val="Voetnootmarkering"/>
          <w:szCs w:val="18"/>
        </w:rPr>
        <w:footnoteReference w:id="2"/>
      </w:r>
      <w:r w:rsidRPr="00480DE5">
        <w:rPr>
          <w:szCs w:val="18"/>
        </w:rPr>
        <w:t xml:space="preserve"> </w:t>
      </w:r>
      <w:r w:rsidRPr="00CF127E">
        <w:rPr>
          <w:szCs w:val="18"/>
        </w:rPr>
        <w:t xml:space="preserve">De hoogte </w:t>
      </w:r>
      <w:r w:rsidRPr="00CF127E">
        <w:rPr>
          <w:szCs w:val="18"/>
        </w:rPr>
        <w:lastRenderedPageBreak/>
        <w:t xml:space="preserve">van de tegemoetkoming voor leenstelselstudenten hangt af van het aantal maanden dat een student recht had op volledige studiefinanciering in de periode dat het leenstelsel bestond. Alleen </w:t>
      </w:r>
      <w:r>
        <w:rPr>
          <w:szCs w:val="18"/>
        </w:rPr>
        <w:t xml:space="preserve">een recht op </w:t>
      </w:r>
      <w:r w:rsidRPr="00CF127E">
        <w:rPr>
          <w:szCs w:val="18"/>
        </w:rPr>
        <w:t xml:space="preserve">collegegeldkrediet is volgens de wet niet voldoende. </w:t>
      </w:r>
      <w:r w:rsidRPr="00480DE5">
        <w:rPr>
          <w:szCs w:val="18"/>
        </w:rPr>
        <w:t xml:space="preserve">Dat is bij het toekenningsproces niet goed overgenomen: </w:t>
      </w:r>
      <w:r w:rsidRPr="00CF127E">
        <w:rPr>
          <w:szCs w:val="18"/>
        </w:rPr>
        <w:t xml:space="preserve">bij het afbakenen van de doelgroep </w:t>
      </w:r>
      <w:r>
        <w:rPr>
          <w:szCs w:val="18"/>
        </w:rPr>
        <w:t>is</w:t>
      </w:r>
      <w:r w:rsidRPr="00CF127E">
        <w:rPr>
          <w:szCs w:val="18"/>
        </w:rPr>
        <w:t xml:space="preserve"> de groep studenten die, volgens de bij DUO beschikbare gegevens, alleen recht hadden</w:t>
      </w:r>
      <w:r>
        <w:rPr>
          <w:szCs w:val="18"/>
        </w:rPr>
        <w:t xml:space="preserve"> op</w:t>
      </w:r>
      <w:r w:rsidRPr="00CF127E">
        <w:rPr>
          <w:szCs w:val="18"/>
        </w:rPr>
        <w:t xml:space="preserve"> collegegeldkrediet toch binnen de afbakening</w:t>
      </w:r>
      <w:r>
        <w:rPr>
          <w:szCs w:val="18"/>
        </w:rPr>
        <w:t xml:space="preserve"> gevallen</w:t>
      </w:r>
      <w:r w:rsidRPr="00CF127E">
        <w:rPr>
          <w:szCs w:val="18"/>
        </w:rPr>
        <w:t xml:space="preserve">. Zij hebben daarom toch bericht gekregen dat zij </w:t>
      </w:r>
      <w:r>
        <w:rPr>
          <w:szCs w:val="18"/>
        </w:rPr>
        <w:t xml:space="preserve">voor die maanden </w:t>
      </w:r>
      <w:r w:rsidRPr="00CF127E">
        <w:rPr>
          <w:szCs w:val="18"/>
        </w:rPr>
        <w:t xml:space="preserve">recht hadden op de tegemoetkoming voor leenstelselstudenten. Dit had niet zo moeten zijn. </w:t>
      </w:r>
    </w:p>
    <w:p w:rsidRPr="00CF127E" w:rsidR="00E63106" w:rsidP="00E63106" w:rsidRDefault="00E63106" w14:paraId="66E8FE05" w14:textId="77777777">
      <w:pPr>
        <w:rPr>
          <w:szCs w:val="18"/>
        </w:rPr>
      </w:pPr>
    </w:p>
    <w:p w:rsidR="00E63106" w:rsidP="00E63106" w:rsidRDefault="00E63106" w14:paraId="262606B2" w14:textId="77777777">
      <w:pPr>
        <w:rPr>
          <w:szCs w:val="18"/>
        </w:rPr>
      </w:pPr>
      <w:r>
        <w:rPr>
          <w:szCs w:val="18"/>
        </w:rPr>
        <w:t>S</w:t>
      </w:r>
      <w:r w:rsidRPr="00CF127E">
        <w:rPr>
          <w:szCs w:val="18"/>
        </w:rPr>
        <w:t xml:space="preserve">ommige studenten </w:t>
      </w:r>
      <w:r>
        <w:rPr>
          <w:szCs w:val="18"/>
        </w:rPr>
        <w:t xml:space="preserve">hebben daardoor </w:t>
      </w:r>
      <w:r w:rsidRPr="00CF127E">
        <w:rPr>
          <w:szCs w:val="18"/>
        </w:rPr>
        <w:t xml:space="preserve">een </w:t>
      </w:r>
      <w:r>
        <w:rPr>
          <w:szCs w:val="18"/>
        </w:rPr>
        <w:t xml:space="preserve">bericht over </w:t>
      </w:r>
      <w:r w:rsidRPr="00CF127E">
        <w:rPr>
          <w:szCs w:val="18"/>
        </w:rPr>
        <w:t xml:space="preserve">tegemoetkoming toegekend gekregen, terwijl dat niet zo had moeten zijn: studenten die in de gehele relevante periode alleen recht hadden op collegegeldkrediet. In andere gevallen hadden de studenten (uit de EER) voor een deel wel recht op tegemoetkoming, </w:t>
      </w:r>
      <w:r>
        <w:rPr>
          <w:szCs w:val="18"/>
        </w:rPr>
        <w:t xml:space="preserve">bijvoorbeeld </w:t>
      </w:r>
      <w:r w:rsidRPr="00CF127E">
        <w:rPr>
          <w:szCs w:val="18"/>
        </w:rPr>
        <w:t>omdat zij</w:t>
      </w:r>
      <w:r>
        <w:rPr>
          <w:szCs w:val="18"/>
        </w:rPr>
        <w:t xml:space="preserve"> (of hun ouder of partner)</w:t>
      </w:r>
      <w:r w:rsidRPr="00CF127E">
        <w:rPr>
          <w:szCs w:val="18"/>
        </w:rPr>
        <w:t xml:space="preserve"> in een </w:t>
      </w:r>
      <w:r>
        <w:rPr>
          <w:szCs w:val="18"/>
        </w:rPr>
        <w:t>deel van de nu toegekende</w:t>
      </w:r>
      <w:r w:rsidRPr="00CF127E">
        <w:rPr>
          <w:szCs w:val="18"/>
        </w:rPr>
        <w:t xml:space="preserve"> periode kwalificeerden als migrerend werknemer en daardoor dezelfde rechten hebben als Nederlandse studenten. Die studenten hebben nu meer tegemoetkoming </w:t>
      </w:r>
      <w:r>
        <w:rPr>
          <w:szCs w:val="18"/>
        </w:rPr>
        <w:t xml:space="preserve">toegewezen </w:t>
      </w:r>
      <w:r w:rsidRPr="00CF127E">
        <w:rPr>
          <w:szCs w:val="18"/>
        </w:rPr>
        <w:t>gekregen dan waar zij recht op hebben op basis van de bij DUO beschikbare gegevens.</w:t>
      </w:r>
      <w:r>
        <w:rPr>
          <w:rStyle w:val="Voetnootmarkering"/>
          <w:szCs w:val="18"/>
        </w:rPr>
        <w:footnoteReference w:id="3"/>
      </w:r>
      <w:r w:rsidRPr="00CF127E" w:rsidDel="008B013D">
        <w:rPr>
          <w:rStyle w:val="Voetnootmarkering"/>
          <w:szCs w:val="18"/>
        </w:rPr>
        <w:t xml:space="preserve"> </w:t>
      </w:r>
    </w:p>
    <w:p w:rsidRPr="00CF127E" w:rsidR="00E63106" w:rsidP="00E63106" w:rsidRDefault="00E63106" w14:paraId="2C552245" w14:textId="77777777">
      <w:pPr>
        <w:rPr>
          <w:szCs w:val="18"/>
        </w:rPr>
      </w:pPr>
    </w:p>
    <w:p w:rsidRPr="00480DE5" w:rsidR="00E63106" w:rsidP="00E63106" w:rsidRDefault="00E63106" w14:paraId="1BDB8FB7" w14:textId="77777777">
      <w:pPr>
        <w:rPr>
          <w:szCs w:val="18"/>
        </w:rPr>
      </w:pPr>
      <w:r w:rsidRPr="00CF127E">
        <w:rPr>
          <w:szCs w:val="18"/>
        </w:rPr>
        <w:t>Deze fout heeft geen gevolgen voor de tegemoetkoming ter vervanging van de studievoorschotvoucher, omdat deze een andere doelgroep kent.</w:t>
      </w:r>
      <w:r w:rsidRPr="00480DE5">
        <w:rPr>
          <w:szCs w:val="18"/>
        </w:rPr>
        <w:t xml:space="preserve"> </w:t>
      </w:r>
    </w:p>
    <w:p w:rsidR="00E63106" w:rsidP="00E63106" w:rsidRDefault="00E63106" w14:paraId="51252A09" w14:textId="77777777">
      <w:pPr>
        <w:rPr>
          <w:szCs w:val="18"/>
        </w:rPr>
      </w:pPr>
      <w:r w:rsidRPr="00480DE5">
        <w:rPr>
          <w:szCs w:val="18"/>
        </w:rPr>
        <w:t xml:space="preserve">DUO is aan het werk om deze fout te herstellen. De </w:t>
      </w:r>
      <w:r>
        <w:rPr>
          <w:szCs w:val="18"/>
        </w:rPr>
        <w:t xml:space="preserve">betrokken </w:t>
      </w:r>
      <w:r w:rsidRPr="00480DE5">
        <w:rPr>
          <w:szCs w:val="18"/>
        </w:rPr>
        <w:t>besluiten worden zo snel mogelijk ingetrokken en de</w:t>
      </w:r>
      <w:r>
        <w:rPr>
          <w:szCs w:val="18"/>
        </w:rPr>
        <w:t xml:space="preserve"> (oud-)</w:t>
      </w:r>
      <w:r w:rsidRPr="00480DE5">
        <w:rPr>
          <w:szCs w:val="18"/>
        </w:rPr>
        <w:t xml:space="preserve">studenten worden daarover geïnformeerd. Eventuele </w:t>
      </w:r>
      <w:r>
        <w:rPr>
          <w:szCs w:val="18"/>
        </w:rPr>
        <w:t xml:space="preserve">geplande </w:t>
      </w:r>
      <w:r w:rsidRPr="00480DE5">
        <w:rPr>
          <w:szCs w:val="18"/>
        </w:rPr>
        <w:t>uitbetalingen worden bij betrokken studenten tegengehouden. Daarnaast worden</w:t>
      </w:r>
      <w:r>
        <w:rPr>
          <w:szCs w:val="18"/>
        </w:rPr>
        <w:t xml:space="preserve"> hun</w:t>
      </w:r>
      <w:r w:rsidRPr="00480DE5">
        <w:rPr>
          <w:szCs w:val="18"/>
        </w:rPr>
        <w:t xml:space="preserve"> studieschulden binnen vier tot zes weken aangepast naar het juiste bedrag. </w:t>
      </w:r>
    </w:p>
    <w:p w:rsidRPr="00480DE5" w:rsidR="00E63106" w:rsidP="00E63106" w:rsidRDefault="00E63106" w14:paraId="725353B2" w14:textId="77777777">
      <w:pPr>
        <w:rPr>
          <w:szCs w:val="18"/>
        </w:rPr>
      </w:pPr>
    </w:p>
    <w:p w:rsidR="00E63106" w:rsidP="00E63106" w:rsidRDefault="00E63106" w14:paraId="19CA6AD9" w14:textId="77777777">
      <w:pPr>
        <w:rPr>
          <w:szCs w:val="18"/>
        </w:rPr>
      </w:pPr>
      <w:r>
        <w:rPr>
          <w:szCs w:val="18"/>
        </w:rPr>
        <w:t>Om dit in de toekomst te voorkomen is h</w:t>
      </w:r>
      <w:r w:rsidRPr="00480DE5">
        <w:rPr>
          <w:szCs w:val="18"/>
        </w:rPr>
        <w:t xml:space="preserve">et werkproces </w:t>
      </w:r>
      <w:r>
        <w:rPr>
          <w:szCs w:val="18"/>
        </w:rPr>
        <w:t>inmiddels</w:t>
      </w:r>
      <w:r w:rsidRPr="00480DE5">
        <w:rPr>
          <w:szCs w:val="18"/>
        </w:rPr>
        <w:t xml:space="preserve"> aangepast </w:t>
      </w:r>
      <w:r>
        <w:rPr>
          <w:szCs w:val="18"/>
        </w:rPr>
        <w:t>en de juiste afbakening doorgevoerd</w:t>
      </w:r>
      <w:r w:rsidRPr="00480DE5">
        <w:rPr>
          <w:szCs w:val="18"/>
        </w:rPr>
        <w:t>.</w:t>
      </w:r>
      <w:r w:rsidRPr="000A230A">
        <w:t xml:space="preserve"> </w:t>
      </w:r>
      <w:r>
        <w:t>Deze aanpassing is geschied volgens</w:t>
      </w:r>
      <w:r w:rsidRPr="000A230A">
        <w:rPr>
          <w:szCs w:val="18"/>
        </w:rPr>
        <w:t xml:space="preserve"> de </w:t>
      </w:r>
      <w:r w:rsidRPr="000A230A">
        <w:rPr>
          <w:szCs w:val="18"/>
        </w:rPr>
        <w:lastRenderedPageBreak/>
        <w:t xml:space="preserve">gebruikelijke methodes voor het </w:t>
      </w:r>
      <w:r>
        <w:rPr>
          <w:szCs w:val="18"/>
        </w:rPr>
        <w:t xml:space="preserve">ontwikkelen </w:t>
      </w:r>
      <w:r w:rsidRPr="005B0E8C">
        <w:rPr>
          <w:szCs w:val="18"/>
        </w:rPr>
        <w:t>en testen</w:t>
      </w:r>
      <w:r w:rsidRPr="005B0E8C">
        <w:t xml:space="preserve"> van de definities binnen de </w:t>
      </w:r>
      <w:r w:rsidRPr="005B0E8C">
        <w:rPr>
          <w:szCs w:val="18"/>
        </w:rPr>
        <w:t>ICT-systemen</w:t>
      </w:r>
      <w:r w:rsidRPr="000A230A">
        <w:rPr>
          <w:szCs w:val="18"/>
        </w:rPr>
        <w:t>.</w:t>
      </w:r>
      <w:r w:rsidRPr="00480DE5">
        <w:rPr>
          <w:szCs w:val="18"/>
        </w:rPr>
        <w:t xml:space="preserve"> </w:t>
      </w:r>
      <w:r w:rsidRPr="00CF127E">
        <w:rPr>
          <w:szCs w:val="18"/>
        </w:rPr>
        <w:t xml:space="preserve">Daarnaast heb ik na laten gaan of er vergelijkbare fouten in het uitvoeringsproces zitten. DUO heeft op basis daarvan geen aanleiding om te denken dat het proces andere fouten bevat. </w:t>
      </w:r>
    </w:p>
    <w:p w:rsidRPr="00CF127E" w:rsidR="00E63106" w:rsidP="00E63106" w:rsidRDefault="00E63106" w14:paraId="2088530B" w14:textId="77777777">
      <w:pPr>
        <w:rPr>
          <w:szCs w:val="18"/>
        </w:rPr>
      </w:pPr>
    </w:p>
    <w:p w:rsidRPr="00CF127E" w:rsidR="00E63106" w:rsidP="00E63106" w:rsidRDefault="00E63106" w14:paraId="0571B691" w14:textId="77777777">
      <w:pPr>
        <w:rPr>
          <w:szCs w:val="18"/>
        </w:rPr>
      </w:pPr>
      <w:r w:rsidRPr="00CF127E">
        <w:rPr>
          <w:szCs w:val="18"/>
        </w:rPr>
        <w:t xml:space="preserve">Ik ben mij ervan bewust dat fouten nooit </w:t>
      </w:r>
      <w:r>
        <w:rPr>
          <w:szCs w:val="18"/>
        </w:rPr>
        <w:t xml:space="preserve">helemaal </w:t>
      </w:r>
      <w:r w:rsidRPr="00CF127E">
        <w:rPr>
          <w:szCs w:val="18"/>
        </w:rPr>
        <w:t>uit te sluiten zijn bij complexe uitvoeringsprocessen, waarbij veel studenten betrokken zijn. Wel moeten we het altijd beter willen doen. DUO werkt daarom continu aan verbetering</w:t>
      </w:r>
      <w:r>
        <w:rPr>
          <w:szCs w:val="18"/>
        </w:rPr>
        <w:t xml:space="preserve"> middels kwaliteitscontroles. Het DUO management stuurt hier actief op.</w:t>
      </w:r>
      <w:r w:rsidRPr="00CF127E">
        <w:rPr>
          <w:szCs w:val="18"/>
        </w:rPr>
        <w:t xml:space="preserve"> </w:t>
      </w:r>
    </w:p>
    <w:p w:rsidRPr="00CF127E" w:rsidR="00E63106" w:rsidP="00E63106" w:rsidRDefault="00E63106" w14:paraId="767580D6" w14:textId="77777777">
      <w:pPr>
        <w:rPr>
          <w:szCs w:val="18"/>
        </w:rPr>
      </w:pPr>
    </w:p>
    <w:p w:rsidRPr="00254260" w:rsidR="00E63106" w:rsidP="00E63106" w:rsidRDefault="00E63106" w14:paraId="14DC795F" w14:textId="77777777">
      <w:pPr>
        <w:rPr>
          <w:szCs w:val="18"/>
        </w:rPr>
      </w:pPr>
    </w:p>
    <w:p w:rsidR="00820DDA" w:rsidP="00CA35E4" w:rsidRDefault="00E63106" w14:paraId="3E437AD1" w14:textId="77777777">
      <w:r>
        <w:t>De minister van Onderwijs, Cultuur en Wetenschap,</w:t>
      </w:r>
    </w:p>
    <w:p w:rsidR="000F521E" w:rsidP="003A7160" w:rsidRDefault="000F521E" w14:paraId="3DCB7E97" w14:textId="77777777"/>
    <w:p w:rsidR="000F521E" w:rsidP="003A7160" w:rsidRDefault="000F521E" w14:paraId="42C43874" w14:textId="77777777"/>
    <w:p w:rsidR="000F521E" w:rsidP="003A7160" w:rsidRDefault="000F521E" w14:paraId="7CB68C8F" w14:textId="77777777"/>
    <w:p w:rsidR="000F521E" w:rsidP="003A7160" w:rsidRDefault="000F521E" w14:paraId="023B42AA" w14:textId="77777777"/>
    <w:p w:rsidR="000F521E" w:rsidP="003A7160" w:rsidRDefault="00E63106" w14:paraId="367918D9" w14:textId="77777777">
      <w:pPr>
        <w:pStyle w:val="standaard-tekst"/>
      </w:pPr>
      <w:proofErr w:type="spellStart"/>
      <w:r>
        <w:t>Eppo</w:t>
      </w:r>
      <w:proofErr w:type="spellEnd"/>
      <w:r>
        <w:t xml:space="preserve"> Bruins</w:t>
      </w:r>
    </w:p>
    <w:p w:rsidR="00F01557" w:rsidP="003A7160" w:rsidRDefault="00F01557" w14:paraId="5EBB134D" w14:textId="77777777"/>
    <w:p w:rsidR="00F01557" w:rsidP="003A7160" w:rsidRDefault="00F01557" w14:paraId="49E052FB" w14:textId="77777777"/>
    <w:p w:rsidR="00184B30" w:rsidP="00A60B58" w:rsidRDefault="00184B30" w14:paraId="3DDC3123" w14:textId="77777777"/>
    <w:p w:rsidR="00184B30" w:rsidP="00A60B58" w:rsidRDefault="00184B30" w14:paraId="4355F045" w14:textId="77777777"/>
    <w:p w:rsidRPr="00820DDA" w:rsidR="00820DDA" w:rsidP="00215964" w:rsidRDefault="00820DDA" w14:paraId="52EF57C3"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F039" w14:textId="77777777" w:rsidR="00DC691C" w:rsidRDefault="00E63106">
      <w:r>
        <w:separator/>
      </w:r>
    </w:p>
    <w:p w14:paraId="49FEA1BC" w14:textId="77777777" w:rsidR="00DC691C" w:rsidRDefault="00DC691C"/>
  </w:endnote>
  <w:endnote w:type="continuationSeparator" w:id="0">
    <w:p w14:paraId="433F578D" w14:textId="77777777" w:rsidR="00DC691C" w:rsidRDefault="00E63106">
      <w:r>
        <w:continuationSeparator/>
      </w:r>
    </w:p>
    <w:p w14:paraId="700EA60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EA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C67D6" w14:paraId="07770D27" w14:textId="77777777" w:rsidTr="004C7E1D">
      <w:trPr>
        <w:trHeight w:hRule="exact" w:val="357"/>
      </w:trPr>
      <w:tc>
        <w:tcPr>
          <w:tcW w:w="7603" w:type="dxa"/>
          <w:shd w:val="clear" w:color="auto" w:fill="auto"/>
        </w:tcPr>
        <w:p w14:paraId="3CE370C4" w14:textId="77777777" w:rsidR="002F71BB" w:rsidRPr="004C7E1D" w:rsidRDefault="002F71BB" w:rsidP="004C7E1D">
          <w:pPr>
            <w:spacing w:line="180" w:lineRule="exact"/>
            <w:rPr>
              <w:sz w:val="13"/>
              <w:szCs w:val="13"/>
            </w:rPr>
          </w:pPr>
        </w:p>
      </w:tc>
      <w:tc>
        <w:tcPr>
          <w:tcW w:w="2172" w:type="dxa"/>
          <w:shd w:val="clear" w:color="auto" w:fill="auto"/>
        </w:tcPr>
        <w:p w14:paraId="7C69F208" w14:textId="6FFCA13E" w:rsidR="002F71BB" w:rsidRPr="004C7E1D" w:rsidRDefault="00E6310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6A19">
            <w:rPr>
              <w:szCs w:val="13"/>
            </w:rPr>
            <w:t>3</w:t>
          </w:r>
          <w:r w:rsidRPr="004C7E1D">
            <w:rPr>
              <w:szCs w:val="13"/>
            </w:rPr>
            <w:fldChar w:fldCharType="end"/>
          </w:r>
        </w:p>
      </w:tc>
    </w:tr>
  </w:tbl>
  <w:p w14:paraId="7D40488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C67D6" w14:paraId="17D744EE" w14:textId="77777777" w:rsidTr="004C7E1D">
      <w:trPr>
        <w:trHeight w:hRule="exact" w:val="357"/>
      </w:trPr>
      <w:tc>
        <w:tcPr>
          <w:tcW w:w="7709" w:type="dxa"/>
          <w:shd w:val="clear" w:color="auto" w:fill="auto"/>
        </w:tcPr>
        <w:p w14:paraId="1062541D" w14:textId="77777777" w:rsidR="00D17084" w:rsidRPr="004C7E1D" w:rsidRDefault="00D17084" w:rsidP="004C7E1D">
          <w:pPr>
            <w:spacing w:line="180" w:lineRule="exact"/>
            <w:rPr>
              <w:sz w:val="13"/>
              <w:szCs w:val="13"/>
            </w:rPr>
          </w:pPr>
        </w:p>
      </w:tc>
      <w:tc>
        <w:tcPr>
          <w:tcW w:w="2060" w:type="dxa"/>
          <w:shd w:val="clear" w:color="auto" w:fill="auto"/>
        </w:tcPr>
        <w:p w14:paraId="274186A6" w14:textId="6F68FDFC" w:rsidR="00D17084" w:rsidRPr="004C7E1D" w:rsidRDefault="00E6310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6A19">
            <w:rPr>
              <w:szCs w:val="13"/>
            </w:rPr>
            <w:t>3</w:t>
          </w:r>
          <w:r w:rsidRPr="004C7E1D">
            <w:rPr>
              <w:szCs w:val="13"/>
            </w:rPr>
            <w:fldChar w:fldCharType="end"/>
          </w:r>
        </w:p>
      </w:tc>
    </w:tr>
  </w:tbl>
  <w:p w14:paraId="387C21E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C5BB" w14:textId="77777777" w:rsidR="00DC691C" w:rsidRDefault="00E63106">
      <w:r>
        <w:separator/>
      </w:r>
    </w:p>
    <w:p w14:paraId="75DC745E" w14:textId="77777777" w:rsidR="00DC691C" w:rsidRDefault="00DC691C"/>
  </w:footnote>
  <w:footnote w:type="continuationSeparator" w:id="0">
    <w:p w14:paraId="4E19213C" w14:textId="77777777" w:rsidR="00DC691C" w:rsidRDefault="00E63106">
      <w:r>
        <w:continuationSeparator/>
      </w:r>
    </w:p>
    <w:p w14:paraId="351CE8F1" w14:textId="77777777" w:rsidR="00DC691C" w:rsidRDefault="00DC691C"/>
  </w:footnote>
  <w:footnote w:id="1">
    <w:p w14:paraId="6928ED14" w14:textId="77777777" w:rsidR="00E63106" w:rsidRPr="005B0E8C" w:rsidRDefault="00E63106" w:rsidP="00E63106">
      <w:pPr>
        <w:pStyle w:val="Voetnoottekst"/>
        <w:rPr>
          <w:sz w:val="16"/>
          <w:szCs w:val="16"/>
        </w:rPr>
      </w:pPr>
      <w:r w:rsidRPr="005B0E8C">
        <w:rPr>
          <w:rStyle w:val="Voetnootmarkering"/>
          <w:sz w:val="16"/>
          <w:szCs w:val="16"/>
        </w:rPr>
        <w:footnoteRef/>
      </w:r>
      <w:r w:rsidRPr="005B0E8C">
        <w:rPr>
          <w:sz w:val="16"/>
          <w:szCs w:val="16"/>
        </w:rPr>
        <w:t xml:space="preserve"> Collegegeldkrediet is een lening </w:t>
      </w:r>
      <w:r>
        <w:rPr>
          <w:sz w:val="16"/>
          <w:szCs w:val="16"/>
        </w:rPr>
        <w:t xml:space="preserve">die </w:t>
      </w:r>
      <w:r w:rsidRPr="005B0E8C">
        <w:rPr>
          <w:sz w:val="16"/>
          <w:szCs w:val="16"/>
        </w:rPr>
        <w:t>specifiek</w:t>
      </w:r>
      <w:r>
        <w:rPr>
          <w:sz w:val="16"/>
          <w:szCs w:val="16"/>
        </w:rPr>
        <w:t xml:space="preserve"> is</w:t>
      </w:r>
      <w:r w:rsidRPr="005B0E8C">
        <w:rPr>
          <w:sz w:val="16"/>
          <w:szCs w:val="16"/>
        </w:rPr>
        <w:t xml:space="preserve"> bedoeld voor het betalen van collegegeld. </w:t>
      </w:r>
    </w:p>
  </w:footnote>
  <w:footnote w:id="2">
    <w:p w14:paraId="621C019D" w14:textId="77777777" w:rsidR="00E63106" w:rsidRPr="005B0E8C" w:rsidRDefault="00E63106" w:rsidP="00E63106">
      <w:pPr>
        <w:pStyle w:val="Voetnoottekst"/>
        <w:rPr>
          <w:sz w:val="16"/>
          <w:szCs w:val="16"/>
        </w:rPr>
      </w:pPr>
      <w:r w:rsidRPr="005B0E8C">
        <w:rPr>
          <w:rStyle w:val="Voetnootmarkering"/>
          <w:sz w:val="16"/>
          <w:szCs w:val="16"/>
        </w:rPr>
        <w:footnoteRef/>
      </w:r>
      <w:r w:rsidRPr="005B0E8C">
        <w:rPr>
          <w:sz w:val="16"/>
          <w:szCs w:val="16"/>
        </w:rPr>
        <w:t xml:space="preserve"> De onterechte toekenning is ontstaan door een bedrijfsregel binnen het uitvoeringsproces die niet helemaal volledig was, waardoor ten onrechte ook bij slechts gedeeltelijke aanspraak op studiefinanciering in de vorm van collegegeldkrediet een tegemoetkoming is toegekend. We controleerden de volgende zaken:</w:t>
      </w:r>
    </w:p>
    <w:p w14:paraId="6776CCB5" w14:textId="77777777" w:rsidR="00E63106" w:rsidRPr="005B0E8C" w:rsidRDefault="00E63106" w:rsidP="00E63106">
      <w:pPr>
        <w:pStyle w:val="Voetnoottekst"/>
        <w:rPr>
          <w:sz w:val="16"/>
          <w:szCs w:val="16"/>
        </w:rPr>
      </w:pPr>
      <w:r w:rsidRPr="005B0E8C">
        <w:rPr>
          <w:sz w:val="16"/>
          <w:szCs w:val="16"/>
        </w:rPr>
        <w:t>-</w:t>
      </w:r>
      <w:r w:rsidRPr="005B0E8C">
        <w:rPr>
          <w:sz w:val="16"/>
          <w:szCs w:val="16"/>
        </w:rPr>
        <w:tab/>
        <w:t>Valt de persoon onder het leenstelsel (toekenningsregime)</w:t>
      </w:r>
    </w:p>
    <w:p w14:paraId="53983270" w14:textId="77777777" w:rsidR="00E63106" w:rsidRPr="005B0E8C" w:rsidRDefault="00E63106" w:rsidP="00E63106">
      <w:pPr>
        <w:pStyle w:val="Voetnoottekst"/>
        <w:rPr>
          <w:sz w:val="16"/>
          <w:szCs w:val="16"/>
        </w:rPr>
      </w:pPr>
      <w:r w:rsidRPr="005B0E8C">
        <w:rPr>
          <w:sz w:val="16"/>
          <w:szCs w:val="16"/>
        </w:rPr>
        <w:t>-</w:t>
      </w:r>
      <w:r w:rsidRPr="005B0E8C">
        <w:rPr>
          <w:sz w:val="16"/>
          <w:szCs w:val="16"/>
        </w:rPr>
        <w:tab/>
        <w:t>Nominale studieduur (wat zou de prestatiebeurs fase zijn)</w:t>
      </w:r>
    </w:p>
    <w:p w14:paraId="10D3E81A" w14:textId="77777777" w:rsidR="00E63106" w:rsidRPr="005B0E8C" w:rsidRDefault="00E63106" w:rsidP="00E63106">
      <w:pPr>
        <w:pStyle w:val="Voetnoottekst"/>
        <w:rPr>
          <w:sz w:val="16"/>
          <w:szCs w:val="16"/>
        </w:rPr>
      </w:pPr>
      <w:r w:rsidRPr="005B0E8C">
        <w:rPr>
          <w:sz w:val="16"/>
          <w:szCs w:val="16"/>
        </w:rPr>
        <w:t>-</w:t>
      </w:r>
      <w:r w:rsidRPr="005B0E8C">
        <w:rPr>
          <w:sz w:val="16"/>
          <w:szCs w:val="16"/>
        </w:rPr>
        <w:tab/>
        <w:t>De onderwijssoort (</w:t>
      </w:r>
      <w:r>
        <w:rPr>
          <w:sz w:val="16"/>
          <w:szCs w:val="16"/>
        </w:rPr>
        <w:t>hbo of wo</w:t>
      </w:r>
      <w:r w:rsidRPr="005B0E8C">
        <w:rPr>
          <w:sz w:val="16"/>
          <w:szCs w:val="16"/>
        </w:rPr>
        <w:t>)</w:t>
      </w:r>
    </w:p>
    <w:p w14:paraId="2C7BF920" w14:textId="77777777" w:rsidR="00E63106" w:rsidRPr="005B0E8C" w:rsidRDefault="00E63106" w:rsidP="00E63106">
      <w:pPr>
        <w:pStyle w:val="Voetnoottekst"/>
        <w:rPr>
          <w:sz w:val="16"/>
          <w:szCs w:val="16"/>
        </w:rPr>
      </w:pPr>
      <w:r w:rsidRPr="005B0E8C">
        <w:rPr>
          <w:sz w:val="16"/>
          <w:szCs w:val="16"/>
        </w:rPr>
        <w:t>-</w:t>
      </w:r>
      <w:r w:rsidRPr="005B0E8C">
        <w:rPr>
          <w:sz w:val="16"/>
          <w:szCs w:val="16"/>
        </w:rPr>
        <w:tab/>
        <w:t>Type toekenningsmaand (reguliere maanden en verlenging op basis van handicap, overige verlengingen tellen niet mee)</w:t>
      </w:r>
    </w:p>
    <w:p w14:paraId="2B1105A3" w14:textId="77777777" w:rsidR="00E63106" w:rsidRPr="005B0E8C" w:rsidRDefault="00E63106" w:rsidP="00E63106">
      <w:pPr>
        <w:pStyle w:val="Voetnoottekst"/>
        <w:rPr>
          <w:sz w:val="16"/>
          <w:szCs w:val="16"/>
        </w:rPr>
      </w:pPr>
      <w:r w:rsidRPr="005B0E8C">
        <w:rPr>
          <w:sz w:val="16"/>
          <w:szCs w:val="16"/>
        </w:rPr>
        <w:t xml:space="preserve">Hier voldoet echter ook een student met alleen collegegeldkrediet aan, wat niet de bedoeling was, omdat het uitgangspunt van de wet is dat er volledig recht moet zijn op </w:t>
      </w:r>
      <w:r>
        <w:rPr>
          <w:sz w:val="16"/>
          <w:szCs w:val="16"/>
        </w:rPr>
        <w:t>studiefinanciering</w:t>
      </w:r>
      <w:r w:rsidRPr="005B0E8C">
        <w:rPr>
          <w:sz w:val="16"/>
          <w:szCs w:val="16"/>
        </w:rPr>
        <w:t xml:space="preserve">.  </w:t>
      </w:r>
    </w:p>
  </w:footnote>
  <w:footnote w:id="3">
    <w:p w14:paraId="4711FCDB" w14:textId="7A56297D" w:rsidR="00E63106" w:rsidRPr="005B0E8C" w:rsidRDefault="00E63106" w:rsidP="00E63106">
      <w:pPr>
        <w:pStyle w:val="Voetnoottekst"/>
        <w:rPr>
          <w:sz w:val="16"/>
          <w:szCs w:val="16"/>
        </w:rPr>
      </w:pPr>
      <w:r w:rsidRPr="005B0E8C">
        <w:rPr>
          <w:rStyle w:val="Voetnootmarkering"/>
          <w:sz w:val="16"/>
          <w:szCs w:val="16"/>
        </w:rPr>
        <w:footnoteRef/>
      </w:r>
      <w:r w:rsidRPr="005B0E8C">
        <w:rPr>
          <w:sz w:val="16"/>
          <w:szCs w:val="16"/>
        </w:rPr>
        <w:t xml:space="preserve"> Voor de meeste studenten geldt, dat DUO op basis van de bij DUO beschikbare gegevens kan zien of iemand recht heeft op een tegemoetkoming. Er kunnen echter ook studenten zijn die nooit studiefinanciering hebben aangevraagd, hoewel zij daar wel recht op zouden hebben gehad, en daardoor niet bij DUO bekend zijn. Daardoor zouden zij ook de tegemoetkoming mislopen. Bij de invoering van de tegemoetkoming is daarom geregeld dat deze studenten een aanvraag kunnen doen voor een tegemoetkoming. Zij moeten dan uiteraard kunnen aantonen dat zij destijds recht op volledige studiefinanciering hadden gehad. Ook studenten die op grond van het automatische proces geen tegemoetkoming hadden moeten krijgen, maar daar wel recht op hebben op grond van gegevens die nog ni</w:t>
      </w:r>
      <w:r w:rsidR="000C6A19">
        <w:rPr>
          <w:sz w:val="16"/>
          <w:szCs w:val="16"/>
        </w:rPr>
        <w:t>e</w:t>
      </w:r>
      <w:r w:rsidRPr="005B0E8C">
        <w:rPr>
          <w:sz w:val="16"/>
          <w:szCs w:val="16"/>
        </w:rPr>
        <w:t>t bij DUO bekend zijn, kunnen daar nog altijd een aanvraag voor doen.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C67D6" w14:paraId="0E9906FC" w14:textId="77777777" w:rsidTr="006D2D53">
      <w:trPr>
        <w:trHeight w:hRule="exact" w:val="400"/>
      </w:trPr>
      <w:tc>
        <w:tcPr>
          <w:tcW w:w="7518" w:type="dxa"/>
          <w:shd w:val="clear" w:color="auto" w:fill="auto"/>
        </w:tcPr>
        <w:p w14:paraId="36B9BD1E" w14:textId="77777777" w:rsidR="00527BD4" w:rsidRPr="00275984" w:rsidRDefault="00527BD4" w:rsidP="00BF4427">
          <w:pPr>
            <w:pStyle w:val="Huisstijl-Rubricering"/>
          </w:pPr>
        </w:p>
      </w:tc>
    </w:tr>
  </w:tbl>
  <w:p w14:paraId="1FADB84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C67D6" w14:paraId="5A2ADA7C" w14:textId="77777777" w:rsidTr="003B528D">
      <w:tc>
        <w:tcPr>
          <w:tcW w:w="2160" w:type="dxa"/>
          <w:shd w:val="clear" w:color="auto" w:fill="auto"/>
        </w:tcPr>
        <w:p w14:paraId="6683679D" w14:textId="77777777" w:rsidR="002F71BB" w:rsidRPr="000407BB" w:rsidRDefault="00E63106" w:rsidP="005D283A">
          <w:pPr>
            <w:pStyle w:val="Colofonkop"/>
            <w:framePr w:hSpace="0" w:wrap="auto" w:vAnchor="margin" w:hAnchor="text" w:xAlign="left" w:yAlign="inline"/>
          </w:pPr>
          <w:r>
            <w:t>Onze referentie</w:t>
          </w:r>
        </w:p>
      </w:tc>
    </w:tr>
    <w:tr w:rsidR="00EC67D6" w14:paraId="35B5A86E" w14:textId="77777777" w:rsidTr="002F71BB">
      <w:trPr>
        <w:trHeight w:val="259"/>
      </w:trPr>
      <w:tc>
        <w:tcPr>
          <w:tcW w:w="2160" w:type="dxa"/>
          <w:shd w:val="clear" w:color="auto" w:fill="auto"/>
        </w:tcPr>
        <w:p w14:paraId="390CA8D4" w14:textId="2036E0A8" w:rsidR="00E35CF4" w:rsidRPr="005D283A" w:rsidRDefault="00E63106" w:rsidP="0049501A">
          <w:pPr>
            <w:spacing w:line="180" w:lineRule="exact"/>
            <w:rPr>
              <w:sz w:val="13"/>
              <w:szCs w:val="13"/>
            </w:rPr>
          </w:pPr>
          <w:r>
            <w:rPr>
              <w:sz w:val="13"/>
              <w:szCs w:val="13"/>
            </w:rPr>
            <w:t>5029</w:t>
          </w:r>
          <w:r w:rsidR="000171B9">
            <w:rPr>
              <w:sz w:val="13"/>
              <w:szCs w:val="13"/>
            </w:rPr>
            <w:t>5356</w:t>
          </w:r>
        </w:p>
      </w:tc>
    </w:tr>
  </w:tbl>
  <w:p w14:paraId="150B4E8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C67D6" w14:paraId="4CCEA51D" w14:textId="77777777" w:rsidTr="001377D4">
      <w:trPr>
        <w:trHeight w:val="2636"/>
      </w:trPr>
      <w:tc>
        <w:tcPr>
          <w:tcW w:w="737" w:type="dxa"/>
          <w:shd w:val="clear" w:color="auto" w:fill="auto"/>
        </w:tcPr>
        <w:p w14:paraId="7660C5E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994851B" w14:textId="77777777" w:rsidR="00704845" w:rsidRDefault="00E63106" w:rsidP="0047126E">
          <w:pPr>
            <w:framePr w:w="3873" w:h="2625" w:hRule="exact" w:wrap="around" w:vAnchor="page" w:hAnchor="page" w:x="6323" w:y="1"/>
          </w:pPr>
          <w:r>
            <w:rPr>
              <w:noProof/>
              <w:lang w:val="en-US" w:eastAsia="en-US"/>
            </w:rPr>
            <w:drawing>
              <wp:inline distT="0" distB="0" distL="0" distR="0" wp14:anchorId="25EBD07B" wp14:editId="62A9B53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1C34F86" w14:textId="77777777" w:rsidR="00483ECA" w:rsidRDefault="00483ECA" w:rsidP="00D037A9"/>
      </w:tc>
    </w:tr>
  </w:tbl>
  <w:p w14:paraId="2EA136C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C67D6" w14:paraId="3F5454EE" w14:textId="77777777" w:rsidTr="0008539E">
      <w:trPr>
        <w:trHeight w:hRule="exact" w:val="572"/>
      </w:trPr>
      <w:tc>
        <w:tcPr>
          <w:tcW w:w="7520" w:type="dxa"/>
          <w:shd w:val="clear" w:color="auto" w:fill="auto"/>
        </w:tcPr>
        <w:p w14:paraId="79BF6A0C" w14:textId="77777777" w:rsidR="00527BD4" w:rsidRPr="00963440" w:rsidRDefault="00E63106" w:rsidP="00210BA3">
          <w:pPr>
            <w:pStyle w:val="Huisstijl-Adres"/>
            <w:spacing w:after="0"/>
          </w:pPr>
          <w:r w:rsidRPr="009E3B07">
            <w:t>&gt;Retouradres </w:t>
          </w:r>
          <w:r>
            <w:t>Postbus 16375 2500 BJ Den Haag</w:t>
          </w:r>
          <w:r w:rsidRPr="009E3B07">
            <w:t xml:space="preserve"> </w:t>
          </w:r>
        </w:p>
      </w:tc>
    </w:tr>
    <w:tr w:rsidR="00EC67D6" w14:paraId="57D7B4A4" w14:textId="77777777" w:rsidTr="00E776C6">
      <w:trPr>
        <w:cantSplit/>
        <w:trHeight w:hRule="exact" w:val="238"/>
      </w:trPr>
      <w:tc>
        <w:tcPr>
          <w:tcW w:w="7520" w:type="dxa"/>
          <w:shd w:val="clear" w:color="auto" w:fill="auto"/>
        </w:tcPr>
        <w:p w14:paraId="214B10FE" w14:textId="77777777" w:rsidR="00093ABC" w:rsidRPr="00963440" w:rsidRDefault="00093ABC" w:rsidP="00963440"/>
      </w:tc>
    </w:tr>
    <w:tr w:rsidR="00EC67D6" w14:paraId="0D2BE4A1" w14:textId="77777777" w:rsidTr="00E776C6">
      <w:trPr>
        <w:cantSplit/>
        <w:trHeight w:hRule="exact" w:val="1520"/>
      </w:trPr>
      <w:tc>
        <w:tcPr>
          <w:tcW w:w="7520" w:type="dxa"/>
          <w:shd w:val="clear" w:color="auto" w:fill="auto"/>
        </w:tcPr>
        <w:p w14:paraId="0939E5A7" w14:textId="77777777" w:rsidR="00A604D3" w:rsidRPr="00963440" w:rsidRDefault="00A604D3" w:rsidP="00963440"/>
      </w:tc>
    </w:tr>
    <w:tr w:rsidR="00EC67D6" w14:paraId="49978170" w14:textId="77777777" w:rsidTr="00E776C6">
      <w:trPr>
        <w:trHeight w:hRule="exact" w:val="1077"/>
      </w:trPr>
      <w:tc>
        <w:tcPr>
          <w:tcW w:w="7520" w:type="dxa"/>
          <w:shd w:val="clear" w:color="auto" w:fill="auto"/>
        </w:tcPr>
        <w:p w14:paraId="67EEA75D" w14:textId="77777777" w:rsidR="00892BA5" w:rsidRPr="00035E67" w:rsidRDefault="00892BA5" w:rsidP="00892BA5">
          <w:pPr>
            <w:tabs>
              <w:tab w:val="left" w:pos="740"/>
            </w:tabs>
            <w:autoSpaceDE w:val="0"/>
            <w:autoSpaceDN w:val="0"/>
            <w:adjustRightInd w:val="0"/>
            <w:rPr>
              <w:rFonts w:cs="Verdana"/>
              <w:szCs w:val="18"/>
            </w:rPr>
          </w:pPr>
        </w:p>
      </w:tc>
    </w:tr>
  </w:tbl>
  <w:p w14:paraId="544D79AE" w14:textId="77777777" w:rsidR="006F273B" w:rsidRDefault="006F273B" w:rsidP="00BC4AE3">
    <w:pPr>
      <w:pStyle w:val="Koptekst"/>
    </w:pPr>
  </w:p>
  <w:p w14:paraId="3B41F9CE" w14:textId="77777777" w:rsidR="00153BD0" w:rsidRDefault="00153BD0" w:rsidP="00BC4AE3">
    <w:pPr>
      <w:pStyle w:val="Koptekst"/>
    </w:pPr>
  </w:p>
  <w:p w14:paraId="6D191565" w14:textId="77777777" w:rsidR="0044605E" w:rsidRDefault="0044605E" w:rsidP="00BC4AE3">
    <w:pPr>
      <w:pStyle w:val="Koptekst"/>
    </w:pPr>
  </w:p>
  <w:p w14:paraId="7656C16B" w14:textId="77777777" w:rsidR="0044605E" w:rsidRDefault="0044605E" w:rsidP="00BC4AE3">
    <w:pPr>
      <w:pStyle w:val="Koptekst"/>
    </w:pPr>
  </w:p>
  <w:p w14:paraId="79471E4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C024960">
      <w:start w:val="1"/>
      <w:numFmt w:val="bullet"/>
      <w:pStyle w:val="Lijstopsomteken"/>
      <w:lvlText w:val="•"/>
      <w:lvlJc w:val="left"/>
      <w:pPr>
        <w:tabs>
          <w:tab w:val="num" w:pos="227"/>
        </w:tabs>
        <w:ind w:left="227" w:hanging="227"/>
      </w:pPr>
      <w:rPr>
        <w:rFonts w:ascii="Verdana" w:hAnsi="Verdana" w:hint="default"/>
        <w:sz w:val="18"/>
        <w:szCs w:val="18"/>
      </w:rPr>
    </w:lvl>
    <w:lvl w:ilvl="1" w:tplc="5882DFAE" w:tentative="1">
      <w:start w:val="1"/>
      <w:numFmt w:val="bullet"/>
      <w:lvlText w:val="o"/>
      <w:lvlJc w:val="left"/>
      <w:pPr>
        <w:tabs>
          <w:tab w:val="num" w:pos="1440"/>
        </w:tabs>
        <w:ind w:left="1440" w:hanging="360"/>
      </w:pPr>
      <w:rPr>
        <w:rFonts w:ascii="Courier New" w:hAnsi="Courier New" w:cs="Courier New" w:hint="default"/>
      </w:rPr>
    </w:lvl>
    <w:lvl w:ilvl="2" w:tplc="D146ED0A" w:tentative="1">
      <w:start w:val="1"/>
      <w:numFmt w:val="bullet"/>
      <w:lvlText w:val=""/>
      <w:lvlJc w:val="left"/>
      <w:pPr>
        <w:tabs>
          <w:tab w:val="num" w:pos="2160"/>
        </w:tabs>
        <w:ind w:left="2160" w:hanging="360"/>
      </w:pPr>
      <w:rPr>
        <w:rFonts w:ascii="Wingdings" w:hAnsi="Wingdings" w:hint="default"/>
      </w:rPr>
    </w:lvl>
    <w:lvl w:ilvl="3" w:tplc="3C424432" w:tentative="1">
      <w:start w:val="1"/>
      <w:numFmt w:val="bullet"/>
      <w:lvlText w:val=""/>
      <w:lvlJc w:val="left"/>
      <w:pPr>
        <w:tabs>
          <w:tab w:val="num" w:pos="2880"/>
        </w:tabs>
        <w:ind w:left="2880" w:hanging="360"/>
      </w:pPr>
      <w:rPr>
        <w:rFonts w:ascii="Symbol" w:hAnsi="Symbol" w:hint="default"/>
      </w:rPr>
    </w:lvl>
    <w:lvl w:ilvl="4" w:tplc="BFE4167C" w:tentative="1">
      <w:start w:val="1"/>
      <w:numFmt w:val="bullet"/>
      <w:lvlText w:val="o"/>
      <w:lvlJc w:val="left"/>
      <w:pPr>
        <w:tabs>
          <w:tab w:val="num" w:pos="3600"/>
        </w:tabs>
        <w:ind w:left="3600" w:hanging="360"/>
      </w:pPr>
      <w:rPr>
        <w:rFonts w:ascii="Courier New" w:hAnsi="Courier New" w:cs="Courier New" w:hint="default"/>
      </w:rPr>
    </w:lvl>
    <w:lvl w:ilvl="5" w:tplc="D224371C" w:tentative="1">
      <w:start w:val="1"/>
      <w:numFmt w:val="bullet"/>
      <w:lvlText w:val=""/>
      <w:lvlJc w:val="left"/>
      <w:pPr>
        <w:tabs>
          <w:tab w:val="num" w:pos="4320"/>
        </w:tabs>
        <w:ind w:left="4320" w:hanging="360"/>
      </w:pPr>
      <w:rPr>
        <w:rFonts w:ascii="Wingdings" w:hAnsi="Wingdings" w:hint="default"/>
      </w:rPr>
    </w:lvl>
    <w:lvl w:ilvl="6" w:tplc="B1D6FB12" w:tentative="1">
      <w:start w:val="1"/>
      <w:numFmt w:val="bullet"/>
      <w:lvlText w:val=""/>
      <w:lvlJc w:val="left"/>
      <w:pPr>
        <w:tabs>
          <w:tab w:val="num" w:pos="5040"/>
        </w:tabs>
        <w:ind w:left="5040" w:hanging="360"/>
      </w:pPr>
      <w:rPr>
        <w:rFonts w:ascii="Symbol" w:hAnsi="Symbol" w:hint="default"/>
      </w:rPr>
    </w:lvl>
    <w:lvl w:ilvl="7" w:tplc="7D9C6CBA" w:tentative="1">
      <w:start w:val="1"/>
      <w:numFmt w:val="bullet"/>
      <w:lvlText w:val="o"/>
      <w:lvlJc w:val="left"/>
      <w:pPr>
        <w:tabs>
          <w:tab w:val="num" w:pos="5760"/>
        </w:tabs>
        <w:ind w:left="5760" w:hanging="360"/>
      </w:pPr>
      <w:rPr>
        <w:rFonts w:ascii="Courier New" w:hAnsi="Courier New" w:cs="Courier New" w:hint="default"/>
      </w:rPr>
    </w:lvl>
    <w:lvl w:ilvl="8" w:tplc="929267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AFCF2D0">
      <w:start w:val="1"/>
      <w:numFmt w:val="bullet"/>
      <w:pStyle w:val="Lijstopsomteken2"/>
      <w:lvlText w:val="–"/>
      <w:lvlJc w:val="left"/>
      <w:pPr>
        <w:tabs>
          <w:tab w:val="num" w:pos="227"/>
        </w:tabs>
        <w:ind w:left="227" w:firstLine="0"/>
      </w:pPr>
      <w:rPr>
        <w:rFonts w:ascii="Verdana" w:hAnsi="Verdana" w:hint="default"/>
      </w:rPr>
    </w:lvl>
    <w:lvl w:ilvl="1" w:tplc="9D788BB8" w:tentative="1">
      <w:start w:val="1"/>
      <w:numFmt w:val="bullet"/>
      <w:lvlText w:val="o"/>
      <w:lvlJc w:val="left"/>
      <w:pPr>
        <w:tabs>
          <w:tab w:val="num" w:pos="1440"/>
        </w:tabs>
        <w:ind w:left="1440" w:hanging="360"/>
      </w:pPr>
      <w:rPr>
        <w:rFonts w:ascii="Courier New" w:hAnsi="Courier New" w:cs="Courier New" w:hint="default"/>
      </w:rPr>
    </w:lvl>
    <w:lvl w:ilvl="2" w:tplc="B2D8846E" w:tentative="1">
      <w:start w:val="1"/>
      <w:numFmt w:val="bullet"/>
      <w:lvlText w:val=""/>
      <w:lvlJc w:val="left"/>
      <w:pPr>
        <w:tabs>
          <w:tab w:val="num" w:pos="2160"/>
        </w:tabs>
        <w:ind w:left="2160" w:hanging="360"/>
      </w:pPr>
      <w:rPr>
        <w:rFonts w:ascii="Wingdings" w:hAnsi="Wingdings" w:hint="default"/>
      </w:rPr>
    </w:lvl>
    <w:lvl w:ilvl="3" w:tplc="E8FC8EEA" w:tentative="1">
      <w:start w:val="1"/>
      <w:numFmt w:val="bullet"/>
      <w:lvlText w:val=""/>
      <w:lvlJc w:val="left"/>
      <w:pPr>
        <w:tabs>
          <w:tab w:val="num" w:pos="2880"/>
        </w:tabs>
        <w:ind w:left="2880" w:hanging="360"/>
      </w:pPr>
      <w:rPr>
        <w:rFonts w:ascii="Symbol" w:hAnsi="Symbol" w:hint="default"/>
      </w:rPr>
    </w:lvl>
    <w:lvl w:ilvl="4" w:tplc="4680045C" w:tentative="1">
      <w:start w:val="1"/>
      <w:numFmt w:val="bullet"/>
      <w:lvlText w:val="o"/>
      <w:lvlJc w:val="left"/>
      <w:pPr>
        <w:tabs>
          <w:tab w:val="num" w:pos="3600"/>
        </w:tabs>
        <w:ind w:left="3600" w:hanging="360"/>
      </w:pPr>
      <w:rPr>
        <w:rFonts w:ascii="Courier New" w:hAnsi="Courier New" w:cs="Courier New" w:hint="default"/>
      </w:rPr>
    </w:lvl>
    <w:lvl w:ilvl="5" w:tplc="B22CC210" w:tentative="1">
      <w:start w:val="1"/>
      <w:numFmt w:val="bullet"/>
      <w:lvlText w:val=""/>
      <w:lvlJc w:val="left"/>
      <w:pPr>
        <w:tabs>
          <w:tab w:val="num" w:pos="4320"/>
        </w:tabs>
        <w:ind w:left="4320" w:hanging="360"/>
      </w:pPr>
      <w:rPr>
        <w:rFonts w:ascii="Wingdings" w:hAnsi="Wingdings" w:hint="default"/>
      </w:rPr>
    </w:lvl>
    <w:lvl w:ilvl="6" w:tplc="5E322722" w:tentative="1">
      <w:start w:val="1"/>
      <w:numFmt w:val="bullet"/>
      <w:lvlText w:val=""/>
      <w:lvlJc w:val="left"/>
      <w:pPr>
        <w:tabs>
          <w:tab w:val="num" w:pos="5040"/>
        </w:tabs>
        <w:ind w:left="5040" w:hanging="360"/>
      </w:pPr>
      <w:rPr>
        <w:rFonts w:ascii="Symbol" w:hAnsi="Symbol" w:hint="default"/>
      </w:rPr>
    </w:lvl>
    <w:lvl w:ilvl="7" w:tplc="CDD605A2" w:tentative="1">
      <w:start w:val="1"/>
      <w:numFmt w:val="bullet"/>
      <w:lvlText w:val="o"/>
      <w:lvlJc w:val="left"/>
      <w:pPr>
        <w:tabs>
          <w:tab w:val="num" w:pos="5760"/>
        </w:tabs>
        <w:ind w:left="5760" w:hanging="360"/>
      </w:pPr>
      <w:rPr>
        <w:rFonts w:ascii="Courier New" w:hAnsi="Courier New" w:cs="Courier New" w:hint="default"/>
      </w:rPr>
    </w:lvl>
    <w:lvl w:ilvl="8" w:tplc="719E5D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417791">
    <w:abstractNumId w:val="10"/>
  </w:num>
  <w:num w:numId="2" w16cid:durableId="1598559038">
    <w:abstractNumId w:val="7"/>
  </w:num>
  <w:num w:numId="3" w16cid:durableId="1264535146">
    <w:abstractNumId w:val="6"/>
  </w:num>
  <w:num w:numId="4" w16cid:durableId="1328095376">
    <w:abstractNumId w:val="5"/>
  </w:num>
  <w:num w:numId="5" w16cid:durableId="695273698">
    <w:abstractNumId w:val="4"/>
  </w:num>
  <w:num w:numId="6" w16cid:durableId="682319090">
    <w:abstractNumId w:val="8"/>
  </w:num>
  <w:num w:numId="7" w16cid:durableId="2031564747">
    <w:abstractNumId w:val="3"/>
  </w:num>
  <w:num w:numId="8" w16cid:durableId="1322348703">
    <w:abstractNumId w:val="2"/>
  </w:num>
  <w:num w:numId="9" w16cid:durableId="1827043014">
    <w:abstractNumId w:val="1"/>
  </w:num>
  <w:num w:numId="10" w16cid:durableId="131291656">
    <w:abstractNumId w:val="0"/>
  </w:num>
  <w:num w:numId="11" w16cid:durableId="1676418416">
    <w:abstractNumId w:val="9"/>
  </w:num>
  <w:num w:numId="12" w16cid:durableId="1579054565">
    <w:abstractNumId w:val="11"/>
  </w:num>
  <w:num w:numId="13" w16cid:durableId="1514146806">
    <w:abstractNumId w:val="13"/>
  </w:num>
  <w:num w:numId="14" w16cid:durableId="6937690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71B9"/>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6A19"/>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0E99"/>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106"/>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C67D6"/>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A994"/>
  <w15:docId w15:val="{273FEA4D-8D00-49F9-A559-70CF535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E63106"/>
    <w:rPr>
      <w:rFonts w:ascii="Verdana" w:hAnsi="Verdana"/>
      <w:sz w:val="13"/>
      <w:lang w:val="nl-NL" w:eastAsia="nl-NL"/>
    </w:rPr>
  </w:style>
  <w:style w:type="character" w:styleId="Voetnootmarkering">
    <w:name w:val="footnote reference"/>
    <w:basedOn w:val="Standaardalinea-lettertype"/>
    <w:uiPriority w:val="99"/>
    <w:unhideWhenUsed/>
    <w:rsid w:val="00E63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710</ap:Words>
  <ap:Characters>3910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2025-01-28T12:05:00.0000000Z</lastPrinted>
  <dcterms:created xsi:type="dcterms:W3CDTF">2025-01-28T14:05:00.0000000Z</dcterms:created>
  <dcterms:modified xsi:type="dcterms:W3CDTF">2025-01-28T14:05:00.0000000Z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O282VER</vt:lpwstr>
  </property>
  <property fmtid="{D5CDD505-2E9C-101B-9397-08002B2CF9AE}" pid="3" name="Author">
    <vt:lpwstr>O282VER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Foutieve uitkering tegemoetkoming voor leenstelselstudenten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O282VER</vt:lpwstr>
  </property>
</Properties>
</file>