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0394" w:rsidR="00885B6B" w:rsidP="009A06BF" w:rsidRDefault="00885B6B" w14:paraId="53D5F6C8" w14:textId="7512B56C">
      <w:pPr>
        <w:autoSpaceDN/>
        <w:spacing w:after="160" w:line="259" w:lineRule="auto"/>
        <w:textAlignment w:val="auto"/>
        <w:rPr>
          <w:rFonts w:eastAsiaTheme="minorHAnsi" w:cstheme="minorBidi"/>
          <w:color w:val="auto"/>
          <w:kern w:val="2"/>
          <w:lang w:eastAsia="en-US"/>
          <w14:ligatures w14:val="standardContextual"/>
        </w:rPr>
      </w:pPr>
      <w:bookmarkStart w:name="_GoBack" w:id="0"/>
      <w:bookmarkEnd w:id="0"/>
      <w:r w:rsidRPr="00140451">
        <w:rPr>
          <w:rFonts w:eastAsiaTheme="minorHAnsi" w:cstheme="minorBidi"/>
          <w:color w:val="auto"/>
          <w:kern w:val="2"/>
          <w:lang w:eastAsia="en-US"/>
          <w14:ligatures w14:val="standardContextual"/>
        </w:rPr>
        <w:t xml:space="preserve">Mede namens de </w:t>
      </w:r>
      <w:r w:rsidRPr="00140451" w:rsidR="00510394">
        <w:rPr>
          <w:rFonts w:eastAsiaTheme="minorHAnsi" w:cstheme="minorBidi"/>
          <w:color w:val="auto"/>
          <w:kern w:val="2"/>
          <w:lang w:eastAsia="en-US"/>
          <w14:ligatures w14:val="standardContextual"/>
        </w:rPr>
        <w:t>s</w:t>
      </w:r>
      <w:r w:rsidRPr="00140451">
        <w:rPr>
          <w:rFonts w:eastAsiaTheme="minorHAnsi" w:cstheme="minorBidi"/>
          <w:color w:val="auto"/>
          <w:kern w:val="2"/>
          <w:lang w:eastAsia="en-US"/>
          <w14:ligatures w14:val="standardContextual"/>
        </w:rPr>
        <w:t>taatssecretaris Rechtsbescherming informeer ik uw Kamer hierbij over de verdere wettelijke normering van de strafvorderlijke gegevensverwerking en het</w:t>
      </w:r>
      <w:r w:rsidRPr="00510394">
        <w:rPr>
          <w:rFonts w:eastAsiaTheme="minorHAnsi" w:cstheme="minorBidi"/>
          <w:color w:val="auto"/>
          <w:kern w:val="2"/>
          <w:lang w:eastAsia="en-US"/>
          <w14:ligatures w14:val="standardContextual"/>
        </w:rPr>
        <w:t xml:space="preserve"> instellen van een commissie die tot taak heeft daarover te adviseren. </w:t>
      </w:r>
    </w:p>
    <w:p w:rsidRPr="00510394" w:rsidR="009A06BF" w:rsidP="009A06BF" w:rsidRDefault="009A06BF" w14:paraId="1BEA10A1" w14:textId="100CBDB1">
      <w:pPr>
        <w:autoSpaceDN/>
        <w:spacing w:after="160" w:line="259" w:lineRule="auto"/>
        <w:textAlignment w:val="auto"/>
        <w:rPr>
          <w:rFonts w:eastAsiaTheme="minorHAnsi" w:cstheme="minorBidi"/>
          <w:color w:val="auto"/>
          <w:kern w:val="2"/>
          <w:lang w:eastAsia="en-US"/>
          <w14:ligatures w14:val="standardContextual"/>
        </w:rPr>
      </w:pPr>
      <w:r w:rsidRPr="00510394">
        <w:rPr>
          <w:rFonts w:eastAsiaTheme="minorHAnsi" w:cstheme="minorBidi"/>
          <w:color w:val="auto"/>
          <w:kern w:val="2"/>
          <w:lang w:eastAsia="en-US"/>
          <w14:ligatures w14:val="standardContextual"/>
        </w:rPr>
        <w:t>Een rechtvaardige en veilige samenleving vraagt om een overheid die zorgt voor een effectieve</w:t>
      </w:r>
      <w:r w:rsidRPr="00510394" w:rsidR="004B4530">
        <w:rPr>
          <w:rFonts w:eastAsiaTheme="minorHAnsi" w:cstheme="minorBidi"/>
          <w:color w:val="auto"/>
          <w:kern w:val="2"/>
          <w:lang w:eastAsia="en-US"/>
          <w14:ligatures w14:val="standardContextual"/>
        </w:rPr>
        <w:t xml:space="preserve"> en efficiënte</w:t>
      </w:r>
      <w:r w:rsidRPr="00510394">
        <w:rPr>
          <w:rFonts w:eastAsiaTheme="minorHAnsi" w:cstheme="minorBidi"/>
          <w:color w:val="auto"/>
          <w:kern w:val="2"/>
          <w:lang w:eastAsia="en-US"/>
          <w14:ligatures w14:val="standardContextual"/>
        </w:rPr>
        <w:t xml:space="preserve"> strafrechtelijke handhaving van de rechtsorde. Voor de uitvoering van deze taak is het noodzakelijk om persoonsgegevens te verwerken. Door de digitalisering van onze samenleving en de ontwikkeling van daarmee verband houdende technologieën, is de hoeveelheid gegevens (waaronder persoonsgegevens) waarover de overheid ten behoeve van de opsporing kan beschikken, flink toegenomen.</w:t>
      </w:r>
    </w:p>
    <w:p w:rsidRPr="00510394" w:rsidR="009A06BF" w:rsidP="009A06BF" w:rsidRDefault="009A06BF" w14:paraId="7D8CB738" w14:textId="351F8B8D">
      <w:pPr>
        <w:autoSpaceDN/>
        <w:spacing w:after="160" w:line="259" w:lineRule="auto"/>
        <w:textAlignment w:val="auto"/>
        <w:rPr>
          <w:rFonts w:eastAsiaTheme="minorHAnsi" w:cstheme="minorBidi"/>
          <w:color w:val="auto"/>
          <w:kern w:val="2"/>
          <w:lang w:eastAsia="en-US"/>
          <w14:ligatures w14:val="standardContextual"/>
        </w:rPr>
      </w:pPr>
      <w:r w:rsidRPr="00510394">
        <w:rPr>
          <w:rFonts w:eastAsiaTheme="minorHAnsi" w:cstheme="minorBidi"/>
          <w:color w:val="auto"/>
          <w:kern w:val="2"/>
          <w:lang w:eastAsia="en-US"/>
          <w14:ligatures w14:val="standardContextual"/>
        </w:rPr>
        <w:t xml:space="preserve">Tegelijk bieden nieuwe digitale technieken steeds meer mogelijkheden om grote hoeveelheden gegevens te onderzoeken en analyseren, waardoor verbanden tussen gegevens kunnen worden gelegd die vroeger onopgemerkt bleven. Voor een effectieve en efficiënte taakuitvoering in het algemeen en de bestrijding van ernstige, ondermijnende criminaliteit in het bijzonder, is een </w:t>
      </w:r>
      <w:r w:rsidRPr="00510394" w:rsidR="0076533C">
        <w:rPr>
          <w:rFonts w:eastAsiaTheme="minorHAnsi" w:cstheme="minorBidi"/>
          <w:color w:val="auto"/>
          <w:kern w:val="2"/>
          <w:lang w:eastAsia="en-US"/>
          <w14:ligatures w14:val="standardContextual"/>
        </w:rPr>
        <w:t>data gedreven</w:t>
      </w:r>
      <w:r w:rsidRPr="00510394">
        <w:rPr>
          <w:rFonts w:eastAsiaTheme="minorHAnsi" w:cstheme="minorBidi"/>
          <w:color w:val="auto"/>
          <w:kern w:val="2"/>
          <w:lang w:eastAsia="en-US"/>
          <w14:ligatures w14:val="standardContextual"/>
        </w:rPr>
        <w:t xml:space="preserve"> werkwijze voor de opsporing een noodzaak. Kenmerkend voor een dergelijke werkwijze is dat gegevens die voor een specifiek doel zijn vergaard, zoals een concreet opsporingsonderzoek, niet alleen in dat onderzoek worden gebruikt, maar verder worden geanalyseerd met als doel om informatie te genereren die</w:t>
      </w:r>
      <w:r w:rsidRPr="00510394" w:rsidR="004B4530">
        <w:rPr>
          <w:rFonts w:eastAsiaTheme="minorHAnsi" w:cstheme="minorBidi"/>
          <w:color w:val="auto"/>
          <w:kern w:val="2"/>
          <w:lang w:eastAsia="en-US"/>
          <w14:ligatures w14:val="standardContextual"/>
        </w:rPr>
        <w:t xml:space="preserve"> bruikbaar is voor andere opsporingsonderzoeken</w:t>
      </w:r>
      <w:r w:rsidRPr="00510394">
        <w:rPr>
          <w:rFonts w:eastAsiaTheme="minorHAnsi" w:cstheme="minorBidi"/>
          <w:color w:val="auto"/>
          <w:kern w:val="2"/>
          <w:lang w:eastAsia="en-US"/>
          <w14:ligatures w14:val="standardContextual"/>
        </w:rPr>
        <w:t xml:space="preserve"> </w:t>
      </w:r>
      <w:r w:rsidRPr="00510394" w:rsidR="004B4530">
        <w:rPr>
          <w:rFonts w:eastAsiaTheme="minorHAnsi" w:cstheme="minorBidi"/>
          <w:color w:val="auto"/>
          <w:kern w:val="2"/>
          <w:lang w:eastAsia="en-US"/>
          <w14:ligatures w14:val="standardContextual"/>
        </w:rPr>
        <w:t xml:space="preserve">of </w:t>
      </w:r>
      <w:r w:rsidRPr="00510394">
        <w:rPr>
          <w:rFonts w:eastAsiaTheme="minorHAnsi" w:cstheme="minorBidi"/>
          <w:color w:val="auto"/>
          <w:kern w:val="2"/>
          <w:lang w:eastAsia="en-US"/>
          <w14:ligatures w14:val="standardContextual"/>
        </w:rPr>
        <w:t>nieuwe verdachten</w:t>
      </w:r>
      <w:r w:rsidRPr="00510394" w:rsidR="004B4530">
        <w:rPr>
          <w:rFonts w:eastAsiaTheme="minorHAnsi" w:cstheme="minorBidi"/>
          <w:color w:val="auto"/>
          <w:kern w:val="2"/>
          <w:lang w:eastAsia="en-US"/>
          <w14:ligatures w14:val="standardContextual"/>
        </w:rPr>
        <w:t xml:space="preserve"> of strafbare feiten aan het licht brengt</w:t>
      </w:r>
      <w:r w:rsidRPr="00510394">
        <w:rPr>
          <w:rFonts w:eastAsiaTheme="minorHAnsi" w:cstheme="minorBidi"/>
          <w:color w:val="auto"/>
          <w:kern w:val="2"/>
          <w:lang w:eastAsia="en-US"/>
          <w14:ligatures w14:val="standardContextual"/>
        </w:rPr>
        <w:t>.</w:t>
      </w:r>
    </w:p>
    <w:p w:rsidRPr="00510394" w:rsidR="009A06BF" w:rsidP="009A06BF" w:rsidRDefault="009A06BF" w14:paraId="1A5DCB2B" w14:textId="3A901620">
      <w:pPr>
        <w:autoSpaceDN/>
        <w:spacing w:after="160" w:line="259" w:lineRule="auto"/>
        <w:textAlignment w:val="auto"/>
        <w:rPr>
          <w:rFonts w:eastAsiaTheme="minorHAnsi" w:cstheme="minorBidi"/>
          <w:color w:val="auto"/>
          <w:kern w:val="2"/>
          <w:lang w:eastAsia="en-US"/>
          <w14:ligatures w14:val="standardContextual"/>
        </w:rPr>
      </w:pPr>
      <w:r w:rsidRPr="00510394">
        <w:rPr>
          <w:rFonts w:eastAsiaTheme="minorHAnsi" w:cstheme="minorBidi"/>
          <w:color w:val="auto"/>
          <w:kern w:val="2"/>
          <w:lang w:eastAsia="en-US"/>
          <w14:ligatures w14:val="standardContextual"/>
        </w:rPr>
        <w:t xml:space="preserve">Zowel bij de vergaring, als bij de verdere verwerking van persoonsgegevens moet de overheid zorgvuldigheid betrachten en alleen een inbreuk maken op de persoonlijke levenssfeer van burgers voor zover dat evenredig is aan de uitvoering van haar taak. Een belangrijk aspect daarbij is dat de door de politie vergaarde gegevens in voorkomende gevallen niet alleen verdachten van strafbare feiten betreffen, maar ook personen die niets met strafbare feiten te maken hebben. In de smartphone van een verdachte </w:t>
      </w:r>
      <w:r w:rsidRPr="00510394" w:rsidR="006E0310">
        <w:rPr>
          <w:rFonts w:eastAsiaTheme="minorHAnsi" w:cstheme="minorBidi"/>
          <w:color w:val="auto"/>
          <w:kern w:val="2"/>
          <w:lang w:eastAsia="en-US"/>
          <w14:ligatures w14:val="standardContextual"/>
        </w:rPr>
        <w:t>kunnen bijvoorbeeld o</w:t>
      </w:r>
      <w:r w:rsidRPr="00510394">
        <w:rPr>
          <w:rFonts w:eastAsiaTheme="minorHAnsi" w:cstheme="minorBidi"/>
          <w:color w:val="auto"/>
          <w:kern w:val="2"/>
          <w:lang w:eastAsia="en-US"/>
          <w14:ligatures w14:val="standardContextual"/>
        </w:rPr>
        <w:t>ok foto’s en berichten van vrienden en familie</w:t>
      </w:r>
      <w:r w:rsidRPr="00510394" w:rsidR="006E0310">
        <w:rPr>
          <w:rFonts w:eastAsiaTheme="minorHAnsi" w:cstheme="minorBidi"/>
          <w:color w:val="auto"/>
          <w:kern w:val="2"/>
          <w:lang w:eastAsia="en-US"/>
          <w14:ligatures w14:val="standardContextual"/>
        </w:rPr>
        <w:t xml:space="preserve"> staan</w:t>
      </w:r>
      <w:r w:rsidRPr="00510394">
        <w:rPr>
          <w:rFonts w:eastAsiaTheme="minorHAnsi" w:cstheme="minorBidi"/>
          <w:color w:val="auto"/>
          <w:kern w:val="2"/>
          <w:lang w:eastAsia="en-US"/>
          <w14:ligatures w14:val="standardContextual"/>
        </w:rPr>
        <w:t>. Het verder verwerken van grote hoeveelheden persoonsgegevens is een inbreuk op het recht op bescherming van de persoonlijke levenssfeer, die moeilijk</w:t>
      </w:r>
      <w:r w:rsidRPr="00510394" w:rsidR="006E0310">
        <w:rPr>
          <w:rFonts w:eastAsiaTheme="minorHAnsi" w:cstheme="minorBidi"/>
          <w:color w:val="auto"/>
          <w:kern w:val="2"/>
          <w:lang w:eastAsia="en-US"/>
          <w14:ligatures w14:val="standardContextual"/>
        </w:rPr>
        <w:t>er</w:t>
      </w:r>
      <w:r w:rsidRPr="00510394">
        <w:rPr>
          <w:rFonts w:eastAsiaTheme="minorHAnsi" w:cstheme="minorBidi"/>
          <w:color w:val="auto"/>
          <w:kern w:val="2"/>
          <w:lang w:eastAsia="en-US"/>
          <w14:ligatures w14:val="standardContextual"/>
        </w:rPr>
        <w:t xml:space="preserve"> te rechtvaardigen is wanneer het ook gaat om gegevens van personen die niets met strafbare feiten te maken blijken te hebben. </w:t>
      </w:r>
    </w:p>
    <w:p w:rsidR="00510394" w:rsidRDefault="00510394" w14:paraId="0BE4E28A" w14:textId="77777777">
      <w:pPr>
        <w:spacing w:line="240" w:lineRule="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br w:type="page"/>
      </w:r>
    </w:p>
    <w:p w:rsidRPr="00140451" w:rsidR="009A06BF" w:rsidP="009A06BF" w:rsidRDefault="009A06BF" w14:paraId="3239CB68" w14:textId="719674E8">
      <w:pPr>
        <w:autoSpaceDN/>
        <w:spacing w:after="160" w:line="259" w:lineRule="auto"/>
        <w:textAlignment w:val="auto"/>
        <w:rPr>
          <w:rFonts w:eastAsiaTheme="minorHAnsi" w:cstheme="minorBidi"/>
          <w:color w:val="auto"/>
          <w:kern w:val="2"/>
          <w:lang w:eastAsia="en-US"/>
          <w14:ligatures w14:val="standardContextual"/>
        </w:rPr>
      </w:pPr>
      <w:r w:rsidRPr="00510394">
        <w:rPr>
          <w:rFonts w:eastAsiaTheme="minorHAnsi" w:cstheme="minorBidi"/>
          <w:color w:val="auto"/>
          <w:kern w:val="2"/>
          <w:lang w:eastAsia="en-US"/>
          <w14:ligatures w14:val="standardContextual"/>
        </w:rPr>
        <w:lastRenderedPageBreak/>
        <w:t>De Commissie modernisering opsporingsonderzoek in het digitale tijdperk</w:t>
      </w:r>
      <w:r w:rsidRPr="00510394" w:rsidR="00F85C76">
        <w:rPr>
          <w:rFonts w:eastAsiaTheme="minorHAnsi" w:cstheme="minorBidi"/>
          <w:color w:val="auto"/>
          <w:kern w:val="2"/>
          <w:lang w:eastAsia="en-US"/>
          <w14:ligatures w14:val="standardContextual"/>
        </w:rPr>
        <w:t xml:space="preserve"> o</w:t>
      </w:r>
      <w:r w:rsidRPr="00510394">
        <w:rPr>
          <w:rFonts w:eastAsiaTheme="minorHAnsi" w:cstheme="minorBidi"/>
          <w:color w:val="auto"/>
          <w:kern w:val="2"/>
          <w:lang w:eastAsia="en-US"/>
          <w14:ligatures w14:val="standardContextual"/>
        </w:rPr>
        <w:t xml:space="preserve">nder voorzitterschap van </w:t>
      </w:r>
      <w:r w:rsidRPr="00510394" w:rsidR="006224EA">
        <w:rPr>
          <w:rFonts w:eastAsiaTheme="minorHAnsi" w:cstheme="minorBidi"/>
          <w:color w:val="auto"/>
          <w:kern w:val="2"/>
          <w:lang w:eastAsia="en-US"/>
          <w14:ligatures w14:val="standardContextual"/>
        </w:rPr>
        <w:t>professor</w:t>
      </w:r>
      <w:r w:rsidRPr="00510394">
        <w:rPr>
          <w:rFonts w:eastAsiaTheme="minorHAnsi" w:cstheme="minorBidi"/>
          <w:color w:val="auto"/>
          <w:kern w:val="2"/>
          <w:lang w:eastAsia="en-US"/>
          <w14:ligatures w14:val="standardContextual"/>
        </w:rPr>
        <w:t xml:space="preserve"> Bert-Jaap Koops </w:t>
      </w:r>
      <w:r w:rsidRPr="00510394" w:rsidR="00F85C76">
        <w:rPr>
          <w:rFonts w:eastAsiaTheme="minorHAnsi" w:cstheme="minorBidi"/>
          <w:color w:val="auto"/>
          <w:kern w:val="2"/>
          <w:lang w:eastAsia="en-US"/>
          <w14:ligatures w14:val="standardContextual"/>
        </w:rPr>
        <w:t xml:space="preserve">bracht in 2018 </w:t>
      </w:r>
      <w:r w:rsidRPr="00510394">
        <w:rPr>
          <w:rFonts w:eastAsiaTheme="minorHAnsi" w:cstheme="minorBidi"/>
          <w:color w:val="auto"/>
          <w:kern w:val="2"/>
          <w:lang w:eastAsia="en-US"/>
          <w14:ligatures w14:val="standardContextual"/>
        </w:rPr>
        <w:t xml:space="preserve">haar rapport </w:t>
      </w:r>
      <w:r w:rsidRPr="00510394" w:rsidR="006224EA">
        <w:rPr>
          <w:rFonts w:eastAsiaTheme="minorHAnsi" w:cstheme="minorBidi"/>
          <w:color w:val="auto"/>
          <w:kern w:val="2"/>
          <w:lang w:eastAsia="en-US"/>
          <w14:ligatures w14:val="standardContextual"/>
        </w:rPr>
        <w:t xml:space="preserve">“Regulering van opsporingsbevoegdheden in een digitale omgeving” </w:t>
      </w:r>
      <w:r w:rsidRPr="00510394">
        <w:rPr>
          <w:rFonts w:eastAsiaTheme="minorHAnsi" w:cstheme="minorBidi"/>
          <w:color w:val="auto"/>
          <w:kern w:val="2"/>
          <w:lang w:eastAsia="en-US"/>
          <w14:ligatures w14:val="standardContextual"/>
        </w:rPr>
        <w:t>uit</w:t>
      </w:r>
      <w:r w:rsidRPr="00510394" w:rsidR="00F85C76">
        <w:rPr>
          <w:rFonts w:eastAsiaTheme="minorHAnsi" w:cstheme="minorBidi"/>
          <w:color w:val="auto"/>
          <w:kern w:val="2"/>
          <w:lang w:eastAsia="en-US"/>
          <w14:ligatures w14:val="standardContextual"/>
        </w:rPr>
        <w:t xml:space="preserve">. De aanbevelingen ten aanzien van nieuwe opsporingsbevoegdheden op digitaal gebied van deze commissie hebben sterk bijgedragen aan het wetsvoorstel </w:t>
      </w:r>
      <w:r w:rsidRPr="00510394" w:rsidR="006224EA">
        <w:rPr>
          <w:rFonts w:eastAsiaTheme="minorHAnsi" w:cstheme="minorBidi"/>
          <w:color w:val="auto"/>
          <w:kern w:val="2"/>
          <w:lang w:eastAsia="en-US"/>
          <w14:ligatures w14:val="standardContextual"/>
        </w:rPr>
        <w:t xml:space="preserve">tot vaststelling van het </w:t>
      </w:r>
      <w:r w:rsidRPr="00510394" w:rsidR="00F85C76">
        <w:rPr>
          <w:rFonts w:eastAsiaTheme="minorHAnsi" w:cstheme="minorBidi"/>
          <w:color w:val="auto"/>
          <w:kern w:val="2"/>
          <w:lang w:eastAsia="en-US"/>
          <w14:ligatures w14:val="standardContextual"/>
        </w:rPr>
        <w:t xml:space="preserve">nieuwe Wetboek van Strafvordering. De commissie </w:t>
      </w:r>
      <w:r w:rsidRPr="00510394">
        <w:rPr>
          <w:rFonts w:eastAsiaTheme="minorHAnsi" w:cstheme="minorBidi"/>
          <w:color w:val="auto"/>
          <w:kern w:val="2"/>
          <w:lang w:eastAsia="en-US"/>
          <w14:ligatures w14:val="standardContextual"/>
        </w:rPr>
        <w:t xml:space="preserve">signaleerde </w:t>
      </w:r>
      <w:r w:rsidRPr="00510394" w:rsidR="00F85C76">
        <w:rPr>
          <w:rFonts w:eastAsiaTheme="minorHAnsi" w:cstheme="minorBidi"/>
          <w:color w:val="auto"/>
          <w:kern w:val="2"/>
          <w:lang w:eastAsia="en-US"/>
          <w14:ligatures w14:val="standardContextual"/>
        </w:rPr>
        <w:t xml:space="preserve">ook </w:t>
      </w:r>
      <w:r w:rsidRPr="00510394">
        <w:rPr>
          <w:rFonts w:eastAsiaTheme="minorHAnsi" w:cstheme="minorBidi"/>
          <w:color w:val="auto"/>
          <w:kern w:val="2"/>
          <w:lang w:eastAsia="en-US"/>
          <w14:ligatures w14:val="standardContextual"/>
        </w:rPr>
        <w:t xml:space="preserve">dat het verzamelen van gegevens door de politie en het </w:t>
      </w:r>
      <w:r w:rsidRPr="00510394" w:rsidR="006224EA">
        <w:rPr>
          <w:rFonts w:eastAsiaTheme="minorHAnsi" w:cstheme="minorBidi"/>
          <w:color w:val="auto"/>
          <w:kern w:val="2"/>
          <w:lang w:eastAsia="en-US"/>
          <w14:ligatures w14:val="standardContextual"/>
        </w:rPr>
        <w:t xml:space="preserve">verder </w:t>
      </w:r>
      <w:r w:rsidRPr="00510394">
        <w:rPr>
          <w:rFonts w:eastAsiaTheme="minorHAnsi" w:cstheme="minorBidi"/>
          <w:color w:val="auto"/>
          <w:kern w:val="2"/>
          <w:lang w:eastAsia="en-US"/>
          <w14:ligatures w14:val="standardContextual"/>
        </w:rPr>
        <w:t xml:space="preserve">verwerken ervan beide </w:t>
      </w:r>
      <w:r w:rsidRPr="00510394" w:rsidR="006224EA">
        <w:rPr>
          <w:rFonts w:eastAsiaTheme="minorHAnsi" w:cstheme="minorBidi"/>
          <w:color w:val="auto"/>
          <w:kern w:val="2"/>
          <w:lang w:eastAsia="en-US"/>
          <w14:ligatures w14:val="standardContextual"/>
        </w:rPr>
        <w:t xml:space="preserve">een </w:t>
      </w:r>
      <w:r w:rsidRPr="00510394">
        <w:rPr>
          <w:rFonts w:eastAsiaTheme="minorHAnsi" w:cstheme="minorBidi"/>
          <w:color w:val="auto"/>
          <w:kern w:val="2"/>
          <w:lang w:eastAsia="en-US"/>
          <w14:ligatures w14:val="standardContextual"/>
        </w:rPr>
        <w:t xml:space="preserve">inbreuk maken op grondrechten. Deze activiteiten hangen sterk met elkaar samen en moeten in onderling verband worden beschouwd. Een ruimere mogelijkheid om gegevens te verzamelen moet gepaard gaan met een passende normering van het verder verwerken. Dit leidde tot het advies om een integrale visie te ontwikkelen </w:t>
      </w:r>
      <w:bookmarkStart w:name="_Hlk187330849" w:id="1"/>
      <w:r w:rsidRPr="00510394">
        <w:rPr>
          <w:rFonts w:eastAsiaTheme="minorHAnsi" w:cstheme="minorBidi"/>
          <w:color w:val="auto"/>
          <w:kern w:val="2"/>
          <w:lang w:eastAsia="en-US"/>
          <w14:ligatures w14:val="standardContextual"/>
        </w:rPr>
        <w:t xml:space="preserve">op de normering van de vergaring en </w:t>
      </w:r>
      <w:r w:rsidRPr="00140451">
        <w:rPr>
          <w:rFonts w:eastAsiaTheme="minorHAnsi" w:cstheme="minorBidi"/>
          <w:color w:val="auto"/>
          <w:kern w:val="2"/>
          <w:lang w:eastAsia="en-US"/>
          <w14:ligatures w14:val="standardContextual"/>
        </w:rPr>
        <w:t xml:space="preserve">de </w:t>
      </w:r>
      <w:r w:rsidRPr="00140451" w:rsidR="006224EA">
        <w:rPr>
          <w:rFonts w:eastAsiaTheme="minorHAnsi" w:cstheme="minorBidi"/>
          <w:color w:val="auto"/>
          <w:kern w:val="2"/>
          <w:lang w:eastAsia="en-US"/>
          <w14:ligatures w14:val="standardContextual"/>
        </w:rPr>
        <w:t xml:space="preserve">verdere </w:t>
      </w:r>
      <w:r w:rsidRPr="00140451">
        <w:rPr>
          <w:rFonts w:eastAsiaTheme="minorHAnsi" w:cstheme="minorBidi"/>
          <w:color w:val="auto"/>
          <w:kern w:val="2"/>
          <w:lang w:eastAsia="en-US"/>
          <w14:ligatures w14:val="standardContextual"/>
        </w:rPr>
        <w:t>verwerking van persoonsgegevens</w:t>
      </w:r>
      <w:bookmarkEnd w:id="1"/>
      <w:r w:rsidRPr="00140451">
        <w:rPr>
          <w:rFonts w:eastAsiaTheme="minorHAnsi" w:cstheme="minorBidi"/>
          <w:color w:val="auto"/>
          <w:kern w:val="2"/>
          <w:lang w:eastAsia="en-US"/>
          <w14:ligatures w14:val="standardContextual"/>
        </w:rPr>
        <w:t xml:space="preserve">, </w:t>
      </w:r>
      <w:r w:rsidRPr="00140451" w:rsidR="001D75C1">
        <w:rPr>
          <w:rFonts w:eastAsiaTheme="minorHAnsi" w:cstheme="minorBidi"/>
          <w:color w:val="auto"/>
          <w:kern w:val="2"/>
          <w:lang w:eastAsia="en-US"/>
          <w14:ligatures w14:val="standardContextual"/>
        </w:rPr>
        <w:t>die</w:t>
      </w:r>
      <w:r w:rsidRPr="00140451">
        <w:rPr>
          <w:rFonts w:eastAsiaTheme="minorHAnsi" w:cstheme="minorBidi"/>
          <w:color w:val="auto"/>
          <w:kern w:val="2"/>
          <w:lang w:eastAsia="en-US"/>
          <w14:ligatures w14:val="standardContextual"/>
        </w:rPr>
        <w:t xml:space="preserve"> geregeld worden in het Wetboek van Strafvordering respectievelijk de Wet politiegegevens. </w:t>
      </w:r>
    </w:p>
    <w:p w:rsidRPr="00140451" w:rsidR="009A06BF" w:rsidP="009A06BF" w:rsidRDefault="000655D0" w14:paraId="6E3D2C12" w14:textId="05210AD8">
      <w:pPr>
        <w:autoSpaceDN/>
        <w:spacing w:after="160" w:line="259" w:lineRule="auto"/>
        <w:textAlignment w:val="auto"/>
        <w:rPr>
          <w:rFonts w:eastAsiaTheme="minorHAnsi" w:cstheme="minorBidi"/>
          <w:color w:val="auto"/>
          <w:kern w:val="2"/>
          <w:lang w:eastAsia="en-US"/>
          <w14:ligatures w14:val="standardContextual"/>
        </w:rPr>
      </w:pPr>
      <w:r w:rsidRPr="00140451">
        <w:rPr>
          <w:rFonts w:eastAsiaTheme="minorHAnsi" w:cstheme="minorBidi"/>
          <w:color w:val="auto"/>
          <w:kern w:val="2"/>
          <w:lang w:eastAsia="en-US"/>
          <w14:ligatures w14:val="standardContextual"/>
        </w:rPr>
        <w:t>M</w:t>
      </w:r>
      <w:r w:rsidRPr="00140451" w:rsidR="009A06BF">
        <w:rPr>
          <w:rFonts w:eastAsiaTheme="minorHAnsi" w:cstheme="minorBidi"/>
          <w:color w:val="auto"/>
          <w:kern w:val="2"/>
          <w:lang w:eastAsia="en-US"/>
          <w14:ligatures w14:val="standardContextual"/>
        </w:rPr>
        <w:t xml:space="preserve">ijn ambtsvoorganger </w:t>
      </w:r>
      <w:r w:rsidRPr="00140451">
        <w:rPr>
          <w:rFonts w:eastAsiaTheme="minorHAnsi" w:cstheme="minorBidi"/>
          <w:color w:val="auto"/>
          <w:kern w:val="2"/>
          <w:lang w:eastAsia="en-US"/>
          <w14:ligatures w14:val="standardContextual"/>
        </w:rPr>
        <w:t xml:space="preserve">heeft </w:t>
      </w:r>
      <w:r w:rsidRPr="00140451" w:rsidR="009A06BF">
        <w:rPr>
          <w:rFonts w:eastAsiaTheme="minorHAnsi" w:cstheme="minorBidi"/>
          <w:color w:val="auto"/>
          <w:kern w:val="2"/>
          <w:lang w:eastAsia="en-US"/>
          <w14:ligatures w14:val="standardContextual"/>
        </w:rPr>
        <w:t>in 2020 uw Kamer geïnformeerd over de verkenning om te komen tot een brede gegevensverwerkingswet voor de politie- en justitieketen</w:t>
      </w:r>
      <w:r w:rsidRPr="00140451" w:rsidR="009A06BF">
        <w:rPr>
          <w:rFonts w:eastAsiaTheme="minorHAnsi" w:cstheme="minorBidi"/>
          <w:color w:val="auto"/>
          <w:kern w:val="2"/>
          <w:vertAlign w:val="superscript"/>
          <w:lang w:eastAsia="en-US"/>
          <w14:ligatures w14:val="standardContextual"/>
        </w:rPr>
        <w:footnoteReference w:id="1"/>
      </w:r>
      <w:r w:rsidRPr="00140451" w:rsidR="00510394">
        <w:rPr>
          <w:rFonts w:eastAsiaTheme="minorHAnsi" w:cstheme="minorBidi"/>
          <w:color w:val="auto"/>
          <w:kern w:val="2"/>
          <w:lang w:eastAsia="en-US"/>
          <w14:ligatures w14:val="standardContextual"/>
        </w:rPr>
        <w:t>.</w:t>
      </w:r>
      <w:r w:rsidRPr="00140451" w:rsidR="009A06BF">
        <w:rPr>
          <w:rFonts w:eastAsiaTheme="minorHAnsi" w:cstheme="minorBidi"/>
          <w:color w:val="auto"/>
          <w:kern w:val="2"/>
          <w:lang w:eastAsia="en-US"/>
          <w14:ligatures w14:val="standardContextual"/>
        </w:rPr>
        <w:t xml:space="preserve"> </w:t>
      </w:r>
      <w:r w:rsidRPr="00140451">
        <w:rPr>
          <w:rFonts w:eastAsiaTheme="minorHAnsi" w:cstheme="minorBidi"/>
          <w:color w:val="auto"/>
          <w:kern w:val="2"/>
          <w:lang w:eastAsia="en-US"/>
          <w14:ligatures w14:val="standardContextual"/>
        </w:rPr>
        <w:t xml:space="preserve">Deze wet zou ook </w:t>
      </w:r>
      <w:r w:rsidRPr="00140451" w:rsidR="00E605CF">
        <w:rPr>
          <w:rFonts w:eastAsiaTheme="minorHAnsi" w:cstheme="minorBidi"/>
          <w:color w:val="auto"/>
          <w:kern w:val="2"/>
          <w:lang w:eastAsia="en-US"/>
          <w14:ligatures w14:val="standardContextual"/>
        </w:rPr>
        <w:t>onder meer een nieuwe</w:t>
      </w:r>
      <w:r w:rsidRPr="00140451">
        <w:rPr>
          <w:rFonts w:eastAsiaTheme="minorHAnsi" w:cstheme="minorBidi"/>
          <w:color w:val="auto"/>
          <w:kern w:val="2"/>
          <w:lang w:eastAsia="en-US"/>
          <w14:ligatures w14:val="standardContextual"/>
        </w:rPr>
        <w:t xml:space="preserve"> regeling moeten bevatten voor het verder verwerken van politiegegevens. </w:t>
      </w:r>
      <w:r w:rsidRPr="00140451" w:rsidR="00E605CF">
        <w:rPr>
          <w:rFonts w:eastAsiaTheme="minorHAnsi" w:cstheme="minorBidi"/>
          <w:color w:val="auto"/>
          <w:kern w:val="2"/>
          <w:lang w:eastAsia="en-US"/>
          <w14:ligatures w14:val="standardContextual"/>
        </w:rPr>
        <w:t xml:space="preserve">In afwachting van die nieuwe gegevensverwerkingswet is er destijds voor gekozen om de bepalingen uit het huidige Wetboek van Strafvordering die zien op gegevensverwerking niet op te nemen in het nieuwe Wetboek van Strafvordering. </w:t>
      </w:r>
      <w:r w:rsidRPr="00140451" w:rsidR="009A06BF">
        <w:rPr>
          <w:rFonts w:eastAsiaTheme="minorHAnsi" w:cstheme="minorBidi"/>
          <w:color w:val="auto"/>
          <w:kern w:val="2"/>
          <w:lang w:eastAsia="en-US"/>
          <w14:ligatures w14:val="standardContextual"/>
        </w:rPr>
        <w:t xml:space="preserve">Begin 2022 is aan uw Kamer </w:t>
      </w:r>
      <w:r w:rsidRPr="00140451" w:rsidR="00E605CF">
        <w:rPr>
          <w:rFonts w:eastAsiaTheme="minorHAnsi" w:cstheme="minorBidi"/>
          <w:color w:val="auto"/>
          <w:kern w:val="2"/>
          <w:lang w:eastAsia="en-US"/>
          <w14:ligatures w14:val="standardContextual"/>
        </w:rPr>
        <w:t xml:space="preserve">echter </w:t>
      </w:r>
      <w:r w:rsidRPr="00140451" w:rsidR="009A06BF">
        <w:rPr>
          <w:rFonts w:eastAsiaTheme="minorHAnsi" w:cstheme="minorBidi"/>
          <w:color w:val="auto"/>
          <w:kern w:val="2"/>
          <w:lang w:eastAsia="en-US"/>
          <w14:ligatures w14:val="standardContextual"/>
        </w:rPr>
        <w:t xml:space="preserve">gemeld dat </w:t>
      </w:r>
      <w:r w:rsidRPr="00140451" w:rsidR="00E605CF">
        <w:rPr>
          <w:rFonts w:eastAsiaTheme="minorHAnsi" w:cstheme="minorBidi"/>
          <w:color w:val="auto"/>
          <w:kern w:val="2"/>
          <w:lang w:eastAsia="en-US"/>
          <w14:ligatures w14:val="standardContextual"/>
        </w:rPr>
        <w:t>het</w:t>
      </w:r>
      <w:r w:rsidRPr="00140451" w:rsidR="009A06BF">
        <w:rPr>
          <w:rFonts w:eastAsiaTheme="minorHAnsi" w:cstheme="minorBidi"/>
          <w:color w:val="auto"/>
          <w:kern w:val="2"/>
          <w:lang w:eastAsia="en-US"/>
          <w14:ligatures w14:val="standardContextual"/>
        </w:rPr>
        <w:t xml:space="preserve"> traject</w:t>
      </w:r>
      <w:r w:rsidRPr="00140451" w:rsidR="00E605CF">
        <w:rPr>
          <w:rFonts w:eastAsiaTheme="minorHAnsi" w:cstheme="minorBidi"/>
          <w:color w:val="auto"/>
          <w:kern w:val="2"/>
          <w:lang w:eastAsia="en-US"/>
          <w14:ligatures w14:val="standardContextual"/>
        </w:rPr>
        <w:t xml:space="preserve"> om te komen tot een nieuwe gegevensverwerkingswet</w:t>
      </w:r>
      <w:r w:rsidRPr="00140451" w:rsidR="009A06BF">
        <w:rPr>
          <w:rFonts w:eastAsiaTheme="minorHAnsi" w:cstheme="minorBidi"/>
          <w:color w:val="auto"/>
          <w:kern w:val="2"/>
          <w:lang w:eastAsia="en-US"/>
          <w14:ligatures w14:val="standardContextual"/>
        </w:rPr>
        <w:t xml:space="preserve"> gestopt werd omdat </w:t>
      </w:r>
      <w:r w:rsidRPr="00140451" w:rsidR="00E605CF">
        <w:rPr>
          <w:rFonts w:eastAsiaTheme="minorHAnsi" w:cstheme="minorBidi"/>
          <w:color w:val="auto"/>
          <w:kern w:val="2"/>
          <w:lang w:eastAsia="en-US"/>
          <w14:ligatures w14:val="standardContextual"/>
        </w:rPr>
        <w:t xml:space="preserve">daarvoor </w:t>
      </w:r>
      <w:r w:rsidRPr="00140451" w:rsidR="009A06BF">
        <w:rPr>
          <w:rFonts w:eastAsiaTheme="minorHAnsi" w:cstheme="minorBidi"/>
          <w:color w:val="auto"/>
          <w:kern w:val="2"/>
          <w:lang w:eastAsia="en-US"/>
          <w14:ligatures w14:val="standardContextual"/>
        </w:rPr>
        <w:t>geen financiële dekking was gevonden</w:t>
      </w:r>
      <w:r w:rsidRPr="00140451" w:rsidR="009A06BF">
        <w:rPr>
          <w:rFonts w:eastAsiaTheme="minorHAnsi" w:cstheme="minorBidi"/>
          <w:color w:val="auto"/>
          <w:kern w:val="2"/>
          <w:vertAlign w:val="superscript"/>
          <w:lang w:eastAsia="en-US"/>
          <w14:ligatures w14:val="standardContextual"/>
        </w:rPr>
        <w:footnoteReference w:id="2"/>
      </w:r>
      <w:r w:rsidRPr="00140451" w:rsidR="00510394">
        <w:rPr>
          <w:rFonts w:eastAsiaTheme="minorHAnsi" w:cstheme="minorBidi"/>
          <w:color w:val="auto"/>
          <w:kern w:val="2"/>
          <w:lang w:eastAsia="en-US"/>
          <w14:ligatures w14:val="standardContextual"/>
        </w:rPr>
        <w:t>.</w:t>
      </w:r>
      <w:r w:rsidRPr="00140451" w:rsidR="009A06BF">
        <w:rPr>
          <w:rFonts w:eastAsiaTheme="minorHAnsi" w:cstheme="minorBidi"/>
          <w:color w:val="auto"/>
          <w:kern w:val="2"/>
          <w:lang w:eastAsia="en-US"/>
          <w14:ligatures w14:val="standardContextual"/>
        </w:rPr>
        <w:t xml:space="preserve"> </w:t>
      </w:r>
      <w:r w:rsidRPr="00140451" w:rsidR="00E605CF">
        <w:rPr>
          <w:rFonts w:eastAsiaTheme="minorHAnsi" w:cstheme="minorBidi"/>
          <w:color w:val="auto"/>
          <w:kern w:val="2"/>
          <w:lang w:eastAsia="en-US"/>
          <w14:ligatures w14:val="standardContextual"/>
        </w:rPr>
        <w:t xml:space="preserve">In reactie daarop zijn de bepalingen over gegevenswerking uit het huidige Wetboek van Strafvordering opgenomen in het conceptwetsvoorstel van de eerste aanvullingswet, om zo alsnog in het nieuwe wetboek terecht te komen. </w:t>
      </w:r>
    </w:p>
    <w:p w:rsidRPr="00140451" w:rsidR="009A06BF" w:rsidP="009A06BF" w:rsidRDefault="009A06BF" w14:paraId="3BD09FD5" w14:textId="324AF011">
      <w:pPr>
        <w:autoSpaceDN/>
        <w:spacing w:after="160" w:line="259" w:lineRule="auto"/>
        <w:textAlignment w:val="auto"/>
        <w:rPr>
          <w:rFonts w:eastAsiaTheme="minorHAnsi" w:cstheme="minorBidi"/>
          <w:color w:val="auto"/>
          <w:kern w:val="2"/>
          <w:lang w:eastAsia="en-US"/>
          <w14:ligatures w14:val="standardContextual"/>
        </w:rPr>
      </w:pPr>
      <w:r w:rsidRPr="00140451">
        <w:rPr>
          <w:rFonts w:eastAsiaTheme="minorHAnsi" w:cstheme="minorBidi"/>
          <w:color w:val="auto"/>
          <w:kern w:val="2"/>
          <w:lang w:eastAsia="en-US"/>
          <w14:ligatures w14:val="standardContextual"/>
        </w:rPr>
        <w:t xml:space="preserve">In het WODC-onderzoek “strafvorderlijke gegevensverwerking” is er eind 2022 op gewezen dat de normering van het (verder) verwerken van grote datasets, waarin zich gegevens bevinden die betrekking hebben op allerlei personen, </w:t>
      </w:r>
      <w:r w:rsidRPr="00140451" w:rsidR="00C87747">
        <w:rPr>
          <w:rFonts w:eastAsiaTheme="minorHAnsi" w:cstheme="minorBidi"/>
          <w:color w:val="auto"/>
          <w:kern w:val="2"/>
          <w:lang w:eastAsia="en-US"/>
          <w14:ligatures w14:val="standardContextual"/>
        </w:rPr>
        <w:t xml:space="preserve">in de huidige wetgeving </w:t>
      </w:r>
      <w:r w:rsidRPr="00140451">
        <w:rPr>
          <w:rFonts w:eastAsiaTheme="minorHAnsi" w:cstheme="minorBidi"/>
          <w:color w:val="auto"/>
          <w:kern w:val="2"/>
          <w:lang w:eastAsia="en-US"/>
          <w14:ligatures w14:val="standardContextual"/>
        </w:rPr>
        <w:t xml:space="preserve">onvoldoende is. </w:t>
      </w:r>
      <w:r w:rsidRPr="00140451" w:rsidR="00C87747">
        <w:rPr>
          <w:rFonts w:eastAsiaTheme="minorHAnsi" w:cstheme="minorBidi"/>
          <w:color w:val="auto"/>
          <w:kern w:val="2"/>
          <w:lang w:eastAsia="en-US"/>
          <w14:ligatures w14:val="standardContextual"/>
        </w:rPr>
        <w:t>De au</w:t>
      </w:r>
      <w:r w:rsidRPr="00140451">
        <w:rPr>
          <w:rFonts w:eastAsiaTheme="minorHAnsi" w:cstheme="minorBidi"/>
          <w:color w:val="auto"/>
          <w:kern w:val="2"/>
          <w:lang w:eastAsia="en-US"/>
          <w14:ligatures w14:val="standardContextual"/>
        </w:rPr>
        <w:t xml:space="preserve">teurs </w:t>
      </w:r>
      <w:r w:rsidRPr="00140451" w:rsidR="00C87747">
        <w:rPr>
          <w:rFonts w:eastAsiaTheme="minorHAnsi" w:cstheme="minorBidi"/>
          <w:color w:val="auto"/>
          <w:kern w:val="2"/>
          <w:lang w:eastAsia="en-US"/>
          <w14:ligatures w14:val="standardContextual"/>
        </w:rPr>
        <w:t xml:space="preserve">geven daarbij </w:t>
      </w:r>
      <w:r w:rsidRPr="00140451">
        <w:rPr>
          <w:rFonts w:eastAsiaTheme="minorHAnsi" w:cstheme="minorBidi"/>
          <w:color w:val="auto"/>
          <w:kern w:val="2"/>
          <w:lang w:eastAsia="en-US"/>
          <w14:ligatures w14:val="standardContextual"/>
        </w:rPr>
        <w:t>aan dat de jurisprudentie van het Hof van Justitie van de EU en het Europees Hof v</w:t>
      </w:r>
      <w:r w:rsidRPr="00140451" w:rsidR="006224EA">
        <w:rPr>
          <w:rFonts w:eastAsiaTheme="minorHAnsi" w:cstheme="minorBidi"/>
          <w:color w:val="auto"/>
          <w:kern w:val="2"/>
          <w:lang w:eastAsia="en-US"/>
          <w14:ligatures w14:val="standardContextual"/>
        </w:rPr>
        <w:t>oor</w:t>
      </w:r>
      <w:r w:rsidRPr="00140451">
        <w:rPr>
          <w:rFonts w:eastAsiaTheme="minorHAnsi" w:cstheme="minorBidi"/>
          <w:color w:val="auto"/>
          <w:kern w:val="2"/>
          <w:lang w:eastAsia="en-US"/>
          <w14:ligatures w14:val="standardContextual"/>
        </w:rPr>
        <w:t xml:space="preserve"> de Rechten van de Mens</w:t>
      </w:r>
      <w:r w:rsidRPr="00140451" w:rsidR="008B6EAD">
        <w:rPr>
          <w:rFonts w:eastAsiaTheme="minorHAnsi" w:cstheme="minorBidi"/>
          <w:color w:val="auto"/>
          <w:kern w:val="2"/>
          <w:lang w:eastAsia="en-US"/>
          <w14:ligatures w14:val="standardContextual"/>
        </w:rPr>
        <w:t xml:space="preserve"> ook</w:t>
      </w:r>
      <w:r w:rsidRPr="00140451">
        <w:rPr>
          <w:rFonts w:eastAsiaTheme="minorHAnsi" w:cstheme="minorBidi"/>
          <w:color w:val="auto"/>
          <w:kern w:val="2"/>
          <w:lang w:eastAsia="en-US"/>
          <w14:ligatures w14:val="standardContextual"/>
        </w:rPr>
        <w:t xml:space="preserve"> in die richting wijst. De auteurs van het onderzoek schetsen </w:t>
      </w:r>
      <w:r w:rsidRPr="00140451" w:rsidR="00F85C76">
        <w:rPr>
          <w:rFonts w:eastAsiaTheme="minorHAnsi" w:cstheme="minorBidi"/>
          <w:color w:val="auto"/>
          <w:kern w:val="2"/>
          <w:lang w:eastAsia="en-US"/>
          <w14:ligatures w14:val="standardContextual"/>
        </w:rPr>
        <w:t xml:space="preserve">een aantal </w:t>
      </w:r>
      <w:r w:rsidRPr="00140451">
        <w:rPr>
          <w:rFonts w:eastAsiaTheme="minorHAnsi" w:cstheme="minorBidi"/>
          <w:color w:val="auto"/>
          <w:kern w:val="2"/>
          <w:lang w:eastAsia="en-US"/>
          <w14:ligatures w14:val="standardContextual"/>
        </w:rPr>
        <w:t xml:space="preserve">elementen die </w:t>
      </w:r>
      <w:r w:rsidRPr="00140451" w:rsidR="006224EA">
        <w:rPr>
          <w:rFonts w:eastAsiaTheme="minorHAnsi" w:cstheme="minorBidi"/>
          <w:color w:val="auto"/>
          <w:kern w:val="2"/>
          <w:lang w:eastAsia="en-US"/>
          <w14:ligatures w14:val="standardContextual"/>
        </w:rPr>
        <w:t xml:space="preserve">richting kunnen geven aan de normering van de verwerking van zulke gegevens. </w:t>
      </w:r>
    </w:p>
    <w:p w:rsidRPr="00140451" w:rsidR="00366436" w:rsidP="009A06BF" w:rsidRDefault="00E5203A" w14:paraId="6346E260" w14:textId="39BFD07F">
      <w:pPr>
        <w:autoSpaceDN/>
        <w:spacing w:after="160" w:line="259" w:lineRule="auto"/>
        <w:textAlignment w:val="auto"/>
        <w:rPr>
          <w:rFonts w:eastAsiaTheme="minorHAnsi" w:cstheme="minorBidi"/>
          <w:color w:val="auto"/>
          <w:kern w:val="2"/>
          <w:lang w:eastAsia="en-US"/>
          <w14:ligatures w14:val="standardContextual"/>
        </w:rPr>
      </w:pPr>
      <w:r w:rsidRPr="00140451">
        <w:rPr>
          <w:rFonts w:eastAsiaTheme="minorHAnsi" w:cstheme="minorBidi"/>
          <w:color w:val="auto"/>
          <w:kern w:val="2"/>
          <w:lang w:eastAsia="en-US"/>
          <w14:ligatures w14:val="standardContextual"/>
        </w:rPr>
        <w:t>Gebleken is dat het opstellen van een regeling voor strafvorderlijke gegevensverwerking niet eenvoudig is</w:t>
      </w:r>
      <w:r w:rsidRPr="00140451" w:rsidR="00F75C38">
        <w:rPr>
          <w:rFonts w:eastAsiaTheme="minorHAnsi" w:cstheme="minorBidi"/>
          <w:color w:val="auto"/>
          <w:kern w:val="2"/>
          <w:lang w:eastAsia="en-US"/>
          <w14:ligatures w14:val="standardContextual"/>
        </w:rPr>
        <w:t xml:space="preserve">. </w:t>
      </w:r>
      <w:r w:rsidRPr="00140451" w:rsidR="00560E1D">
        <w:rPr>
          <w:rFonts w:eastAsiaTheme="minorHAnsi" w:cstheme="minorBidi"/>
          <w:color w:val="auto"/>
          <w:kern w:val="2"/>
          <w:lang w:eastAsia="en-US"/>
          <w14:ligatures w14:val="standardContextual"/>
        </w:rPr>
        <w:t xml:space="preserve">Zowel de technische mogelijkheden als de juridische eisen die voortkomen uit de Europese jurisprudentie zijn voortdurend in beweging. </w:t>
      </w:r>
      <w:r w:rsidRPr="00140451" w:rsidR="008B6EAD">
        <w:rPr>
          <w:rFonts w:eastAsiaTheme="minorHAnsi" w:cstheme="minorBidi"/>
          <w:color w:val="auto"/>
          <w:kern w:val="2"/>
          <w:lang w:eastAsia="en-US"/>
          <w14:ligatures w14:val="standardContextual"/>
        </w:rPr>
        <w:t xml:space="preserve">Hier komt bij dat </w:t>
      </w:r>
      <w:r w:rsidRPr="00140451" w:rsidR="00560E1D">
        <w:rPr>
          <w:rFonts w:eastAsiaTheme="minorHAnsi" w:cstheme="minorBidi"/>
          <w:color w:val="auto"/>
          <w:kern w:val="2"/>
          <w:lang w:eastAsia="en-US"/>
          <w14:ligatures w14:val="standardContextual"/>
        </w:rPr>
        <w:t>d</w:t>
      </w:r>
      <w:r w:rsidRPr="00140451" w:rsidR="00F75C38">
        <w:rPr>
          <w:rFonts w:eastAsiaTheme="minorHAnsi" w:cstheme="minorBidi"/>
          <w:color w:val="auto"/>
          <w:kern w:val="2"/>
          <w:lang w:eastAsia="en-US"/>
          <w14:ligatures w14:val="standardContextual"/>
        </w:rPr>
        <w:t>igitale opsporing breed</w:t>
      </w:r>
      <w:r w:rsidRPr="00140451" w:rsidR="00560E1D">
        <w:rPr>
          <w:rFonts w:eastAsiaTheme="minorHAnsi" w:cstheme="minorBidi"/>
          <w:color w:val="auto"/>
          <w:kern w:val="2"/>
          <w:lang w:eastAsia="en-US"/>
          <w14:ligatures w14:val="standardContextual"/>
        </w:rPr>
        <w:t xml:space="preserve"> en veelvuldig</w:t>
      </w:r>
      <w:r w:rsidRPr="00140451" w:rsidR="00F75C38">
        <w:rPr>
          <w:rFonts w:eastAsiaTheme="minorHAnsi" w:cstheme="minorBidi"/>
          <w:color w:val="auto"/>
          <w:kern w:val="2"/>
          <w:lang w:eastAsia="en-US"/>
          <w14:ligatures w14:val="standardContextual"/>
        </w:rPr>
        <w:t xml:space="preserve"> </w:t>
      </w:r>
      <w:r w:rsidRPr="00140451" w:rsidR="008B6EAD">
        <w:rPr>
          <w:rFonts w:eastAsiaTheme="minorHAnsi" w:cstheme="minorBidi"/>
          <w:color w:val="auto"/>
          <w:kern w:val="2"/>
          <w:lang w:eastAsia="en-US"/>
          <w14:ligatures w14:val="standardContextual"/>
        </w:rPr>
        <w:t xml:space="preserve">wordt </w:t>
      </w:r>
      <w:r w:rsidRPr="00140451" w:rsidR="00F75C38">
        <w:rPr>
          <w:rFonts w:eastAsiaTheme="minorHAnsi" w:cstheme="minorBidi"/>
          <w:color w:val="auto"/>
          <w:kern w:val="2"/>
          <w:lang w:eastAsia="en-US"/>
          <w14:ligatures w14:val="standardContextual"/>
        </w:rPr>
        <w:t xml:space="preserve">ingezet waardoor </w:t>
      </w:r>
      <w:r w:rsidRPr="00140451" w:rsidR="00D81299">
        <w:rPr>
          <w:rFonts w:eastAsiaTheme="minorHAnsi" w:cstheme="minorBidi"/>
          <w:color w:val="auto"/>
          <w:kern w:val="2"/>
          <w:lang w:eastAsia="en-US"/>
          <w14:ligatures w14:val="standardContextual"/>
        </w:rPr>
        <w:t xml:space="preserve">iedere nieuwe regel op dit gebied </w:t>
      </w:r>
      <w:r w:rsidRPr="00140451" w:rsidR="00F75C38">
        <w:rPr>
          <w:rFonts w:eastAsiaTheme="minorHAnsi" w:cstheme="minorBidi"/>
          <w:color w:val="auto"/>
          <w:kern w:val="2"/>
          <w:lang w:eastAsia="en-US"/>
          <w14:ligatures w14:val="standardContextual"/>
        </w:rPr>
        <w:t>grote impact he</w:t>
      </w:r>
      <w:r w:rsidRPr="00140451" w:rsidR="00D81299">
        <w:rPr>
          <w:rFonts w:eastAsiaTheme="minorHAnsi" w:cstheme="minorBidi"/>
          <w:color w:val="auto"/>
          <w:kern w:val="2"/>
          <w:lang w:eastAsia="en-US"/>
          <w14:ligatures w14:val="standardContextual"/>
        </w:rPr>
        <w:t xml:space="preserve">eft op de schaarse </w:t>
      </w:r>
      <w:r w:rsidRPr="00140451" w:rsidR="00366436">
        <w:rPr>
          <w:rFonts w:eastAsiaTheme="minorHAnsi" w:cstheme="minorBidi"/>
          <w:color w:val="auto"/>
          <w:kern w:val="2"/>
          <w:lang w:eastAsia="en-US"/>
          <w14:ligatures w14:val="standardContextual"/>
        </w:rPr>
        <w:t xml:space="preserve">personele </w:t>
      </w:r>
      <w:r w:rsidRPr="00140451" w:rsidR="00D81299">
        <w:rPr>
          <w:rFonts w:eastAsiaTheme="minorHAnsi" w:cstheme="minorBidi"/>
          <w:color w:val="auto"/>
          <w:kern w:val="2"/>
          <w:lang w:eastAsia="en-US"/>
          <w14:ligatures w14:val="standardContextual"/>
        </w:rPr>
        <w:t>capaciteit en de ICT voorzieningen</w:t>
      </w:r>
      <w:r w:rsidRPr="00140451" w:rsidR="00F75C38">
        <w:rPr>
          <w:rFonts w:eastAsiaTheme="minorHAnsi" w:cstheme="minorBidi"/>
          <w:color w:val="auto"/>
          <w:kern w:val="2"/>
          <w:lang w:eastAsia="en-US"/>
          <w14:ligatures w14:val="standardContextual"/>
        </w:rPr>
        <w:t xml:space="preserve">. </w:t>
      </w:r>
      <w:r w:rsidRPr="00140451" w:rsidR="00560E1D">
        <w:rPr>
          <w:rFonts w:eastAsiaTheme="minorHAnsi" w:cstheme="minorBidi"/>
          <w:color w:val="auto"/>
          <w:kern w:val="2"/>
          <w:lang w:eastAsia="en-US"/>
          <w14:ligatures w14:val="standardContextual"/>
        </w:rPr>
        <w:t xml:space="preserve">Er </w:t>
      </w:r>
      <w:r w:rsidRPr="00140451" w:rsidR="006A3DA6">
        <w:rPr>
          <w:rFonts w:eastAsiaTheme="minorHAnsi" w:cstheme="minorBidi"/>
          <w:color w:val="auto"/>
          <w:kern w:val="2"/>
          <w:lang w:eastAsia="en-US"/>
          <w14:ligatures w14:val="standardContextual"/>
        </w:rPr>
        <w:t xml:space="preserve">moet rekening worden gehouden met de hoge </w:t>
      </w:r>
      <w:r w:rsidRPr="00140451" w:rsidR="00F75C38">
        <w:rPr>
          <w:rFonts w:eastAsiaTheme="minorHAnsi" w:cstheme="minorBidi"/>
          <w:color w:val="auto"/>
          <w:kern w:val="2"/>
          <w:lang w:eastAsia="en-US"/>
          <w14:ligatures w14:val="standardContextual"/>
        </w:rPr>
        <w:t>implementatiedruk van het nieuwe Wetboek van Strafvordering</w:t>
      </w:r>
      <w:r w:rsidRPr="00140451" w:rsidR="006A3DA6">
        <w:rPr>
          <w:rFonts w:eastAsiaTheme="minorHAnsi" w:cstheme="minorBidi"/>
          <w:color w:val="auto"/>
          <w:kern w:val="2"/>
          <w:lang w:eastAsia="en-US"/>
          <w14:ligatures w14:val="standardContextual"/>
        </w:rPr>
        <w:t xml:space="preserve"> op de uitvoeringsorganisaties</w:t>
      </w:r>
      <w:r w:rsidRPr="00140451" w:rsidR="00F75C38">
        <w:rPr>
          <w:rFonts w:eastAsiaTheme="minorHAnsi" w:cstheme="minorBidi"/>
          <w:color w:val="auto"/>
          <w:kern w:val="2"/>
          <w:lang w:eastAsia="en-US"/>
          <w14:ligatures w14:val="standardContextual"/>
        </w:rPr>
        <w:t>. Daarom is</w:t>
      </w:r>
      <w:r w:rsidRPr="00140451" w:rsidR="00C90DDF">
        <w:rPr>
          <w:rFonts w:eastAsiaTheme="minorHAnsi" w:cstheme="minorBidi"/>
          <w:color w:val="auto"/>
          <w:kern w:val="2"/>
          <w:lang w:eastAsia="en-US"/>
          <w14:ligatures w14:val="standardContextual"/>
        </w:rPr>
        <w:t xml:space="preserve"> er in de consultatieversie van de eerste aanvullingswet van het nieuwe Wetboek van Strafvordering voor gekozen om slechts de bestaande bepalingen uit het huidige Wetboek van Strafvordering over het verder verwerken van gegevens, over te nemen en ook van toepassing te laten zijn op gegevens die afkomstig zijn van digitale gegevensdragers. Tegelijkertijd is </w:t>
      </w:r>
      <w:r w:rsidRPr="00140451" w:rsidR="008B6EAD">
        <w:rPr>
          <w:rFonts w:eastAsiaTheme="minorHAnsi" w:cstheme="minorBidi"/>
          <w:color w:val="auto"/>
          <w:kern w:val="2"/>
          <w:lang w:eastAsia="en-US"/>
          <w14:ligatures w14:val="standardContextual"/>
        </w:rPr>
        <w:t xml:space="preserve">hierbij </w:t>
      </w:r>
      <w:r w:rsidRPr="00140451" w:rsidR="00C90DDF">
        <w:rPr>
          <w:rFonts w:eastAsiaTheme="minorHAnsi" w:cstheme="minorBidi"/>
          <w:color w:val="auto"/>
          <w:kern w:val="2"/>
          <w:lang w:eastAsia="en-US"/>
          <w14:ligatures w14:val="standardContextual"/>
        </w:rPr>
        <w:t>gesignaleerd dat het nodig is om nieuw beleid te ontwikkelen</w:t>
      </w:r>
      <w:r w:rsidRPr="00140451">
        <w:rPr>
          <w:rFonts w:eastAsiaTheme="minorHAnsi" w:cstheme="minorBidi"/>
          <w:color w:val="auto"/>
          <w:kern w:val="2"/>
          <w:lang w:eastAsia="en-US"/>
          <w14:ligatures w14:val="standardContextual"/>
        </w:rPr>
        <w:t>.</w:t>
      </w:r>
    </w:p>
    <w:p w:rsidRPr="00140451" w:rsidR="009A06BF" w:rsidP="009A06BF" w:rsidRDefault="00C90DDF" w14:paraId="680CBCF5" w14:textId="2603B865">
      <w:pPr>
        <w:autoSpaceDN/>
        <w:spacing w:after="160" w:line="259" w:lineRule="auto"/>
        <w:textAlignment w:val="auto"/>
        <w:rPr>
          <w:rFonts w:eastAsiaTheme="minorHAnsi" w:cstheme="minorBidi"/>
          <w:color w:val="auto"/>
          <w:kern w:val="2"/>
          <w:lang w:eastAsia="en-US"/>
          <w14:ligatures w14:val="standardContextual"/>
        </w:rPr>
      </w:pPr>
      <w:r w:rsidRPr="00140451">
        <w:rPr>
          <w:rFonts w:eastAsiaTheme="minorHAnsi" w:cstheme="minorBidi"/>
          <w:color w:val="auto"/>
          <w:kern w:val="2"/>
          <w:lang w:eastAsia="en-US"/>
          <w14:ligatures w14:val="standardContextual"/>
        </w:rPr>
        <w:t xml:space="preserve">Er moet </w:t>
      </w:r>
      <w:r w:rsidRPr="00140451" w:rsidR="00366436">
        <w:rPr>
          <w:rFonts w:eastAsiaTheme="minorHAnsi" w:cstheme="minorBidi"/>
          <w:color w:val="auto"/>
          <w:kern w:val="2"/>
          <w:lang w:eastAsia="en-US"/>
          <w14:ligatures w14:val="standardContextual"/>
        </w:rPr>
        <w:t xml:space="preserve">dus </w:t>
      </w:r>
      <w:r w:rsidRPr="00140451">
        <w:rPr>
          <w:rFonts w:eastAsiaTheme="minorHAnsi" w:cstheme="minorBidi"/>
          <w:color w:val="auto"/>
          <w:kern w:val="2"/>
          <w:lang w:eastAsia="en-US"/>
          <w14:ligatures w14:val="standardContextual"/>
        </w:rPr>
        <w:t>een</w:t>
      </w:r>
      <w:r w:rsidRPr="00140451" w:rsidR="00366436">
        <w:rPr>
          <w:rFonts w:eastAsiaTheme="minorHAnsi" w:cstheme="minorBidi"/>
          <w:color w:val="auto"/>
          <w:kern w:val="2"/>
          <w:lang w:eastAsia="en-US"/>
          <w14:ligatures w14:val="standardContextual"/>
        </w:rPr>
        <w:t xml:space="preserve"> toekomstbestendige </w:t>
      </w:r>
      <w:r w:rsidRPr="00140451">
        <w:rPr>
          <w:rFonts w:eastAsiaTheme="minorHAnsi" w:cstheme="minorBidi"/>
          <w:color w:val="auto"/>
          <w:kern w:val="2"/>
          <w:lang w:eastAsia="en-US"/>
          <w14:ligatures w14:val="standardContextual"/>
        </w:rPr>
        <w:t>regeling komen</w:t>
      </w:r>
      <w:r w:rsidRPr="00140451" w:rsidR="00E5203A">
        <w:rPr>
          <w:rFonts w:eastAsiaTheme="minorHAnsi" w:cstheme="minorBidi"/>
          <w:color w:val="auto"/>
          <w:kern w:val="2"/>
          <w:lang w:eastAsia="en-US"/>
          <w14:ligatures w14:val="standardContextual"/>
        </w:rPr>
        <w:t xml:space="preserve"> voor het verder verwerken van (grote hoeveelheden) persoonsgegevens</w:t>
      </w:r>
      <w:r w:rsidRPr="00140451">
        <w:rPr>
          <w:rFonts w:eastAsiaTheme="minorHAnsi" w:cstheme="minorBidi"/>
          <w:color w:val="auto"/>
          <w:kern w:val="2"/>
          <w:lang w:eastAsia="en-US"/>
          <w14:ligatures w14:val="standardContextual"/>
        </w:rPr>
        <w:t xml:space="preserve"> die zorgt voor passende waarborgen voor de bescherming van de persoonlijke levenssfeer, maar het ook mogelijk maakt dat </w:t>
      </w:r>
      <w:r w:rsidRPr="00140451" w:rsidR="00E5203A">
        <w:rPr>
          <w:rFonts w:eastAsiaTheme="minorHAnsi" w:cstheme="minorBidi"/>
          <w:color w:val="auto"/>
          <w:kern w:val="2"/>
          <w:lang w:eastAsia="en-US"/>
          <w14:ligatures w14:val="standardContextual"/>
        </w:rPr>
        <w:t xml:space="preserve">de </w:t>
      </w:r>
      <w:r w:rsidRPr="00140451">
        <w:rPr>
          <w:rFonts w:eastAsiaTheme="minorHAnsi" w:cstheme="minorBidi"/>
          <w:kern w:val="2"/>
          <w:lang w:eastAsia="en-US"/>
          <w14:ligatures w14:val="standardContextual"/>
        </w:rPr>
        <w:t>gegevens optimaal kunnen worden benut voor</w:t>
      </w:r>
      <w:r w:rsidRPr="00140451" w:rsidR="008B6EAD">
        <w:rPr>
          <w:rFonts w:eastAsiaTheme="minorHAnsi" w:cstheme="minorBidi"/>
          <w:kern w:val="2"/>
          <w:lang w:eastAsia="en-US"/>
          <w14:ligatures w14:val="standardContextual"/>
        </w:rPr>
        <w:t xml:space="preserve"> de uitvoering van </w:t>
      </w:r>
      <w:r w:rsidRPr="00140451" w:rsidR="00560E1D">
        <w:rPr>
          <w:rFonts w:eastAsiaTheme="minorHAnsi" w:cstheme="minorBidi"/>
          <w:kern w:val="2"/>
          <w:lang w:eastAsia="en-US"/>
          <w14:ligatures w14:val="standardContextual"/>
        </w:rPr>
        <w:t xml:space="preserve">(onderdelen van) </w:t>
      </w:r>
      <w:r w:rsidRPr="00140451">
        <w:rPr>
          <w:rFonts w:eastAsiaTheme="minorHAnsi" w:cstheme="minorBidi"/>
          <w:kern w:val="2"/>
          <w:lang w:eastAsia="en-US"/>
          <w14:ligatures w14:val="standardContextual"/>
        </w:rPr>
        <w:t xml:space="preserve">de </w:t>
      </w:r>
      <w:r w:rsidRPr="00140451" w:rsidR="00560E1D">
        <w:rPr>
          <w:rFonts w:eastAsiaTheme="minorHAnsi" w:cstheme="minorBidi"/>
          <w:kern w:val="2"/>
          <w:lang w:eastAsia="en-US"/>
          <w14:ligatures w14:val="standardContextual"/>
        </w:rPr>
        <w:t>politie</w:t>
      </w:r>
      <w:r w:rsidRPr="00140451">
        <w:rPr>
          <w:rFonts w:eastAsiaTheme="minorHAnsi" w:cstheme="minorBidi"/>
          <w:kern w:val="2"/>
          <w:lang w:eastAsia="en-US"/>
          <w14:ligatures w14:val="standardContextual"/>
        </w:rPr>
        <w:t>taak.</w:t>
      </w:r>
      <w:r w:rsidRPr="00140451">
        <w:rPr>
          <w:rFonts w:eastAsiaTheme="minorHAnsi" w:cstheme="minorBidi"/>
          <w:color w:val="auto"/>
          <w:kern w:val="2"/>
          <w:lang w:eastAsia="en-US"/>
          <w14:ligatures w14:val="standardContextual"/>
        </w:rPr>
        <w:t xml:space="preserve"> </w:t>
      </w:r>
      <w:bookmarkStart w:name="_Hlk187831171" w:id="2"/>
      <w:r w:rsidRPr="00140451" w:rsidR="00366436">
        <w:rPr>
          <w:rFonts w:eastAsiaTheme="minorHAnsi" w:cstheme="minorBidi"/>
          <w:color w:val="auto"/>
          <w:kern w:val="2"/>
          <w:lang w:eastAsia="en-US"/>
          <w14:ligatures w14:val="standardContextual"/>
        </w:rPr>
        <w:t>Dit vereist</w:t>
      </w:r>
      <w:r w:rsidRPr="00140451" w:rsidR="009A06BF">
        <w:rPr>
          <w:rFonts w:eastAsiaTheme="minorHAnsi" w:cstheme="minorBidi"/>
          <w:color w:val="auto"/>
          <w:kern w:val="2"/>
          <w:lang w:eastAsia="en-US"/>
          <w14:ligatures w14:val="standardContextual"/>
        </w:rPr>
        <w:t xml:space="preserve"> een gedegen uitwerking die met de nodige tijd en aandacht wordt opgesteld</w:t>
      </w:r>
      <w:bookmarkEnd w:id="2"/>
      <w:r w:rsidRPr="00140451" w:rsidR="00366436">
        <w:rPr>
          <w:rFonts w:eastAsiaTheme="minorHAnsi" w:cstheme="minorBidi"/>
          <w:color w:val="auto"/>
          <w:kern w:val="2"/>
          <w:lang w:eastAsia="en-US"/>
          <w14:ligatures w14:val="standardContextual"/>
        </w:rPr>
        <w:t xml:space="preserve">. </w:t>
      </w:r>
      <w:r w:rsidRPr="00140451" w:rsidR="009A06BF">
        <w:rPr>
          <w:rFonts w:eastAsiaTheme="minorHAnsi" w:cstheme="minorBidi"/>
          <w:color w:val="auto"/>
          <w:kern w:val="2"/>
          <w:lang w:eastAsia="en-US"/>
          <w14:ligatures w14:val="standardContextual"/>
        </w:rPr>
        <w:t>Het is</w:t>
      </w:r>
      <w:r w:rsidRPr="00140451" w:rsidR="00366436">
        <w:rPr>
          <w:rFonts w:eastAsiaTheme="minorHAnsi" w:cstheme="minorBidi"/>
          <w:color w:val="auto"/>
          <w:kern w:val="2"/>
          <w:lang w:eastAsia="en-US"/>
          <w14:ligatures w14:val="standardContextual"/>
        </w:rPr>
        <w:t xml:space="preserve"> hiervoor </w:t>
      </w:r>
      <w:r w:rsidRPr="00140451" w:rsidR="009A06BF">
        <w:rPr>
          <w:rFonts w:eastAsiaTheme="minorHAnsi" w:cstheme="minorBidi"/>
          <w:color w:val="auto"/>
          <w:kern w:val="2"/>
          <w:lang w:eastAsia="en-US"/>
          <w14:ligatures w14:val="standardContextual"/>
        </w:rPr>
        <w:t>nodig om de kennis</w:t>
      </w:r>
      <w:r w:rsidRPr="00140451" w:rsidR="00366436">
        <w:rPr>
          <w:rFonts w:eastAsiaTheme="minorHAnsi" w:cstheme="minorBidi"/>
          <w:color w:val="auto"/>
          <w:kern w:val="2"/>
          <w:lang w:eastAsia="en-US"/>
          <w14:ligatures w14:val="standardContextual"/>
        </w:rPr>
        <w:t xml:space="preserve"> en inzichten</w:t>
      </w:r>
      <w:r w:rsidRPr="00140451" w:rsidR="009A06BF">
        <w:rPr>
          <w:rFonts w:eastAsiaTheme="minorHAnsi" w:cstheme="minorBidi"/>
          <w:color w:val="auto"/>
          <w:kern w:val="2"/>
          <w:lang w:eastAsia="en-US"/>
          <w14:ligatures w14:val="standardContextual"/>
        </w:rPr>
        <w:t xml:space="preserve"> van wetenschappers, beleid, wetgeving en uitvoering bijeen te brengen. Om deze reden wordt een commissie ingesteld die ons </w:t>
      </w:r>
      <w:r w:rsidRPr="00140451" w:rsidR="00366436">
        <w:rPr>
          <w:rFonts w:eastAsiaTheme="minorHAnsi" w:cstheme="minorBidi"/>
          <w:color w:val="auto"/>
          <w:kern w:val="2"/>
          <w:lang w:eastAsia="en-US"/>
          <w14:ligatures w14:val="standardContextual"/>
        </w:rPr>
        <w:t xml:space="preserve">moet </w:t>
      </w:r>
      <w:r w:rsidRPr="00140451" w:rsidR="009A06BF">
        <w:rPr>
          <w:rFonts w:eastAsiaTheme="minorHAnsi" w:cstheme="minorBidi"/>
          <w:color w:val="auto"/>
          <w:kern w:val="2"/>
          <w:lang w:eastAsia="en-US"/>
          <w14:ligatures w14:val="standardContextual"/>
        </w:rPr>
        <w:t>voorzien van concrete aanbevelingen ten aanzien van een wettelijke regeling</w:t>
      </w:r>
      <w:r w:rsidRPr="00140451" w:rsidR="002D6864">
        <w:rPr>
          <w:rFonts w:eastAsiaTheme="minorHAnsi" w:cstheme="minorBidi"/>
          <w:color w:val="auto"/>
          <w:kern w:val="2"/>
          <w:lang w:eastAsia="en-US"/>
          <w14:ligatures w14:val="standardContextual"/>
        </w:rPr>
        <w:t xml:space="preserve"> en daarbij de meest recente ontwikkelingen meeneemt</w:t>
      </w:r>
      <w:r w:rsidRPr="00140451" w:rsidR="009A06BF">
        <w:rPr>
          <w:rFonts w:eastAsiaTheme="minorHAnsi" w:cstheme="minorBidi"/>
          <w:color w:val="auto"/>
          <w:kern w:val="2"/>
          <w:lang w:eastAsia="en-US"/>
          <w14:ligatures w14:val="standardContextual"/>
        </w:rPr>
        <w:t xml:space="preserve">. De politie en het </w:t>
      </w:r>
      <w:r w:rsidRPr="00140451" w:rsidR="001D75C1">
        <w:rPr>
          <w:rFonts w:eastAsiaTheme="minorHAnsi" w:cstheme="minorBidi"/>
          <w:color w:val="auto"/>
          <w:kern w:val="2"/>
          <w:lang w:eastAsia="en-US"/>
          <w14:ligatures w14:val="standardContextual"/>
        </w:rPr>
        <w:t>O</w:t>
      </w:r>
      <w:r w:rsidRPr="00140451" w:rsidR="009A06BF">
        <w:rPr>
          <w:rFonts w:eastAsiaTheme="minorHAnsi" w:cstheme="minorBidi"/>
          <w:color w:val="auto"/>
          <w:kern w:val="2"/>
          <w:lang w:eastAsia="en-US"/>
          <w14:ligatures w14:val="standardContextual"/>
        </w:rPr>
        <w:t xml:space="preserve">penbaar </w:t>
      </w:r>
      <w:r w:rsidRPr="00140451" w:rsidR="001D75C1">
        <w:rPr>
          <w:rFonts w:eastAsiaTheme="minorHAnsi" w:cstheme="minorBidi"/>
          <w:color w:val="auto"/>
          <w:kern w:val="2"/>
          <w:lang w:eastAsia="en-US"/>
          <w14:ligatures w14:val="standardContextual"/>
        </w:rPr>
        <w:t>M</w:t>
      </w:r>
      <w:r w:rsidRPr="00140451" w:rsidR="009A06BF">
        <w:rPr>
          <w:rFonts w:eastAsiaTheme="minorHAnsi" w:cstheme="minorBidi"/>
          <w:color w:val="auto"/>
          <w:kern w:val="2"/>
          <w:lang w:eastAsia="en-US"/>
          <w14:ligatures w14:val="standardContextual"/>
        </w:rPr>
        <w:t xml:space="preserve">inisterie hebben al aangegeven graag te participeren in de commissie zodat deze toekomstige wetgeving al in een vroeg stadium kan worden getoetst op uitvoerbaarheid voor de praktijk. </w:t>
      </w:r>
    </w:p>
    <w:p w:rsidRPr="00140451" w:rsidR="009A06BF" w:rsidP="009A06BF" w:rsidRDefault="009A06BF" w14:paraId="4BB9FF62" w14:textId="08F8F7B2">
      <w:pPr>
        <w:autoSpaceDN/>
        <w:spacing w:after="160" w:line="259" w:lineRule="auto"/>
        <w:textAlignment w:val="auto"/>
        <w:rPr>
          <w:rFonts w:eastAsiaTheme="minorHAnsi" w:cstheme="minorBidi"/>
          <w:color w:val="auto"/>
          <w:kern w:val="2"/>
          <w:lang w:eastAsia="en-US"/>
          <w14:ligatures w14:val="standardContextual"/>
        </w:rPr>
      </w:pPr>
      <w:r w:rsidRPr="00140451">
        <w:rPr>
          <w:rFonts w:eastAsiaTheme="minorHAnsi" w:cstheme="minorBidi"/>
          <w:color w:val="auto"/>
          <w:kern w:val="2"/>
          <w:lang w:eastAsia="en-US"/>
          <w14:ligatures w14:val="standardContextual"/>
        </w:rPr>
        <w:t xml:space="preserve">Het uiteindelijke wetsvoorstel </w:t>
      </w:r>
      <w:r w:rsidRPr="00140451" w:rsidR="002D6864">
        <w:rPr>
          <w:rFonts w:eastAsiaTheme="minorHAnsi" w:cstheme="minorBidi"/>
          <w:color w:val="auto"/>
          <w:kern w:val="2"/>
          <w:lang w:eastAsia="en-US"/>
          <w14:ligatures w14:val="standardContextual"/>
        </w:rPr>
        <w:t xml:space="preserve">inzake strafvorderlijke gegevensverwerking </w:t>
      </w:r>
      <w:r w:rsidRPr="00140451">
        <w:rPr>
          <w:rFonts w:eastAsiaTheme="minorHAnsi" w:cstheme="minorBidi"/>
          <w:color w:val="auto"/>
          <w:kern w:val="2"/>
          <w:lang w:eastAsia="en-US"/>
          <w14:ligatures w14:val="standardContextual"/>
        </w:rPr>
        <w:t xml:space="preserve">zal in ieder geval regels bevatten omtrent de criteria voor toegang tot de gegevens en </w:t>
      </w:r>
      <w:r w:rsidRPr="00140451" w:rsidR="002D6864">
        <w:rPr>
          <w:rFonts w:eastAsiaTheme="minorHAnsi" w:cstheme="minorBidi"/>
          <w:color w:val="auto"/>
          <w:kern w:val="2"/>
          <w:lang w:eastAsia="en-US"/>
          <w14:ligatures w14:val="standardContextual"/>
        </w:rPr>
        <w:t xml:space="preserve">verder </w:t>
      </w:r>
      <w:r w:rsidRPr="00140451">
        <w:rPr>
          <w:rFonts w:eastAsiaTheme="minorHAnsi" w:cstheme="minorBidi"/>
          <w:color w:val="auto"/>
          <w:kern w:val="2"/>
          <w:lang w:eastAsia="en-US"/>
          <w14:ligatures w14:val="standardContextual"/>
        </w:rPr>
        <w:t xml:space="preserve">uitwerken wanneer gegevens die zijn verzameld voor een specifiek </w:t>
      </w:r>
      <w:r w:rsidRPr="00140451" w:rsidR="002D6864">
        <w:rPr>
          <w:rFonts w:eastAsiaTheme="minorHAnsi" w:cstheme="minorBidi"/>
          <w:color w:val="auto"/>
          <w:kern w:val="2"/>
          <w:lang w:eastAsia="en-US"/>
          <w14:ligatures w14:val="standardContextual"/>
        </w:rPr>
        <w:t xml:space="preserve">doel, </w:t>
      </w:r>
      <w:r w:rsidRPr="00140451">
        <w:rPr>
          <w:rFonts w:eastAsiaTheme="minorHAnsi" w:cstheme="minorBidi"/>
          <w:color w:val="auto"/>
          <w:kern w:val="2"/>
          <w:lang w:eastAsia="en-US"/>
          <w14:ligatures w14:val="standardContextual"/>
        </w:rPr>
        <w:t xml:space="preserve">voor een ander </w:t>
      </w:r>
      <w:r w:rsidRPr="00140451" w:rsidR="002D6864">
        <w:rPr>
          <w:rFonts w:eastAsiaTheme="minorHAnsi" w:cstheme="minorBidi"/>
          <w:color w:val="auto"/>
          <w:kern w:val="2"/>
          <w:lang w:eastAsia="en-US"/>
          <w14:ligatures w14:val="standardContextual"/>
        </w:rPr>
        <w:t>doel</w:t>
      </w:r>
      <w:r w:rsidRPr="00140451">
        <w:rPr>
          <w:rFonts w:eastAsiaTheme="minorHAnsi" w:cstheme="minorBidi"/>
          <w:color w:val="auto"/>
          <w:kern w:val="2"/>
          <w:lang w:eastAsia="en-US"/>
          <w14:ligatures w14:val="standardContextual"/>
        </w:rPr>
        <w:t xml:space="preserve"> mogen worden gebruikt. Ook zal de regeling voorschriften geven over de wijze van analyse van deze gegevens en de termijn gedurende welke de gegevens beschikbaar mogen blijven voor verdere verwerking. </w:t>
      </w:r>
    </w:p>
    <w:p w:rsidRPr="00140451" w:rsidR="00510394" w:rsidP="009A06BF" w:rsidRDefault="009A06BF" w14:paraId="0A4E65BA" w14:textId="76D1D9DA">
      <w:pPr>
        <w:autoSpaceDN/>
        <w:spacing w:after="160" w:line="259" w:lineRule="auto"/>
        <w:textAlignment w:val="auto"/>
        <w:rPr>
          <w:rFonts w:eastAsiaTheme="minorHAnsi" w:cstheme="minorBidi"/>
          <w:color w:val="auto"/>
          <w:kern w:val="2"/>
          <w:lang w:eastAsia="en-US"/>
          <w14:ligatures w14:val="standardContextual"/>
        </w:rPr>
      </w:pPr>
      <w:r w:rsidRPr="00140451">
        <w:rPr>
          <w:rFonts w:eastAsiaTheme="minorHAnsi" w:cstheme="minorBidi"/>
          <w:color w:val="auto"/>
          <w:kern w:val="2"/>
          <w:lang w:eastAsia="en-US"/>
          <w14:ligatures w14:val="standardContextual"/>
        </w:rPr>
        <w:t xml:space="preserve">De instelling van deze commissie is voorzien in de eerste helft van 2025. </w:t>
      </w:r>
      <w:r w:rsidR="009A6775">
        <w:rPr>
          <w:rFonts w:eastAsiaTheme="minorHAnsi" w:cstheme="minorBidi"/>
          <w:color w:val="auto"/>
          <w:kern w:val="2"/>
          <w:lang w:eastAsia="en-US"/>
          <w14:ligatures w14:val="standardContextual"/>
        </w:rPr>
        <w:br/>
      </w:r>
    </w:p>
    <w:p w:rsidRPr="00140451" w:rsidR="00095DE2" w:rsidRDefault="009A6775" w14:paraId="1EBC1DEA" w14:textId="5E0B3D76">
      <w:r w:rsidRPr="00140451">
        <w:t>De </w:t>
      </w:r>
      <w:r>
        <w:t>M</w:t>
      </w:r>
      <w:r w:rsidRPr="00140451">
        <w:t>inister van Justitie en Veiligheid,</w:t>
      </w:r>
    </w:p>
    <w:p w:rsidRPr="00140451" w:rsidR="00095DE2" w:rsidRDefault="00095DE2" w14:paraId="31D45461" w14:textId="77777777"/>
    <w:p w:rsidRPr="00140451" w:rsidR="00095DE2" w:rsidRDefault="00095DE2" w14:paraId="39B5D3D2" w14:textId="77777777"/>
    <w:p w:rsidRPr="00140451" w:rsidR="00885B6B" w:rsidRDefault="00885B6B" w14:paraId="4259A71D" w14:textId="77777777"/>
    <w:p w:rsidRPr="00140451" w:rsidR="00885B6B" w:rsidRDefault="00885B6B" w14:paraId="61B183CF" w14:textId="77777777"/>
    <w:p w:rsidRPr="00510394" w:rsidR="00095DE2" w:rsidRDefault="009A6775" w14:paraId="0F8BFD2D" w14:textId="54E9CD6E">
      <w:r w:rsidRPr="00140451">
        <w:t>D.</w:t>
      </w:r>
      <w:r w:rsidRPr="00140451" w:rsidR="00510394">
        <w:t>M.</w:t>
      </w:r>
      <w:r w:rsidRPr="00140451">
        <w:t xml:space="preserve"> van Weel</w:t>
      </w:r>
    </w:p>
    <w:p w:rsidR="00095DE2" w:rsidRDefault="00095DE2" w14:paraId="087C71AE" w14:textId="77777777"/>
    <w:p w:rsidR="00095DE2" w:rsidRDefault="00095DE2" w14:paraId="2921DAE2" w14:textId="77777777"/>
    <w:sectPr w:rsidR="00095DE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994B" w14:textId="77777777" w:rsidR="003061AE" w:rsidRDefault="003061AE">
      <w:pPr>
        <w:spacing w:line="240" w:lineRule="auto"/>
      </w:pPr>
      <w:r>
        <w:separator/>
      </w:r>
    </w:p>
  </w:endnote>
  <w:endnote w:type="continuationSeparator" w:id="0">
    <w:p w14:paraId="6127F7ED" w14:textId="77777777" w:rsidR="003061AE" w:rsidRDefault="00306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4650" w14:textId="77777777" w:rsidR="00095DE2" w:rsidRDefault="00095DE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C8DD3" w14:textId="77777777" w:rsidR="003061AE" w:rsidRDefault="003061AE">
      <w:pPr>
        <w:spacing w:line="240" w:lineRule="auto"/>
      </w:pPr>
      <w:r>
        <w:separator/>
      </w:r>
    </w:p>
  </w:footnote>
  <w:footnote w:type="continuationSeparator" w:id="0">
    <w:p w14:paraId="1FBADB17" w14:textId="77777777" w:rsidR="003061AE" w:rsidRDefault="003061AE">
      <w:pPr>
        <w:spacing w:line="240" w:lineRule="auto"/>
      </w:pPr>
      <w:r>
        <w:continuationSeparator/>
      </w:r>
    </w:p>
  </w:footnote>
  <w:footnote w:id="1">
    <w:p w14:paraId="1A93388C" w14:textId="77777777" w:rsidR="009A06BF" w:rsidRDefault="009A06BF" w:rsidP="009A06BF">
      <w:pPr>
        <w:pStyle w:val="Voetnoottekst"/>
      </w:pPr>
      <w:r w:rsidRPr="000655D0">
        <w:rPr>
          <w:rStyle w:val="Voetnootmarkering"/>
          <w:sz w:val="16"/>
          <w:szCs w:val="16"/>
        </w:rPr>
        <w:footnoteRef/>
      </w:r>
      <w:r w:rsidRPr="000655D0">
        <w:rPr>
          <w:sz w:val="16"/>
          <w:szCs w:val="16"/>
        </w:rPr>
        <w:t xml:space="preserve"> </w:t>
      </w:r>
      <w:r w:rsidRPr="00FE6532">
        <w:rPr>
          <w:color w:val="000000"/>
          <w:sz w:val="16"/>
          <w:szCs w:val="16"/>
        </w:rPr>
        <w:t>Kamerstukken II, vergaderjaar 2020/21, 32 761, nr. 173</w:t>
      </w:r>
    </w:p>
  </w:footnote>
  <w:footnote w:id="2">
    <w:p w14:paraId="1CED22F6" w14:textId="028CABE6" w:rsidR="009A06BF" w:rsidRPr="00D23327" w:rsidRDefault="009A06BF" w:rsidP="009A06BF">
      <w:pPr>
        <w:pStyle w:val="Voetnoottekst"/>
        <w:rPr>
          <w:sz w:val="16"/>
          <w:szCs w:val="16"/>
        </w:rPr>
      </w:pPr>
      <w:r w:rsidRPr="00D23327">
        <w:rPr>
          <w:rStyle w:val="Voetnootmarkering"/>
          <w:sz w:val="16"/>
          <w:szCs w:val="16"/>
        </w:rPr>
        <w:footnoteRef/>
      </w:r>
      <w:r w:rsidRPr="00D23327">
        <w:rPr>
          <w:sz w:val="16"/>
          <w:szCs w:val="16"/>
        </w:rPr>
        <w:t xml:space="preserve"> Kamerstukken II, vergaderjaar 2021/22, 32</w:t>
      </w:r>
      <w:r w:rsidR="0045152B">
        <w:rPr>
          <w:sz w:val="16"/>
          <w:szCs w:val="16"/>
        </w:rPr>
        <w:t xml:space="preserve"> </w:t>
      </w:r>
      <w:r w:rsidRPr="00D23327">
        <w:rPr>
          <w:sz w:val="16"/>
          <w:szCs w:val="16"/>
        </w:rPr>
        <w:t>761, nr. 218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1B70" w14:textId="77777777" w:rsidR="00095DE2" w:rsidRDefault="009A6775">
    <w:r>
      <w:rPr>
        <w:noProof/>
      </w:rPr>
      <mc:AlternateContent>
        <mc:Choice Requires="wps">
          <w:drawing>
            <wp:anchor distT="0" distB="0" distL="0" distR="0" simplePos="0" relativeHeight="251652608" behindDoc="0" locked="1" layoutInCell="1" allowOverlap="1" wp14:anchorId="2D0DFAE9" wp14:editId="0C5F7B1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6BD842" w14:textId="77777777" w:rsidR="00095DE2" w:rsidRDefault="009A6775">
                          <w:pPr>
                            <w:pStyle w:val="Referentiegegevensbold"/>
                          </w:pPr>
                          <w:r>
                            <w:t>Directoraat-Generaal Politie en Veiligheidsregio’s</w:t>
                          </w:r>
                        </w:p>
                        <w:p w14:paraId="4D5420E9" w14:textId="77777777" w:rsidR="00095DE2" w:rsidRDefault="009A6775">
                          <w:pPr>
                            <w:pStyle w:val="Referentiegegevens"/>
                          </w:pPr>
                          <w:r>
                            <w:t>Portefeuille Politieel Beleid en Taakuitvoering</w:t>
                          </w:r>
                        </w:p>
                        <w:p w14:paraId="2F7F68AE" w14:textId="77777777" w:rsidR="00095DE2" w:rsidRDefault="009A6775">
                          <w:pPr>
                            <w:pStyle w:val="Referentiegegevens"/>
                          </w:pPr>
                          <w:r>
                            <w:t>Politiebestel, Bevoegdheden en Informatiefunctie</w:t>
                          </w:r>
                        </w:p>
                        <w:p w14:paraId="45DFB37A" w14:textId="77777777" w:rsidR="00095DE2" w:rsidRDefault="00095DE2">
                          <w:pPr>
                            <w:pStyle w:val="WitregelW2"/>
                          </w:pPr>
                        </w:p>
                        <w:p w14:paraId="31F5281D" w14:textId="77777777" w:rsidR="00095DE2" w:rsidRPr="0076533C" w:rsidRDefault="009A6775">
                          <w:pPr>
                            <w:pStyle w:val="Referentiegegevensbold"/>
                          </w:pPr>
                          <w:r w:rsidRPr="0076533C">
                            <w:t>Datum</w:t>
                          </w:r>
                        </w:p>
                        <w:p w14:paraId="25109D61" w14:textId="50633BD5" w:rsidR="00095DE2" w:rsidRDefault="00F14504">
                          <w:pPr>
                            <w:pStyle w:val="Referentiegegevens"/>
                          </w:pPr>
                          <w:sdt>
                            <w:sdtPr>
                              <w:id w:val="-359509632"/>
                              <w:date w:fullDate="2025-01-29T00:00:00Z">
                                <w:dateFormat w:val="d MMMM yyyy"/>
                                <w:lid w:val="nl"/>
                                <w:storeMappedDataAs w:val="dateTime"/>
                                <w:calendar w:val="gregorian"/>
                              </w:date>
                            </w:sdtPr>
                            <w:sdtEndPr/>
                            <w:sdtContent>
                              <w:r w:rsidR="009A047A">
                                <w:t>29</w:t>
                              </w:r>
                              <w:r w:rsidR="009A6775" w:rsidRPr="0076533C">
                                <w:t xml:space="preserve"> januari 2025</w:t>
                              </w:r>
                            </w:sdtContent>
                          </w:sdt>
                        </w:p>
                        <w:p w14:paraId="09725899" w14:textId="77777777" w:rsidR="00095DE2" w:rsidRDefault="00095DE2">
                          <w:pPr>
                            <w:pStyle w:val="WitregelW1"/>
                          </w:pPr>
                        </w:p>
                        <w:p w14:paraId="02BDAE91" w14:textId="77777777" w:rsidR="00095DE2" w:rsidRDefault="009A6775">
                          <w:pPr>
                            <w:pStyle w:val="Referentiegegevensbold"/>
                          </w:pPr>
                          <w:r>
                            <w:t>Onze referentie</w:t>
                          </w:r>
                        </w:p>
                        <w:p w14:paraId="41DEA101" w14:textId="77777777" w:rsidR="00095DE2" w:rsidRDefault="009A6775">
                          <w:pPr>
                            <w:pStyle w:val="Referentiegegevens"/>
                          </w:pPr>
                          <w:r>
                            <w:t>6069857</w:t>
                          </w:r>
                        </w:p>
                      </w:txbxContent>
                    </wps:txbx>
                    <wps:bodyPr vert="horz" wrap="square" lIns="0" tIns="0" rIns="0" bIns="0" anchor="t" anchorCtr="0"/>
                  </wps:wsp>
                </a:graphicData>
              </a:graphic>
            </wp:anchor>
          </w:drawing>
        </mc:Choice>
        <mc:Fallback>
          <w:pict>
            <v:shapetype w14:anchorId="2D0DFAE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D6BD842" w14:textId="77777777" w:rsidR="00095DE2" w:rsidRDefault="009A6775">
                    <w:pPr>
                      <w:pStyle w:val="Referentiegegevensbold"/>
                    </w:pPr>
                    <w:r>
                      <w:t>Directoraat-Generaal Politie en Veiligheidsregio’s</w:t>
                    </w:r>
                  </w:p>
                  <w:p w14:paraId="4D5420E9" w14:textId="77777777" w:rsidR="00095DE2" w:rsidRDefault="009A6775">
                    <w:pPr>
                      <w:pStyle w:val="Referentiegegevens"/>
                    </w:pPr>
                    <w:r>
                      <w:t>Portefeuille Politieel Beleid en Taakuitvoering</w:t>
                    </w:r>
                  </w:p>
                  <w:p w14:paraId="2F7F68AE" w14:textId="77777777" w:rsidR="00095DE2" w:rsidRDefault="009A6775">
                    <w:pPr>
                      <w:pStyle w:val="Referentiegegevens"/>
                    </w:pPr>
                    <w:r>
                      <w:t>Politiebestel, Bevoegdheden en Informatiefunctie</w:t>
                    </w:r>
                  </w:p>
                  <w:p w14:paraId="45DFB37A" w14:textId="77777777" w:rsidR="00095DE2" w:rsidRDefault="00095DE2">
                    <w:pPr>
                      <w:pStyle w:val="WitregelW2"/>
                    </w:pPr>
                  </w:p>
                  <w:p w14:paraId="31F5281D" w14:textId="77777777" w:rsidR="00095DE2" w:rsidRPr="0076533C" w:rsidRDefault="009A6775">
                    <w:pPr>
                      <w:pStyle w:val="Referentiegegevensbold"/>
                    </w:pPr>
                    <w:r w:rsidRPr="0076533C">
                      <w:t>Datum</w:t>
                    </w:r>
                  </w:p>
                  <w:p w14:paraId="25109D61" w14:textId="50633BD5" w:rsidR="00095DE2" w:rsidRDefault="00F14504">
                    <w:pPr>
                      <w:pStyle w:val="Referentiegegevens"/>
                    </w:pPr>
                    <w:sdt>
                      <w:sdtPr>
                        <w:id w:val="-359509632"/>
                        <w:date w:fullDate="2025-01-29T00:00:00Z">
                          <w:dateFormat w:val="d MMMM yyyy"/>
                          <w:lid w:val="nl"/>
                          <w:storeMappedDataAs w:val="dateTime"/>
                          <w:calendar w:val="gregorian"/>
                        </w:date>
                      </w:sdtPr>
                      <w:sdtEndPr/>
                      <w:sdtContent>
                        <w:r w:rsidR="009A047A">
                          <w:t>29</w:t>
                        </w:r>
                        <w:r w:rsidR="009A6775" w:rsidRPr="0076533C">
                          <w:t xml:space="preserve"> januari 2025</w:t>
                        </w:r>
                      </w:sdtContent>
                    </w:sdt>
                  </w:p>
                  <w:p w14:paraId="09725899" w14:textId="77777777" w:rsidR="00095DE2" w:rsidRDefault="00095DE2">
                    <w:pPr>
                      <w:pStyle w:val="WitregelW1"/>
                    </w:pPr>
                  </w:p>
                  <w:p w14:paraId="02BDAE91" w14:textId="77777777" w:rsidR="00095DE2" w:rsidRDefault="009A6775">
                    <w:pPr>
                      <w:pStyle w:val="Referentiegegevensbold"/>
                    </w:pPr>
                    <w:r>
                      <w:t>Onze referentie</w:t>
                    </w:r>
                  </w:p>
                  <w:p w14:paraId="41DEA101" w14:textId="77777777" w:rsidR="00095DE2" w:rsidRDefault="009A6775">
                    <w:pPr>
                      <w:pStyle w:val="Referentiegegevens"/>
                    </w:pPr>
                    <w:r>
                      <w:t>6069857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600D40D" wp14:editId="28D3DC4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5FF218" w14:textId="77777777" w:rsidR="003A660B" w:rsidRDefault="003A660B"/>
                      </w:txbxContent>
                    </wps:txbx>
                    <wps:bodyPr vert="horz" wrap="square" lIns="0" tIns="0" rIns="0" bIns="0" anchor="t" anchorCtr="0"/>
                  </wps:wsp>
                </a:graphicData>
              </a:graphic>
            </wp:anchor>
          </w:drawing>
        </mc:Choice>
        <mc:Fallback>
          <w:pict>
            <v:shape w14:anchorId="4600D40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15FF218" w14:textId="77777777" w:rsidR="003A660B" w:rsidRDefault="003A660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2B561CF" wp14:editId="637624E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91AA79" w14:textId="33F19DF8" w:rsidR="00095DE2" w:rsidRDefault="009A6775">
                          <w:pPr>
                            <w:pStyle w:val="Referentiegegevens"/>
                          </w:pPr>
                          <w:r>
                            <w:t xml:space="preserve">Pagina </w:t>
                          </w:r>
                          <w:r>
                            <w:fldChar w:fldCharType="begin"/>
                          </w:r>
                          <w:r>
                            <w:instrText>PAGE</w:instrText>
                          </w:r>
                          <w:r>
                            <w:fldChar w:fldCharType="separate"/>
                          </w:r>
                          <w:r w:rsidR="009A06BF">
                            <w:rPr>
                              <w:noProof/>
                            </w:rPr>
                            <w:t>2</w:t>
                          </w:r>
                          <w:r>
                            <w:fldChar w:fldCharType="end"/>
                          </w:r>
                          <w:r>
                            <w:t xml:space="preserve"> van </w:t>
                          </w:r>
                          <w:r>
                            <w:fldChar w:fldCharType="begin"/>
                          </w:r>
                          <w:r>
                            <w:instrText>NUMPAGES</w:instrText>
                          </w:r>
                          <w:r>
                            <w:fldChar w:fldCharType="separate"/>
                          </w:r>
                          <w:r w:rsidR="009A06BF">
                            <w:rPr>
                              <w:noProof/>
                            </w:rPr>
                            <w:t>3</w:t>
                          </w:r>
                          <w:r>
                            <w:fldChar w:fldCharType="end"/>
                          </w:r>
                        </w:p>
                      </w:txbxContent>
                    </wps:txbx>
                    <wps:bodyPr vert="horz" wrap="square" lIns="0" tIns="0" rIns="0" bIns="0" anchor="t" anchorCtr="0"/>
                  </wps:wsp>
                </a:graphicData>
              </a:graphic>
            </wp:anchor>
          </w:drawing>
        </mc:Choice>
        <mc:Fallback>
          <w:pict>
            <v:shape w14:anchorId="62B561C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391AA79" w14:textId="33F19DF8" w:rsidR="00095DE2" w:rsidRDefault="009A6775">
                    <w:pPr>
                      <w:pStyle w:val="Referentiegegevens"/>
                    </w:pPr>
                    <w:r>
                      <w:t xml:space="preserve">Pagina </w:t>
                    </w:r>
                    <w:r>
                      <w:fldChar w:fldCharType="begin"/>
                    </w:r>
                    <w:r>
                      <w:instrText>PAGE</w:instrText>
                    </w:r>
                    <w:r>
                      <w:fldChar w:fldCharType="separate"/>
                    </w:r>
                    <w:r w:rsidR="009A06BF">
                      <w:rPr>
                        <w:noProof/>
                      </w:rPr>
                      <w:t>2</w:t>
                    </w:r>
                    <w:r>
                      <w:fldChar w:fldCharType="end"/>
                    </w:r>
                    <w:r>
                      <w:t xml:space="preserve"> van </w:t>
                    </w:r>
                    <w:r>
                      <w:fldChar w:fldCharType="begin"/>
                    </w:r>
                    <w:r>
                      <w:instrText>NUMPAGES</w:instrText>
                    </w:r>
                    <w:r>
                      <w:fldChar w:fldCharType="separate"/>
                    </w:r>
                    <w:r w:rsidR="009A06BF">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E9BA" w14:textId="77777777" w:rsidR="00095DE2" w:rsidRDefault="009A6775">
    <w:pPr>
      <w:spacing w:after="6377" w:line="14" w:lineRule="exact"/>
    </w:pPr>
    <w:r>
      <w:rPr>
        <w:noProof/>
      </w:rPr>
      <mc:AlternateContent>
        <mc:Choice Requires="wps">
          <w:drawing>
            <wp:anchor distT="0" distB="0" distL="0" distR="0" simplePos="0" relativeHeight="251655680" behindDoc="0" locked="1" layoutInCell="1" allowOverlap="1" wp14:anchorId="4671AE0B" wp14:editId="122EC1D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5323B4" w14:textId="453D5572" w:rsidR="00095DE2" w:rsidRDefault="009A6775">
                          <w:r>
                            <w:t xml:space="preserve">Aan de Voorzitter van de Tweede Kamer </w:t>
                          </w:r>
                          <w:r>
                            <w:br/>
                            <w:t>der Staten-Generaal</w:t>
                          </w:r>
                        </w:p>
                        <w:p w14:paraId="188D7AA6" w14:textId="77777777" w:rsidR="00095DE2" w:rsidRDefault="009A6775">
                          <w:r>
                            <w:t xml:space="preserve">Postbus 20018 </w:t>
                          </w:r>
                        </w:p>
                        <w:p w14:paraId="06A6E602" w14:textId="77777777" w:rsidR="00095DE2" w:rsidRDefault="009A6775">
                          <w:r>
                            <w:t>2500 EA  DEN HAAG</w:t>
                          </w:r>
                        </w:p>
                      </w:txbxContent>
                    </wps:txbx>
                    <wps:bodyPr vert="horz" wrap="square" lIns="0" tIns="0" rIns="0" bIns="0" anchor="t" anchorCtr="0"/>
                  </wps:wsp>
                </a:graphicData>
              </a:graphic>
            </wp:anchor>
          </w:drawing>
        </mc:Choice>
        <mc:Fallback>
          <w:pict>
            <v:shapetype w14:anchorId="4671AE0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85323B4" w14:textId="453D5572" w:rsidR="00095DE2" w:rsidRDefault="009A6775">
                    <w:r>
                      <w:t xml:space="preserve">Aan de Voorzitter van de Tweede Kamer </w:t>
                    </w:r>
                    <w:r>
                      <w:br/>
                      <w:t>der Staten-Generaal</w:t>
                    </w:r>
                  </w:p>
                  <w:p w14:paraId="188D7AA6" w14:textId="77777777" w:rsidR="00095DE2" w:rsidRDefault="009A6775">
                    <w:r>
                      <w:t xml:space="preserve">Postbus 20018 </w:t>
                    </w:r>
                  </w:p>
                  <w:p w14:paraId="06A6E602" w14:textId="77777777" w:rsidR="00095DE2" w:rsidRDefault="009A677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6CE8FB9" wp14:editId="5D6C7E67">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95DE2" w14:paraId="25EBE517" w14:textId="77777777">
                            <w:trPr>
                              <w:trHeight w:val="240"/>
                            </w:trPr>
                            <w:tc>
                              <w:tcPr>
                                <w:tcW w:w="1140" w:type="dxa"/>
                              </w:tcPr>
                              <w:p w14:paraId="698EDC93" w14:textId="77777777" w:rsidR="00095DE2" w:rsidRDefault="009A6775">
                                <w:r>
                                  <w:t>Datum</w:t>
                                </w:r>
                              </w:p>
                            </w:tc>
                            <w:tc>
                              <w:tcPr>
                                <w:tcW w:w="5918" w:type="dxa"/>
                              </w:tcPr>
                              <w:p w14:paraId="28B0E91E" w14:textId="3849C067" w:rsidR="00095DE2" w:rsidRDefault="00F14504">
                                <w:sdt>
                                  <w:sdtPr>
                                    <w:id w:val="-93553894"/>
                                    <w:date w:fullDate="2025-01-29T00:00:00Z">
                                      <w:dateFormat w:val="d MMMM yyyy"/>
                                      <w:lid w:val="nl"/>
                                      <w:storeMappedDataAs w:val="dateTime"/>
                                      <w:calendar w:val="gregorian"/>
                                    </w:date>
                                  </w:sdtPr>
                                  <w:sdtEndPr/>
                                  <w:sdtContent>
                                    <w:r w:rsidR="00140451">
                                      <w:t>29</w:t>
                                    </w:r>
                                    <w:r w:rsidR="009A6775" w:rsidRPr="0076533C">
                                      <w:t xml:space="preserve"> januari 2025</w:t>
                                    </w:r>
                                  </w:sdtContent>
                                </w:sdt>
                              </w:p>
                            </w:tc>
                          </w:tr>
                          <w:tr w:rsidR="00095DE2" w14:paraId="33B8C595" w14:textId="77777777">
                            <w:trPr>
                              <w:trHeight w:val="240"/>
                            </w:trPr>
                            <w:tc>
                              <w:tcPr>
                                <w:tcW w:w="1140" w:type="dxa"/>
                              </w:tcPr>
                              <w:p w14:paraId="65C057E1" w14:textId="77777777" w:rsidR="00095DE2" w:rsidRDefault="009A6775">
                                <w:r>
                                  <w:t>Betreft</w:t>
                                </w:r>
                              </w:p>
                            </w:tc>
                            <w:tc>
                              <w:tcPr>
                                <w:tcW w:w="5918" w:type="dxa"/>
                              </w:tcPr>
                              <w:p w14:paraId="1EF8393E" w14:textId="77777777" w:rsidR="00095DE2" w:rsidRDefault="009A6775">
                                <w:r>
                                  <w:t>Instellen commissie strafvorderlijke gegevensverwerking</w:t>
                                </w:r>
                              </w:p>
                            </w:tc>
                          </w:tr>
                        </w:tbl>
                        <w:p w14:paraId="5280B899" w14:textId="77777777" w:rsidR="003A660B" w:rsidRDefault="003A660B"/>
                      </w:txbxContent>
                    </wps:txbx>
                    <wps:bodyPr vert="horz" wrap="square" lIns="0" tIns="0" rIns="0" bIns="0" anchor="t" anchorCtr="0"/>
                  </wps:wsp>
                </a:graphicData>
              </a:graphic>
            </wp:anchor>
          </w:drawing>
        </mc:Choice>
        <mc:Fallback>
          <w:pict>
            <v:shape w14:anchorId="26CE8FB9"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95DE2" w14:paraId="25EBE517" w14:textId="77777777">
                      <w:trPr>
                        <w:trHeight w:val="240"/>
                      </w:trPr>
                      <w:tc>
                        <w:tcPr>
                          <w:tcW w:w="1140" w:type="dxa"/>
                        </w:tcPr>
                        <w:p w14:paraId="698EDC93" w14:textId="77777777" w:rsidR="00095DE2" w:rsidRDefault="009A6775">
                          <w:r>
                            <w:t>Datum</w:t>
                          </w:r>
                        </w:p>
                      </w:tc>
                      <w:tc>
                        <w:tcPr>
                          <w:tcW w:w="5918" w:type="dxa"/>
                        </w:tcPr>
                        <w:p w14:paraId="28B0E91E" w14:textId="3849C067" w:rsidR="00095DE2" w:rsidRDefault="00F14504">
                          <w:sdt>
                            <w:sdtPr>
                              <w:id w:val="-93553894"/>
                              <w:date w:fullDate="2025-01-29T00:00:00Z">
                                <w:dateFormat w:val="d MMMM yyyy"/>
                                <w:lid w:val="nl"/>
                                <w:storeMappedDataAs w:val="dateTime"/>
                                <w:calendar w:val="gregorian"/>
                              </w:date>
                            </w:sdtPr>
                            <w:sdtEndPr/>
                            <w:sdtContent>
                              <w:r w:rsidR="00140451">
                                <w:t>29</w:t>
                              </w:r>
                              <w:r w:rsidR="009A6775" w:rsidRPr="0076533C">
                                <w:t xml:space="preserve"> januari 2025</w:t>
                              </w:r>
                            </w:sdtContent>
                          </w:sdt>
                        </w:p>
                      </w:tc>
                    </w:tr>
                    <w:tr w:rsidR="00095DE2" w14:paraId="33B8C595" w14:textId="77777777">
                      <w:trPr>
                        <w:trHeight w:val="240"/>
                      </w:trPr>
                      <w:tc>
                        <w:tcPr>
                          <w:tcW w:w="1140" w:type="dxa"/>
                        </w:tcPr>
                        <w:p w14:paraId="65C057E1" w14:textId="77777777" w:rsidR="00095DE2" w:rsidRDefault="009A6775">
                          <w:r>
                            <w:t>Betreft</w:t>
                          </w:r>
                        </w:p>
                      </w:tc>
                      <w:tc>
                        <w:tcPr>
                          <w:tcW w:w="5918" w:type="dxa"/>
                        </w:tcPr>
                        <w:p w14:paraId="1EF8393E" w14:textId="77777777" w:rsidR="00095DE2" w:rsidRDefault="009A6775">
                          <w:r>
                            <w:t>Instellen commissie strafvorderlijke gegevensverwerking</w:t>
                          </w:r>
                        </w:p>
                      </w:tc>
                    </w:tr>
                  </w:tbl>
                  <w:p w14:paraId="5280B899" w14:textId="77777777" w:rsidR="003A660B" w:rsidRDefault="003A660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63A1939" wp14:editId="1DE6777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8E6CE2" w14:textId="77777777" w:rsidR="00095DE2" w:rsidRDefault="009A6775">
                          <w:pPr>
                            <w:pStyle w:val="Referentiegegevensbold"/>
                          </w:pPr>
                          <w:r>
                            <w:t>Directoraat-Generaal Politie en Veiligheidsregio’s</w:t>
                          </w:r>
                        </w:p>
                        <w:p w14:paraId="75F41535" w14:textId="77777777" w:rsidR="00095DE2" w:rsidRDefault="009A6775">
                          <w:pPr>
                            <w:pStyle w:val="Referentiegegevens"/>
                          </w:pPr>
                          <w:r>
                            <w:t>Portefeuille Politieel Beleid en Taakuitvoering</w:t>
                          </w:r>
                        </w:p>
                        <w:p w14:paraId="2FDE7CCE" w14:textId="77777777" w:rsidR="00095DE2" w:rsidRDefault="009A6775">
                          <w:pPr>
                            <w:pStyle w:val="Referentiegegevens"/>
                          </w:pPr>
                          <w:r>
                            <w:t>Politiebestel, Bevoegdheden en Informatiefunctie</w:t>
                          </w:r>
                        </w:p>
                        <w:p w14:paraId="0566A9B4" w14:textId="77777777" w:rsidR="00095DE2" w:rsidRDefault="00095DE2">
                          <w:pPr>
                            <w:pStyle w:val="WitregelW1"/>
                          </w:pPr>
                        </w:p>
                        <w:p w14:paraId="4E892114" w14:textId="77777777" w:rsidR="00095DE2" w:rsidRDefault="009A6775">
                          <w:pPr>
                            <w:pStyle w:val="Referentiegegevens"/>
                          </w:pPr>
                          <w:r>
                            <w:t>Turfmarkt 147</w:t>
                          </w:r>
                        </w:p>
                        <w:p w14:paraId="7DC6C910" w14:textId="77777777" w:rsidR="00095DE2" w:rsidRPr="009A06BF" w:rsidRDefault="009A6775">
                          <w:pPr>
                            <w:pStyle w:val="Referentiegegevens"/>
                            <w:rPr>
                              <w:lang w:val="de-DE"/>
                            </w:rPr>
                          </w:pPr>
                          <w:r w:rsidRPr="009A06BF">
                            <w:rPr>
                              <w:lang w:val="de-DE"/>
                            </w:rPr>
                            <w:t>2511 DP   Den Haag</w:t>
                          </w:r>
                        </w:p>
                        <w:p w14:paraId="4E1C71FC" w14:textId="77777777" w:rsidR="00095DE2" w:rsidRPr="009A06BF" w:rsidRDefault="009A6775">
                          <w:pPr>
                            <w:pStyle w:val="Referentiegegevens"/>
                            <w:rPr>
                              <w:lang w:val="de-DE"/>
                            </w:rPr>
                          </w:pPr>
                          <w:r w:rsidRPr="009A06BF">
                            <w:rPr>
                              <w:lang w:val="de-DE"/>
                            </w:rPr>
                            <w:t>Postbus 20301</w:t>
                          </w:r>
                        </w:p>
                        <w:p w14:paraId="344D9E19" w14:textId="77777777" w:rsidR="00095DE2" w:rsidRPr="009A06BF" w:rsidRDefault="009A6775">
                          <w:pPr>
                            <w:pStyle w:val="Referentiegegevens"/>
                            <w:rPr>
                              <w:lang w:val="de-DE"/>
                            </w:rPr>
                          </w:pPr>
                          <w:r w:rsidRPr="009A06BF">
                            <w:rPr>
                              <w:lang w:val="de-DE"/>
                            </w:rPr>
                            <w:t>2500 EH   Den Haag</w:t>
                          </w:r>
                        </w:p>
                        <w:p w14:paraId="20B6FED9" w14:textId="77777777" w:rsidR="00095DE2" w:rsidRPr="009A06BF" w:rsidRDefault="009A6775">
                          <w:pPr>
                            <w:pStyle w:val="Referentiegegevens"/>
                            <w:rPr>
                              <w:lang w:val="de-DE"/>
                            </w:rPr>
                          </w:pPr>
                          <w:r w:rsidRPr="009A06BF">
                            <w:rPr>
                              <w:lang w:val="de-DE"/>
                            </w:rPr>
                            <w:t>www.rijksoverheid.nl/jenv</w:t>
                          </w:r>
                        </w:p>
                        <w:p w14:paraId="275B958A" w14:textId="77777777" w:rsidR="00095DE2" w:rsidRPr="009A06BF" w:rsidRDefault="00095DE2">
                          <w:pPr>
                            <w:pStyle w:val="WitregelW2"/>
                            <w:rPr>
                              <w:lang w:val="de-DE"/>
                            </w:rPr>
                          </w:pPr>
                        </w:p>
                        <w:p w14:paraId="7F848647" w14:textId="77777777" w:rsidR="00095DE2" w:rsidRDefault="009A6775">
                          <w:pPr>
                            <w:pStyle w:val="Referentiegegevensbold"/>
                          </w:pPr>
                          <w:r>
                            <w:t>Onze referentie</w:t>
                          </w:r>
                        </w:p>
                        <w:p w14:paraId="1A204602" w14:textId="77777777" w:rsidR="00095DE2" w:rsidRDefault="009A6775">
                          <w:pPr>
                            <w:pStyle w:val="Referentiegegevens"/>
                          </w:pPr>
                          <w:r>
                            <w:t>6069857</w:t>
                          </w:r>
                        </w:p>
                      </w:txbxContent>
                    </wps:txbx>
                    <wps:bodyPr vert="horz" wrap="square" lIns="0" tIns="0" rIns="0" bIns="0" anchor="t" anchorCtr="0"/>
                  </wps:wsp>
                </a:graphicData>
              </a:graphic>
            </wp:anchor>
          </w:drawing>
        </mc:Choice>
        <mc:Fallback>
          <w:pict>
            <v:shape w14:anchorId="263A193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F8E6CE2" w14:textId="77777777" w:rsidR="00095DE2" w:rsidRDefault="009A6775">
                    <w:pPr>
                      <w:pStyle w:val="Referentiegegevensbold"/>
                    </w:pPr>
                    <w:r>
                      <w:t>Directoraat-Generaal Politie en Veiligheidsregio’s</w:t>
                    </w:r>
                  </w:p>
                  <w:p w14:paraId="75F41535" w14:textId="77777777" w:rsidR="00095DE2" w:rsidRDefault="009A6775">
                    <w:pPr>
                      <w:pStyle w:val="Referentiegegevens"/>
                    </w:pPr>
                    <w:r>
                      <w:t>Portefeuille Politieel Beleid en Taakuitvoering</w:t>
                    </w:r>
                  </w:p>
                  <w:p w14:paraId="2FDE7CCE" w14:textId="77777777" w:rsidR="00095DE2" w:rsidRDefault="009A6775">
                    <w:pPr>
                      <w:pStyle w:val="Referentiegegevens"/>
                    </w:pPr>
                    <w:r>
                      <w:t>Politiebestel, Bevoegdheden en Informatiefunctie</w:t>
                    </w:r>
                  </w:p>
                  <w:p w14:paraId="0566A9B4" w14:textId="77777777" w:rsidR="00095DE2" w:rsidRDefault="00095DE2">
                    <w:pPr>
                      <w:pStyle w:val="WitregelW1"/>
                    </w:pPr>
                  </w:p>
                  <w:p w14:paraId="4E892114" w14:textId="77777777" w:rsidR="00095DE2" w:rsidRDefault="009A6775">
                    <w:pPr>
                      <w:pStyle w:val="Referentiegegevens"/>
                    </w:pPr>
                    <w:r>
                      <w:t>Turfmarkt 147</w:t>
                    </w:r>
                  </w:p>
                  <w:p w14:paraId="7DC6C910" w14:textId="77777777" w:rsidR="00095DE2" w:rsidRPr="009A06BF" w:rsidRDefault="009A6775">
                    <w:pPr>
                      <w:pStyle w:val="Referentiegegevens"/>
                      <w:rPr>
                        <w:lang w:val="de-DE"/>
                      </w:rPr>
                    </w:pPr>
                    <w:r w:rsidRPr="009A06BF">
                      <w:rPr>
                        <w:lang w:val="de-DE"/>
                      </w:rPr>
                      <w:t>2511 DP   Den Haag</w:t>
                    </w:r>
                  </w:p>
                  <w:p w14:paraId="4E1C71FC" w14:textId="77777777" w:rsidR="00095DE2" w:rsidRPr="009A06BF" w:rsidRDefault="009A6775">
                    <w:pPr>
                      <w:pStyle w:val="Referentiegegevens"/>
                      <w:rPr>
                        <w:lang w:val="de-DE"/>
                      </w:rPr>
                    </w:pPr>
                    <w:r w:rsidRPr="009A06BF">
                      <w:rPr>
                        <w:lang w:val="de-DE"/>
                      </w:rPr>
                      <w:t>Postbus 20301</w:t>
                    </w:r>
                  </w:p>
                  <w:p w14:paraId="344D9E19" w14:textId="77777777" w:rsidR="00095DE2" w:rsidRPr="009A06BF" w:rsidRDefault="009A6775">
                    <w:pPr>
                      <w:pStyle w:val="Referentiegegevens"/>
                      <w:rPr>
                        <w:lang w:val="de-DE"/>
                      </w:rPr>
                    </w:pPr>
                    <w:r w:rsidRPr="009A06BF">
                      <w:rPr>
                        <w:lang w:val="de-DE"/>
                      </w:rPr>
                      <w:t>2500 EH   Den Haag</w:t>
                    </w:r>
                  </w:p>
                  <w:p w14:paraId="20B6FED9" w14:textId="77777777" w:rsidR="00095DE2" w:rsidRPr="009A06BF" w:rsidRDefault="009A6775">
                    <w:pPr>
                      <w:pStyle w:val="Referentiegegevens"/>
                      <w:rPr>
                        <w:lang w:val="de-DE"/>
                      </w:rPr>
                    </w:pPr>
                    <w:r w:rsidRPr="009A06BF">
                      <w:rPr>
                        <w:lang w:val="de-DE"/>
                      </w:rPr>
                      <w:t>www.rijksoverheid.nl/jenv</w:t>
                    </w:r>
                  </w:p>
                  <w:p w14:paraId="275B958A" w14:textId="77777777" w:rsidR="00095DE2" w:rsidRPr="009A06BF" w:rsidRDefault="00095DE2">
                    <w:pPr>
                      <w:pStyle w:val="WitregelW2"/>
                      <w:rPr>
                        <w:lang w:val="de-DE"/>
                      </w:rPr>
                    </w:pPr>
                  </w:p>
                  <w:p w14:paraId="7F848647" w14:textId="77777777" w:rsidR="00095DE2" w:rsidRDefault="009A6775">
                    <w:pPr>
                      <w:pStyle w:val="Referentiegegevensbold"/>
                    </w:pPr>
                    <w:r>
                      <w:t>Onze referentie</w:t>
                    </w:r>
                  </w:p>
                  <w:p w14:paraId="1A204602" w14:textId="77777777" w:rsidR="00095DE2" w:rsidRDefault="009A6775">
                    <w:pPr>
                      <w:pStyle w:val="Referentiegegevens"/>
                    </w:pPr>
                    <w:r>
                      <w:t>6069857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D814527" wp14:editId="5346C2D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FFE273" w14:textId="77777777" w:rsidR="003A660B" w:rsidRDefault="003A660B"/>
                      </w:txbxContent>
                    </wps:txbx>
                    <wps:bodyPr vert="horz" wrap="square" lIns="0" tIns="0" rIns="0" bIns="0" anchor="t" anchorCtr="0"/>
                  </wps:wsp>
                </a:graphicData>
              </a:graphic>
            </wp:anchor>
          </w:drawing>
        </mc:Choice>
        <mc:Fallback>
          <w:pict>
            <v:shape w14:anchorId="2D81452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1FFE273" w14:textId="77777777" w:rsidR="003A660B" w:rsidRDefault="003A660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CAE35A8" wp14:editId="224D4FA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DA8E1E" w14:textId="24E183DB" w:rsidR="00095DE2" w:rsidRDefault="009A6775">
                          <w:pPr>
                            <w:pStyle w:val="Referentiegegevens"/>
                          </w:pPr>
                          <w:r>
                            <w:t xml:space="preserve">Pagina </w:t>
                          </w:r>
                          <w:r>
                            <w:fldChar w:fldCharType="begin"/>
                          </w:r>
                          <w:r>
                            <w:instrText>PAGE</w:instrText>
                          </w:r>
                          <w:r>
                            <w:fldChar w:fldCharType="separate"/>
                          </w:r>
                          <w:r w:rsidR="00F14504">
                            <w:rPr>
                              <w:noProof/>
                            </w:rPr>
                            <w:t>1</w:t>
                          </w:r>
                          <w:r>
                            <w:fldChar w:fldCharType="end"/>
                          </w:r>
                          <w:r>
                            <w:t xml:space="preserve"> van </w:t>
                          </w:r>
                          <w:r>
                            <w:fldChar w:fldCharType="begin"/>
                          </w:r>
                          <w:r>
                            <w:instrText>NUMPAGES</w:instrText>
                          </w:r>
                          <w:r>
                            <w:fldChar w:fldCharType="separate"/>
                          </w:r>
                          <w:r w:rsidR="00F14504">
                            <w:rPr>
                              <w:noProof/>
                            </w:rPr>
                            <w:t>1</w:t>
                          </w:r>
                          <w:r>
                            <w:fldChar w:fldCharType="end"/>
                          </w:r>
                        </w:p>
                      </w:txbxContent>
                    </wps:txbx>
                    <wps:bodyPr vert="horz" wrap="square" lIns="0" tIns="0" rIns="0" bIns="0" anchor="t" anchorCtr="0"/>
                  </wps:wsp>
                </a:graphicData>
              </a:graphic>
            </wp:anchor>
          </w:drawing>
        </mc:Choice>
        <mc:Fallback>
          <w:pict>
            <v:shape w14:anchorId="5CAE35A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BDA8E1E" w14:textId="24E183DB" w:rsidR="00095DE2" w:rsidRDefault="009A6775">
                    <w:pPr>
                      <w:pStyle w:val="Referentiegegevens"/>
                    </w:pPr>
                    <w:r>
                      <w:t xml:space="preserve">Pagina </w:t>
                    </w:r>
                    <w:r>
                      <w:fldChar w:fldCharType="begin"/>
                    </w:r>
                    <w:r>
                      <w:instrText>PAGE</w:instrText>
                    </w:r>
                    <w:r>
                      <w:fldChar w:fldCharType="separate"/>
                    </w:r>
                    <w:r w:rsidR="00F14504">
                      <w:rPr>
                        <w:noProof/>
                      </w:rPr>
                      <w:t>1</w:t>
                    </w:r>
                    <w:r>
                      <w:fldChar w:fldCharType="end"/>
                    </w:r>
                    <w:r>
                      <w:t xml:space="preserve"> van </w:t>
                    </w:r>
                    <w:r>
                      <w:fldChar w:fldCharType="begin"/>
                    </w:r>
                    <w:r>
                      <w:instrText>NUMPAGES</w:instrText>
                    </w:r>
                    <w:r>
                      <w:fldChar w:fldCharType="separate"/>
                    </w:r>
                    <w:r w:rsidR="00F145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AF5FA3D" wp14:editId="198DA29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C9D9C6" w14:textId="77777777" w:rsidR="00095DE2" w:rsidRDefault="009A6775">
                          <w:pPr>
                            <w:spacing w:line="240" w:lineRule="auto"/>
                          </w:pPr>
                          <w:r>
                            <w:rPr>
                              <w:noProof/>
                            </w:rPr>
                            <w:drawing>
                              <wp:inline distT="0" distB="0" distL="0" distR="0" wp14:anchorId="4A6B8B1D" wp14:editId="1AC4A4D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F5FA3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2C9D9C6" w14:textId="77777777" w:rsidR="00095DE2" w:rsidRDefault="009A6775">
                    <w:pPr>
                      <w:spacing w:line="240" w:lineRule="auto"/>
                    </w:pPr>
                    <w:r>
                      <w:rPr>
                        <w:noProof/>
                      </w:rPr>
                      <w:drawing>
                        <wp:inline distT="0" distB="0" distL="0" distR="0" wp14:anchorId="4A6B8B1D" wp14:editId="1AC4A4D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9A3700B" wp14:editId="3E0E332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311598" w14:textId="77777777" w:rsidR="00095DE2" w:rsidRDefault="009A6775">
                          <w:pPr>
                            <w:spacing w:line="240" w:lineRule="auto"/>
                          </w:pPr>
                          <w:r>
                            <w:rPr>
                              <w:noProof/>
                            </w:rPr>
                            <w:drawing>
                              <wp:inline distT="0" distB="0" distL="0" distR="0" wp14:anchorId="04F57726" wp14:editId="57E89D8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A3700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2311598" w14:textId="77777777" w:rsidR="00095DE2" w:rsidRDefault="009A6775">
                    <w:pPr>
                      <w:spacing w:line="240" w:lineRule="auto"/>
                    </w:pPr>
                    <w:r>
                      <w:rPr>
                        <w:noProof/>
                      </w:rPr>
                      <w:drawing>
                        <wp:inline distT="0" distB="0" distL="0" distR="0" wp14:anchorId="04F57726" wp14:editId="57E89D8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1CC70B9" wp14:editId="5B0D4D1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BC740C" w14:textId="77777777" w:rsidR="00095DE2" w:rsidRDefault="009A677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1CC70B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5BC740C" w14:textId="77777777" w:rsidR="00095DE2" w:rsidRDefault="009A6775">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D72A28"/>
    <w:multiLevelType w:val="multilevel"/>
    <w:tmpl w:val="79837D6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6072AD9"/>
    <w:multiLevelType w:val="multilevel"/>
    <w:tmpl w:val="2714FD4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0378E0F"/>
    <w:multiLevelType w:val="multilevel"/>
    <w:tmpl w:val="08A8DD5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3B898B9"/>
    <w:multiLevelType w:val="multilevel"/>
    <w:tmpl w:val="D063A5E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DE55EA8"/>
    <w:multiLevelType w:val="multilevel"/>
    <w:tmpl w:val="51B446A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D56CB8A"/>
    <w:multiLevelType w:val="multilevel"/>
    <w:tmpl w:val="C330E10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E2"/>
    <w:rsid w:val="000655D0"/>
    <w:rsid w:val="00095DE2"/>
    <w:rsid w:val="000C0E6D"/>
    <w:rsid w:val="00116563"/>
    <w:rsid w:val="00140451"/>
    <w:rsid w:val="001803B0"/>
    <w:rsid w:val="001D75C1"/>
    <w:rsid w:val="002D6864"/>
    <w:rsid w:val="003061AE"/>
    <w:rsid w:val="00366436"/>
    <w:rsid w:val="003A660B"/>
    <w:rsid w:val="0045152B"/>
    <w:rsid w:val="004B4530"/>
    <w:rsid w:val="00510394"/>
    <w:rsid w:val="00511894"/>
    <w:rsid w:val="00560E1D"/>
    <w:rsid w:val="005D7088"/>
    <w:rsid w:val="006224EA"/>
    <w:rsid w:val="00660872"/>
    <w:rsid w:val="006A3DA6"/>
    <w:rsid w:val="006E0310"/>
    <w:rsid w:val="0076533C"/>
    <w:rsid w:val="00786D2E"/>
    <w:rsid w:val="007E2D9A"/>
    <w:rsid w:val="00885B6B"/>
    <w:rsid w:val="008B6EAD"/>
    <w:rsid w:val="009106FE"/>
    <w:rsid w:val="00933D5D"/>
    <w:rsid w:val="009A047A"/>
    <w:rsid w:val="009A06BF"/>
    <w:rsid w:val="009A6775"/>
    <w:rsid w:val="00A81EDE"/>
    <w:rsid w:val="00BD33A3"/>
    <w:rsid w:val="00C87747"/>
    <w:rsid w:val="00C90DDF"/>
    <w:rsid w:val="00CD0526"/>
    <w:rsid w:val="00D81299"/>
    <w:rsid w:val="00E5203A"/>
    <w:rsid w:val="00E605CF"/>
    <w:rsid w:val="00E64FF9"/>
    <w:rsid w:val="00E66BDE"/>
    <w:rsid w:val="00F14504"/>
    <w:rsid w:val="00F61D9A"/>
    <w:rsid w:val="00F75C38"/>
    <w:rsid w:val="00F85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9A06B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9A06BF"/>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A06BF"/>
    <w:rPr>
      <w:vertAlign w:val="superscript"/>
    </w:rPr>
  </w:style>
  <w:style w:type="paragraph" w:styleId="Koptekst">
    <w:name w:val="header"/>
    <w:basedOn w:val="Standaard"/>
    <w:link w:val="KoptekstChar"/>
    <w:uiPriority w:val="99"/>
    <w:unhideWhenUsed/>
    <w:rsid w:val="005103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039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1142</ap:Words>
  <ap:Characters>6286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aan Parlement - Instellen commissie strafvorderlijke gegevensverwerking</vt:lpstr>
    </vt:vector>
  </ap:TitlesOfParts>
  <ap:LinksUpToDate>false</ap:LinksUpToDate>
  <ap:CharactersWithSpaces>7414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2025-01-29T12:39:00.0000000Z</dcterms:created>
  <dcterms:modified xsi:type="dcterms:W3CDTF">2025-01-29T12:39:00.0000000Z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Instellen commissie strafvorderlijke gegevensverwerking</vt:lpwstr>
  </property>
  <property fmtid="{D5CDD505-2E9C-101B-9397-08002B2CF9AE}" pid="5" name="Publicatiedatum">
    <vt:lpwstr/>
  </property>
  <property fmtid="{D5CDD505-2E9C-101B-9397-08002B2CF9AE}" pid="6" name="Verantwoordelijke organisatie">
    <vt:lpwstr>Portefeuille Politieel Beleid en Taakuitvoering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mr. M. Viersma</vt:lpwstr>
  </property>
  <property fmtid="{D5CDD505-2E9C-101B-9397-08002B2CF9AE}" pid="14" name="Opgesteld door, Telefoonnummer">
    <vt:lpwstr/>
  </property>
  <property fmtid="{D5CDD505-2E9C-101B-9397-08002B2CF9AE}" pid="15" name="Kenmerk">
    <vt:lpwstr>6069857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