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A7CF8" w:rsidP="004A7CF8" w:rsidRDefault="004A7CF8" w14:paraId="1C843C85" w14:textId="2C78DF15">
      <w:pPr>
        <w:autoSpaceDE w:val="0"/>
        <w:adjustRightInd w:val="0"/>
        <w:spacing w:line="240" w:lineRule="auto"/>
        <w:rPr>
          <w:rFonts w:eastAsia="DejaVuSerifCondensed" w:cs="DejaVuSerifCondensed"/>
        </w:rPr>
      </w:pPr>
      <w:r>
        <w:rPr>
          <w:rFonts w:eastAsia="DejaVuSerifCondensed" w:cs="DejaVuSerifCondensed"/>
        </w:rPr>
        <w:t>AH 1156</w:t>
      </w:r>
    </w:p>
    <w:p w:rsidR="004A7CF8" w:rsidP="004A7CF8" w:rsidRDefault="004A7CF8" w14:paraId="587225D8" w14:textId="0954D1E0">
      <w:pPr>
        <w:autoSpaceDE w:val="0"/>
        <w:adjustRightInd w:val="0"/>
        <w:spacing w:line="240" w:lineRule="auto"/>
        <w:rPr>
          <w:rFonts w:eastAsia="DejaVuSerifCondensed" w:cs="DejaVuSerifCondensed"/>
        </w:rPr>
      </w:pPr>
      <w:r>
        <w:rPr>
          <w:rFonts w:eastAsia="DejaVuSerifCondensed" w:cs="DejaVuSerifCondensed"/>
        </w:rPr>
        <w:t>2024Z20202</w:t>
      </w:r>
    </w:p>
    <w:p w:rsidR="004A7CF8" w:rsidP="004A7CF8" w:rsidRDefault="004A7CF8" w14:paraId="38165F98" w14:textId="5E08A061">
      <w:pPr>
        <w:rPr>
          <w:rFonts w:eastAsia="DejaVuSerifCondensed" w:cs="DejaVuSerifCondensed"/>
          <w:sz w:val="24"/>
          <w:szCs w:val="24"/>
        </w:rPr>
      </w:pPr>
      <w:r w:rsidRPr="004A7CF8">
        <w:rPr>
          <w:rFonts w:eastAsia="DejaVuSerifCondensed" w:cs="DejaVuSerifCondensed"/>
          <w:sz w:val="24"/>
          <w:szCs w:val="24"/>
        </w:rPr>
        <w:t>Antwoord van minister Van Weel (Justitie en Veiligheid)</w:t>
      </w:r>
      <w:r>
        <w:rPr>
          <w:rFonts w:eastAsia="DejaVuSerifCondensed" w:cs="DejaVuSerifCondensed"/>
          <w:sz w:val="24"/>
          <w:szCs w:val="24"/>
        </w:rPr>
        <w:t xml:space="preserve">, mede namens de </w:t>
      </w:r>
      <w:r w:rsidRPr="007D78AD">
        <w:rPr>
          <w:rFonts w:ascii="Times New Roman" w:hAnsi="Times New Roman"/>
          <w:sz w:val="24"/>
        </w:rPr>
        <w:t>minister</w:t>
      </w:r>
      <w:r>
        <w:rPr>
          <w:rFonts w:ascii="Times New Roman" w:hAnsi="Times New Roman"/>
          <w:sz w:val="24"/>
        </w:rPr>
        <w:t xml:space="preserve">s </w:t>
      </w:r>
      <w:r w:rsidRPr="007D78AD">
        <w:rPr>
          <w:rFonts w:ascii="Times New Roman" w:hAnsi="Times New Roman"/>
          <w:sz w:val="24"/>
        </w:rPr>
        <w:t>van Economische Zaken en Klimaat</w:t>
      </w:r>
      <w:r>
        <w:rPr>
          <w:rFonts w:ascii="Times New Roman" w:hAnsi="Times New Roman"/>
          <w:sz w:val="24"/>
        </w:rPr>
        <w:t xml:space="preserve"> en van</w:t>
      </w:r>
      <w:r w:rsidRPr="004A7CF8">
        <w:rPr>
          <w:rFonts w:eastAsia="DejaVuSerifCondensed" w:cs="DejaVuSerifCondensed"/>
          <w:sz w:val="24"/>
          <w:szCs w:val="24"/>
        </w:rPr>
        <w:t xml:space="preserve"> Klimaat en Groene Groei (ontvangen</w:t>
      </w:r>
      <w:r>
        <w:rPr>
          <w:rFonts w:eastAsia="DejaVuSerifCondensed" w:cs="DejaVuSerifCondensed"/>
          <w:sz w:val="24"/>
          <w:szCs w:val="24"/>
        </w:rPr>
        <w:t xml:space="preserve"> 29 januari 2025)</w:t>
      </w:r>
    </w:p>
    <w:p w:rsidRPr="004A7CF8" w:rsidR="004A7CF8" w:rsidP="004A7CF8" w:rsidRDefault="004A7CF8" w14:paraId="1BC7B7D5" w14:textId="01876054">
      <w:pPr>
        <w:rPr>
          <w:rFonts w:ascii="Arial" w:hAnsi="Arial" w:cs="Arial"/>
          <w:color w:val="000000"/>
          <w:sz w:val="24"/>
          <w:szCs w:val="24"/>
        </w:rPr>
      </w:pPr>
      <w:r w:rsidRPr="004A7CF8">
        <w:rPr>
          <w:rFonts w:eastAsia="DejaVuSerifCondensed" w:cs="DejaVuSerifCondensed"/>
          <w:sz w:val="24"/>
          <w:szCs w:val="24"/>
        </w:rPr>
        <w:t>Zie ook Aanhangsel Handelingen, vergaderjaar 2024-2025, nr.</w:t>
      </w:r>
      <w:r>
        <w:rPr>
          <w:rFonts w:eastAsia="DejaVuSerifCondensed" w:cs="DejaVuSerifCondensed"/>
          <w:sz w:val="24"/>
          <w:szCs w:val="24"/>
        </w:rPr>
        <w:t xml:space="preserve"> 953</w:t>
      </w:r>
    </w:p>
    <w:p w:rsidRPr="007459FB" w:rsidR="004A7CF8" w:rsidP="004A7CF8" w:rsidRDefault="004A7CF8" w14:paraId="181278E2" w14:textId="77777777">
      <w:pPr>
        <w:autoSpaceDE w:val="0"/>
        <w:adjustRightInd w:val="0"/>
        <w:spacing w:line="240" w:lineRule="auto"/>
        <w:rPr>
          <w:rFonts w:eastAsia="DejaVuSerifCondensed" w:cs="DejaVuSerifCondensed"/>
        </w:rPr>
      </w:pPr>
    </w:p>
    <w:p w:rsidRPr="007459FB" w:rsidR="004A7CF8" w:rsidP="004A7CF8" w:rsidRDefault="004A7CF8" w14:paraId="17B44348"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Vraag 1</w:t>
      </w:r>
    </w:p>
    <w:p w:rsidRPr="007459FB" w:rsidR="004A7CF8" w:rsidP="004A7CF8" w:rsidRDefault="004A7CF8" w14:paraId="7985D813"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Herinnert u zich de antwoorden op de vragen, ingediend op 29 augustus 2022, door de leden Sneller (D66) en Michon-Derkzen (VVD), over het onbenut laten van Bibob-toetsing bij subsidieverlening?</w:t>
      </w:r>
    </w:p>
    <w:p w:rsidRPr="007459FB" w:rsidR="004A7CF8" w:rsidP="004A7CF8" w:rsidRDefault="004A7CF8" w14:paraId="1EBF5694" w14:textId="77777777">
      <w:pPr>
        <w:autoSpaceDE w:val="0"/>
        <w:adjustRightInd w:val="0"/>
        <w:spacing w:line="240" w:lineRule="auto"/>
        <w:rPr>
          <w:rFonts w:eastAsia="DejaVuSerifCondensed" w:cs="DejaVuSerifCondensed"/>
          <w:b/>
          <w:bCs/>
        </w:rPr>
      </w:pPr>
    </w:p>
    <w:p w:rsidRPr="007459FB" w:rsidR="004A7CF8" w:rsidP="004A7CF8" w:rsidRDefault="004A7CF8" w14:paraId="2D69210B"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Antwoord op vraag 1</w:t>
      </w:r>
    </w:p>
    <w:p w:rsidRPr="007459FB" w:rsidR="004A7CF8" w:rsidP="004A7CF8" w:rsidRDefault="004A7CF8" w14:paraId="35255C18" w14:textId="77777777">
      <w:r w:rsidRPr="007459FB">
        <w:t xml:space="preserve">Ja. </w:t>
      </w:r>
    </w:p>
    <w:p w:rsidRPr="007459FB" w:rsidR="004A7CF8" w:rsidP="004A7CF8" w:rsidRDefault="004A7CF8" w14:paraId="754AC7ED" w14:textId="77777777">
      <w:pPr>
        <w:autoSpaceDE w:val="0"/>
        <w:adjustRightInd w:val="0"/>
        <w:spacing w:line="240" w:lineRule="auto"/>
        <w:rPr>
          <w:rFonts w:eastAsia="DejaVuSerifCondensed" w:cs="DejaVuSerifCondensed"/>
          <w:b/>
          <w:bCs/>
        </w:rPr>
      </w:pPr>
    </w:p>
    <w:p w:rsidRPr="007459FB" w:rsidR="004A7CF8" w:rsidP="004A7CF8" w:rsidRDefault="004A7CF8" w14:paraId="50E4CCAD"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Vraag 2</w:t>
      </w:r>
    </w:p>
    <w:p w:rsidRPr="007459FB" w:rsidR="004A7CF8" w:rsidP="004A7CF8" w:rsidRDefault="004A7CF8" w14:paraId="748CF32B"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Aangezien u in het antwoord op vragen 10, 11 en 12 van bovengenoemde set heeft aangegeven dat het ministerie van Justitie en Veiligheid gesprekken voert met de ministeries van Sociale Zaken en Werkgelegenheid (SZW) en Economische Zaken en Klimaat (EZK) om de toepassing van de Wet Bibob bij subsidieverlening te verbeteren; wat is de huidige stand van zaken van deze gesprekken, en welke concrete resultaten of beleidsmaatregelen zijn inmiddels voortgekomen uit deze gesprekken om het gebruik van de Wet Bibob bij subsidieverlening door de rijksoverheid te bevorderen?</w:t>
      </w:r>
    </w:p>
    <w:p w:rsidRPr="007459FB" w:rsidR="004A7CF8" w:rsidP="004A7CF8" w:rsidRDefault="004A7CF8" w14:paraId="5E59AF28" w14:textId="77777777">
      <w:pPr>
        <w:autoSpaceDE w:val="0"/>
        <w:adjustRightInd w:val="0"/>
        <w:spacing w:line="240" w:lineRule="auto"/>
        <w:rPr>
          <w:rFonts w:eastAsia="DejaVuSerifCondensed" w:cs="DejaVuSerifCondensed"/>
          <w:b/>
          <w:bCs/>
        </w:rPr>
      </w:pPr>
    </w:p>
    <w:p w:rsidRPr="007459FB" w:rsidR="004A7CF8" w:rsidP="004A7CF8" w:rsidRDefault="004A7CF8" w14:paraId="31A17929"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Antwoord op vraag 2</w:t>
      </w:r>
    </w:p>
    <w:p w:rsidRPr="007459FB" w:rsidR="004A7CF8" w:rsidP="004A7CF8" w:rsidRDefault="004A7CF8" w14:paraId="1AB1D564" w14:textId="77777777">
      <w:r w:rsidRPr="007459FB">
        <w:t>Zoals mijn ambtsvoorganger in haar brief aan uw Kamer op 3 april 2023 aangaf, zijn door mijn ministerie gesprekken gevoerd met verschillende subsidieverlenende onderdelen van de Rijksoverheid.</w:t>
      </w:r>
      <w:r w:rsidRPr="007459FB">
        <w:rPr>
          <w:rStyle w:val="Voetnootmarkering"/>
        </w:rPr>
        <w:footnoteReference w:id="1"/>
      </w:r>
      <w:r w:rsidRPr="007459FB">
        <w:t xml:space="preserve"> Waar nodig zijn zij in contact gebracht met andere Rijksonderdelen die ervaring hebben met de Wet Bibob en met het Landelijk Bureau Bibob (LBB), dat in het kader van zijn voorlichtingstaak informerende of ondersteunende werkzaamheden verricht. </w:t>
      </w:r>
    </w:p>
    <w:p w:rsidRPr="007459FB" w:rsidR="004A7CF8" w:rsidP="004A7CF8" w:rsidRDefault="004A7CF8" w14:paraId="33541959" w14:textId="77777777"/>
    <w:p w:rsidRPr="007459FB" w:rsidR="004A7CF8" w:rsidP="004A7CF8" w:rsidRDefault="004A7CF8" w14:paraId="3C5D31C4" w14:textId="77777777">
      <w:r w:rsidRPr="007459FB">
        <w:lastRenderedPageBreak/>
        <w:t xml:space="preserve">Rijksonderdelen zijn zelf verantwoordelijk voor het gebruik van de Wet Bibob als zij een subsidie verlenen. In een groot deel van de gevallen is een Bibob-toets echter niet opportuun: het bedrag dat wordt verleend is klein of de subsidie wordt verstrekt aan een andere overheidsinstantie zoals een gemeente. Daarnaast biedt het subsidierecht via de Algemene wet bestuursrecht zelf ook de mogelijkheid om voorwaarden te stellen om misbruik tegen te gaan. Toepassing van de Wet Bibob is dan niet nodig. </w:t>
      </w:r>
    </w:p>
    <w:p w:rsidRPr="007459FB" w:rsidR="004A7CF8" w:rsidP="004A7CF8" w:rsidRDefault="004A7CF8" w14:paraId="5E4AFC26" w14:textId="77777777"/>
    <w:p w:rsidRPr="007459FB" w:rsidR="004A7CF8" w:rsidP="004A7CF8" w:rsidRDefault="004A7CF8" w14:paraId="7DB836BC" w14:textId="77777777">
      <w:r w:rsidRPr="007459FB">
        <w:t>Het opstellen van landelijk Bibob-beleid bij het verstrekken van subsidies voor het Rijk is niet mogelijk; de inzet van het instrument per Rijksonderdeel en per sector verschilt te veel. Wel hebben de betrokken ministeries met een aantal Rijksonderdelen gesprekken gevoerd, zoals Rijksdienst voor Ondernemend Nederland (RVO). RVO is onderdeel van het ministerie van Economische Zaken en voert subsidieregelingen uit voor verschillende ministeries. RVO heeft naar aanleiding van de vorige Kamervragen een Bibob-adviesgroep opgericht. Zie ook de beantwoording van de vragen 3 en verder.</w:t>
      </w:r>
    </w:p>
    <w:p w:rsidRPr="007459FB" w:rsidR="004A7CF8" w:rsidP="004A7CF8" w:rsidRDefault="004A7CF8" w14:paraId="1F18D0F2" w14:textId="77777777"/>
    <w:p w:rsidRPr="007459FB" w:rsidR="004A7CF8" w:rsidP="004A7CF8" w:rsidRDefault="004A7CF8" w14:paraId="16149721" w14:textId="77777777">
      <w:r w:rsidRPr="007459FB">
        <w:t>Niet alleen Rijksonderdelen zoals RVO verstrekken subsidies waarop de Wet Bibob van toepassing is, ook (beleids)afdelingen van de ministeries kunnen dat doen, zoals ook aangegeven in de bijlage bij de brief aan uw Kamer van 15 december 2023.</w:t>
      </w:r>
      <w:r w:rsidRPr="007459FB">
        <w:rPr>
          <w:rStyle w:val="Voetnootmarkering"/>
        </w:rPr>
        <w:footnoteReference w:id="2"/>
      </w:r>
      <w:r w:rsidRPr="007459FB">
        <w:t xml:space="preserve"> Er is gekeken welke rol mijn ministerie daarin kan hebben en in dat kader zijn onder andere gesprekken gevoerd met het onderdeel binnen mijn ministerie dat de kaders opstelt voor het verstrekken van subsidies. Hun kader ter voorkoming van misbruik en oneigenlijk gebruik van subsidies wordt op dit moment uitgebreid met aandacht voor de Wet Bibob. Met deze afdeling zal ook worden nagedacht over mogelijke uitbreiding naar andere ministeries. </w:t>
      </w:r>
    </w:p>
    <w:p w:rsidRPr="007459FB" w:rsidR="004A7CF8" w:rsidP="004A7CF8" w:rsidRDefault="004A7CF8" w14:paraId="2EF67DD8" w14:textId="77777777">
      <w:pPr>
        <w:autoSpaceDE w:val="0"/>
        <w:adjustRightInd w:val="0"/>
        <w:spacing w:line="240" w:lineRule="auto"/>
        <w:rPr>
          <w:rFonts w:eastAsia="DejaVuSerifCondensed" w:cs="DejaVuSerifCondensed"/>
          <w:b/>
          <w:bCs/>
        </w:rPr>
      </w:pPr>
    </w:p>
    <w:p w:rsidRPr="007459FB" w:rsidR="004A7CF8" w:rsidP="004A7CF8" w:rsidRDefault="004A7CF8" w14:paraId="41468B6E"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Vraag 3</w:t>
      </w:r>
    </w:p>
    <w:p w:rsidRPr="007459FB" w:rsidR="004A7CF8" w:rsidP="004A7CF8" w:rsidRDefault="004A7CF8" w14:paraId="4A5FCB22"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Wat zijn de concrete resultaten van de Bibob-adviesgroep die Rijksdienst voor Ondernemend Nederland (RVO) in 2023 heeft ingesteld?</w:t>
      </w:r>
    </w:p>
    <w:p w:rsidRPr="007459FB" w:rsidR="004A7CF8" w:rsidP="004A7CF8" w:rsidRDefault="004A7CF8" w14:paraId="5800BED4" w14:textId="77777777">
      <w:pPr>
        <w:autoSpaceDE w:val="0"/>
        <w:adjustRightInd w:val="0"/>
        <w:spacing w:line="240" w:lineRule="auto"/>
        <w:rPr>
          <w:rFonts w:eastAsia="DejaVuSerifCondensed" w:cs="DejaVuSerifCondensed"/>
          <w:b/>
          <w:bCs/>
        </w:rPr>
      </w:pPr>
    </w:p>
    <w:p w:rsidRPr="007459FB" w:rsidR="004A7CF8" w:rsidP="004A7CF8" w:rsidRDefault="004A7CF8" w14:paraId="2FA59EF0"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Antwoord op vraag 3</w:t>
      </w:r>
    </w:p>
    <w:p w:rsidRPr="007459FB" w:rsidR="004A7CF8" w:rsidP="004A7CF8" w:rsidRDefault="004A7CF8" w14:paraId="7FCF2172" w14:textId="77777777">
      <w:r w:rsidRPr="007459FB">
        <w:t xml:space="preserve">De Bibob-adviesgroep van RVO adviseert en ondersteunt binnen RVO over het proportioneel inzetten van de onderzoeksmogelijkheden die de wet Bibob biedt. Dit gebeurt op basis van adviesverzoeken die bij de adviesgroep kunnen worden ingediend door uitvoerende afdelingen van RVO. Ook kan een Bibob-tip (zie hierover </w:t>
      </w:r>
      <w:r w:rsidRPr="007459FB">
        <w:lastRenderedPageBreak/>
        <w:t>ook vraag 5 en 7) aanleiding zijn voor bespreking van een casus in de adviesgroep. Vanaf 2023 heeft de Bibob-adviesgroep negen adviezen verstrekt over de inzet van de Wet Bibob binnen RVO. Geen van deze zaken gaf aanleiding om een adviesaanvraag bij het LBB te doen.</w:t>
      </w:r>
    </w:p>
    <w:p w:rsidRPr="007459FB" w:rsidR="004A7CF8" w:rsidP="004A7CF8" w:rsidRDefault="004A7CF8" w14:paraId="4842FE76" w14:textId="77777777"/>
    <w:p w:rsidRPr="007459FB" w:rsidR="004A7CF8" w:rsidP="004A7CF8" w:rsidRDefault="004A7CF8" w14:paraId="4D28CC02" w14:textId="77777777">
      <w:r w:rsidRPr="007459FB">
        <w:t>De Bibob-adviesgroep helpt binnen RVO ook bij een goede waarborging van ontvangen vertrouwelijke Bibob-gegevens. Daarnaast wordt vanuit de Bibob-adviesgroep deelgenomen aan externe overleggen en netwerken rondom de Wet Bibob, zoals het Landelijk Subsidieoverleg van het IPO (Interprovinciaal overleg) en het Landelijk Bibob-congres. Doel hiervan is om overheidsbreed kennis met elkaar te delen over de Wet Bibob en de toepassing daarvan in de praktijk.</w:t>
      </w:r>
    </w:p>
    <w:p w:rsidRPr="007459FB" w:rsidR="004A7CF8" w:rsidP="004A7CF8" w:rsidRDefault="004A7CF8" w14:paraId="31274C15" w14:textId="77777777">
      <w:pPr>
        <w:autoSpaceDE w:val="0"/>
        <w:adjustRightInd w:val="0"/>
        <w:spacing w:line="240" w:lineRule="auto"/>
        <w:rPr>
          <w:rFonts w:eastAsia="DejaVuSerifCondensed" w:cs="DejaVuSerifCondensed"/>
        </w:rPr>
      </w:pPr>
    </w:p>
    <w:p w:rsidRPr="007459FB" w:rsidR="004A7CF8" w:rsidP="004A7CF8" w:rsidRDefault="004A7CF8" w14:paraId="4B9E95EC"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Vraag 4</w:t>
      </w:r>
    </w:p>
    <w:p w:rsidRPr="007459FB" w:rsidR="004A7CF8" w:rsidP="004A7CF8" w:rsidRDefault="004A7CF8" w14:paraId="1DEA65D7"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Worden subsidieaanvragers van duurzame energieprojecten door RVO altijd gescreend op integriteit, bijvoorbeeld via een Bibob-toets, en zo ja, op welke wijze gebeurt dit?</w:t>
      </w:r>
    </w:p>
    <w:p w:rsidRPr="007459FB" w:rsidR="004A7CF8" w:rsidP="004A7CF8" w:rsidRDefault="004A7CF8" w14:paraId="44519A2F" w14:textId="77777777">
      <w:pPr>
        <w:autoSpaceDE w:val="0"/>
        <w:adjustRightInd w:val="0"/>
        <w:spacing w:line="240" w:lineRule="auto"/>
        <w:rPr>
          <w:rFonts w:eastAsia="DejaVuSerifCondensed" w:cs="DejaVuSerifCondensed"/>
          <w:b/>
          <w:bCs/>
        </w:rPr>
      </w:pPr>
    </w:p>
    <w:p w:rsidRPr="007459FB" w:rsidR="004A7CF8" w:rsidP="004A7CF8" w:rsidRDefault="004A7CF8" w14:paraId="0994D5F1"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Antwoord op vraag 4</w:t>
      </w:r>
    </w:p>
    <w:p w:rsidRPr="007459FB" w:rsidR="004A7CF8" w:rsidP="004A7CF8" w:rsidRDefault="004A7CF8" w14:paraId="2DE0425D" w14:textId="77777777">
      <w:bookmarkStart w:name="_Hlk187323306" w:id="1"/>
      <w:r w:rsidRPr="007459FB">
        <w:t xml:space="preserve">Het screenen van subsidieaanvragers met behulp van de Wet Bibob gebeurt risicogericht. De inzet van de Wet Bibob bij subsidieverstrekking is een mogelijkheid om misbruik en oneigenlijk gebruik van subsidies tegen te gaan en wordt gedaan op basis van een risicoanalyse die gedaan wordt bij het opstellen van een nieuwe (subsidie)regeling. </w:t>
      </w:r>
    </w:p>
    <w:p w:rsidRPr="007459FB" w:rsidR="004A7CF8" w:rsidP="004A7CF8" w:rsidRDefault="004A7CF8" w14:paraId="0F5EAC06" w14:textId="77777777"/>
    <w:p w:rsidRPr="007459FB" w:rsidR="004A7CF8" w:rsidP="004A7CF8" w:rsidRDefault="004A7CF8" w14:paraId="3DFA2B89" w14:textId="77777777">
      <w:r w:rsidRPr="007459FB">
        <w:t xml:space="preserve">Deze risicoanalyse die wordt uitgevoerd bij een nieuwe regeling vloeit voort uit het Raamwerk voor Uitvoering van Subsidies (RUS) en het Uniform Subsidiekader (USK). Dit gebeurt in samenspraak met het ministerie dat de opdracht voor uitvoering van een subsidieregeling aan RVO geeft. </w:t>
      </w:r>
    </w:p>
    <w:p w:rsidRPr="007459FB" w:rsidR="004A7CF8" w:rsidP="004A7CF8" w:rsidRDefault="004A7CF8" w14:paraId="4164F9F1" w14:textId="77777777"/>
    <w:p w:rsidRPr="007459FB" w:rsidR="004A7CF8" w:rsidP="004A7CF8" w:rsidRDefault="004A7CF8" w14:paraId="59D55DDA" w14:textId="77777777">
      <w:pPr>
        <w:rPr>
          <w:b/>
          <w:bCs/>
        </w:rPr>
      </w:pPr>
      <w:r w:rsidRPr="007459FB">
        <w:t>Een voorbeeld van screening op integriteit is de Stimulering Duurzame Energieproducten en Klimaattransitie (SDE++). Bij de SDE++ worden subsidieaanvragers in het kader van de Wet Bibob gescreend op basis van ontvangen tips door bijvoorbeeld het Openbaar Ministerie. Daarnaast wordt de SDE++ ieder jaar geactualiseerd op basis van een (verkorte) risicoanalyse.</w:t>
      </w:r>
    </w:p>
    <w:bookmarkEnd w:id="1"/>
    <w:p w:rsidRPr="007459FB" w:rsidR="004A7CF8" w:rsidP="004A7CF8" w:rsidRDefault="004A7CF8" w14:paraId="697E6316" w14:textId="77777777">
      <w:pPr>
        <w:autoSpaceDE w:val="0"/>
        <w:adjustRightInd w:val="0"/>
        <w:spacing w:line="240" w:lineRule="auto"/>
        <w:rPr>
          <w:rFonts w:eastAsia="DejaVuSerifCondensed" w:cs="DejaVuSerifCondensed"/>
          <w:b/>
          <w:bCs/>
        </w:rPr>
      </w:pPr>
    </w:p>
    <w:p w:rsidRPr="007459FB" w:rsidR="004A7CF8" w:rsidP="004A7CF8" w:rsidRDefault="004A7CF8" w14:paraId="30AC3C9A" w14:textId="77777777">
      <w:pPr>
        <w:autoSpaceDE w:val="0"/>
        <w:adjustRightInd w:val="0"/>
        <w:spacing w:line="240" w:lineRule="auto"/>
        <w:rPr>
          <w:rFonts w:eastAsia="DejaVuSerifCondensed" w:cs="DejaVuSerifCondensed"/>
          <w:b/>
          <w:bCs/>
        </w:rPr>
      </w:pPr>
    </w:p>
    <w:p w:rsidRPr="007459FB" w:rsidR="004A7CF8" w:rsidP="004A7CF8" w:rsidRDefault="004A7CF8" w14:paraId="5A9DB237"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lastRenderedPageBreak/>
        <w:t>Vraag 5</w:t>
      </w:r>
    </w:p>
    <w:p w:rsidRPr="007459FB" w:rsidR="004A7CF8" w:rsidP="004A7CF8" w:rsidRDefault="004A7CF8" w14:paraId="6ECAD2C0"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Aangezien bij subsidies voor de totstandkoming van duurzame energieprojecten, zoals energieparken, vaak ook een vergunning van de gemeente nodig is, deelt u de mening dat RVO transparant moet zijn richting gemeenten over het al dan niet uitvoeren van een Bibob-toets bij een subsidieaanvraag, zodat gemeenten deze informatie kunnen betrekken bij hun vergunningverlening?</w:t>
      </w:r>
    </w:p>
    <w:p w:rsidRPr="007459FB" w:rsidR="004A7CF8" w:rsidP="004A7CF8" w:rsidRDefault="004A7CF8" w14:paraId="760409BB" w14:textId="77777777">
      <w:pPr>
        <w:autoSpaceDE w:val="0"/>
        <w:adjustRightInd w:val="0"/>
        <w:spacing w:line="240" w:lineRule="auto"/>
        <w:rPr>
          <w:rFonts w:eastAsia="DejaVuSerifCondensed" w:cs="DejaVuSerifCondensed"/>
          <w:b/>
          <w:bCs/>
        </w:rPr>
      </w:pPr>
    </w:p>
    <w:p w:rsidRPr="007459FB" w:rsidR="004A7CF8" w:rsidP="004A7CF8" w:rsidRDefault="004A7CF8" w14:paraId="13F6400D"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Antwoord op vraag 5</w:t>
      </w:r>
    </w:p>
    <w:p w:rsidRPr="007459FB" w:rsidR="004A7CF8" w:rsidP="004A7CF8" w:rsidRDefault="004A7CF8" w14:paraId="6903E29A" w14:textId="77777777">
      <w:r w:rsidRPr="007459FB">
        <w:t>Overheden die bevoegd zijn om de Wet Bibob toe te passen kunnen elkaar tippen om een Bibob-onderzoek te starten. Dat kan echter alleen als de ene overheidsinstantie weet dat de andere overheidsinstantie een rechtsverhouding heeft of wil aangaan met een betrokkene</w:t>
      </w:r>
      <w:r w:rsidRPr="007459FB">
        <w:rPr>
          <w:rStyle w:val="Voetnootmarkering"/>
          <w:rFonts w:eastAsia="DejaVuSerifCondensed" w:cs="DejaVuSerifCondensed"/>
        </w:rPr>
        <w:footnoteReference w:id="3"/>
      </w:r>
      <w:r w:rsidRPr="007459FB">
        <w:t xml:space="preserve"> of iemand in zijn zakelijke omgeving. De tippende overheidsinstantie moet over informatie beschikken dat deze persoon in relatie staat tot strafbare feiten. Het is vervolgens aan de andere overheidsinstantie om een keuze aangaande het eigen onderzoek te maken. Informatie uit een Bibob-onderzoek kan onder voorwaarden wel gedeeld worden met elkaar. </w:t>
      </w:r>
    </w:p>
    <w:p w:rsidRPr="007459FB" w:rsidR="004A7CF8" w:rsidP="004A7CF8" w:rsidRDefault="004A7CF8" w14:paraId="55190A68" w14:textId="77777777">
      <w:pPr>
        <w:autoSpaceDE w:val="0"/>
        <w:adjustRightInd w:val="0"/>
        <w:spacing w:line="240" w:lineRule="auto"/>
        <w:rPr>
          <w:rFonts w:eastAsia="DejaVuSerifCondensed" w:cs="DejaVuSerifCondensed"/>
          <w:b/>
          <w:bCs/>
        </w:rPr>
      </w:pPr>
    </w:p>
    <w:p w:rsidRPr="007459FB" w:rsidR="004A7CF8" w:rsidP="004A7CF8" w:rsidRDefault="004A7CF8" w14:paraId="3CB1172A"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Vraag 6</w:t>
      </w:r>
    </w:p>
    <w:p w:rsidRPr="007459FB" w:rsidR="004A7CF8" w:rsidP="004A7CF8" w:rsidRDefault="004A7CF8" w14:paraId="70D288DC"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Worden bij de beoordeling van een subsidieaanvraag door RVO gegevens uitgewisseld met andere bestuursorganen, zoals gemeenten, en zo nee, waarom niet? Bent u bereid dit proces te verbeteren?</w:t>
      </w:r>
    </w:p>
    <w:p w:rsidRPr="007459FB" w:rsidR="004A7CF8" w:rsidP="004A7CF8" w:rsidRDefault="004A7CF8" w14:paraId="57D9619F" w14:textId="77777777">
      <w:pPr>
        <w:autoSpaceDE w:val="0"/>
        <w:adjustRightInd w:val="0"/>
        <w:spacing w:line="240" w:lineRule="auto"/>
        <w:rPr>
          <w:rFonts w:eastAsia="DejaVuSerifCondensed" w:cs="DejaVuSerifCondensed"/>
          <w:b/>
          <w:bCs/>
        </w:rPr>
      </w:pPr>
    </w:p>
    <w:p w:rsidRPr="007459FB" w:rsidR="004A7CF8" w:rsidP="004A7CF8" w:rsidRDefault="004A7CF8" w14:paraId="4982FAC9"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Antwoord op vraag 6</w:t>
      </w:r>
    </w:p>
    <w:p w:rsidRPr="007459FB" w:rsidR="004A7CF8" w:rsidP="004A7CF8" w:rsidRDefault="004A7CF8" w14:paraId="40DBCBAF" w14:textId="77777777">
      <w:r w:rsidRPr="007459FB">
        <w:t xml:space="preserve">Bij het opstellen van een subsidieregeling wordt altijd gekeken naar hoe deze het beste uitgevoerd kan worden. Indien gegevensuitwisseling met andere organisaties of overheidsinstanties nodig is bij uitvoering en handhaving van een (subsidie)regeling, wordt dit nader geregeld in de wet- en regelgeving die betrekking heeft op de betreffende subsidieregeling. </w:t>
      </w:r>
    </w:p>
    <w:p w:rsidRPr="007459FB" w:rsidR="004A7CF8" w:rsidP="004A7CF8" w:rsidRDefault="004A7CF8" w14:paraId="4B21CA2C" w14:textId="77777777"/>
    <w:p w:rsidRPr="007459FB" w:rsidR="004A7CF8" w:rsidP="004A7CF8" w:rsidRDefault="004A7CF8" w14:paraId="6A55CC67" w14:textId="77777777">
      <w:r w:rsidRPr="007459FB">
        <w:t xml:space="preserve">Een belangrijk aandachtspunt is dat de samenwerkende instanties bij gegevensuitwisseling, als daarbij sprake is van persoonsgegevens, hierbij voldoen aan de voorschriften van de Algemene Verordening Gegevensbescherming (AVG). Dit betekent onder meer dat er altijd een rechtsgrondslag moet zijn voor het verwerken en uitwisselen van persoonsgegevens en dat bepaalde vereisten gelden ter waarborging van een zorgvuldige omgang met persoonsgegevens conform de wet. Persoonsgegevens kunnen dus niet zonder wettelijke grondslag tussen partijen </w:t>
      </w:r>
      <w:r w:rsidRPr="007459FB">
        <w:lastRenderedPageBreak/>
        <w:t>en instanties uitgewisseld worden of voor andere doeleinden gebruikt worden dan waarvoor zij oorspronkelijk verzameld zijn.</w:t>
      </w:r>
    </w:p>
    <w:p w:rsidRPr="007459FB" w:rsidR="004A7CF8" w:rsidP="004A7CF8" w:rsidRDefault="004A7CF8" w14:paraId="788F8420" w14:textId="77777777"/>
    <w:p w:rsidRPr="007459FB" w:rsidR="004A7CF8" w:rsidP="004A7CF8" w:rsidRDefault="004A7CF8" w14:paraId="34CCB15E" w14:textId="77777777">
      <w:r w:rsidRPr="007459FB">
        <w:t xml:space="preserve">Ook het delen van gegevens uit een Bibob-onderzoek van RVO na een subsidieaanvraag is aan strenge voorwaarden verbonden. Zoals bij de beantwoording van vraag 5 is aangegeven kan deze informatie soms wel gedeeld worden. Zo moet RVO onder andere weten dat een ander bestuursorgaan een eigen Bibob-onderzoek verricht naar personen die door RVO zijn onderzocht, de gegevens moeten noodzakelijk zijn voor het eigen onderzoek en de gegevens zou het bestuursorgaan ook zelf moeten kunnen verkrijgen. </w:t>
      </w:r>
    </w:p>
    <w:p w:rsidRPr="007459FB" w:rsidR="004A7CF8" w:rsidP="004A7CF8" w:rsidRDefault="004A7CF8" w14:paraId="2BBD32CC" w14:textId="77777777">
      <w:pPr>
        <w:autoSpaceDE w:val="0"/>
        <w:adjustRightInd w:val="0"/>
        <w:spacing w:line="240" w:lineRule="auto"/>
        <w:rPr>
          <w:rFonts w:eastAsia="DejaVuSerifCondensed" w:cs="DejaVuSerifCondensed"/>
          <w:b/>
          <w:bCs/>
        </w:rPr>
      </w:pPr>
    </w:p>
    <w:p w:rsidRPr="007459FB" w:rsidR="004A7CF8" w:rsidP="004A7CF8" w:rsidRDefault="004A7CF8" w14:paraId="1452992C" w14:textId="77777777">
      <w:pPr>
        <w:autoSpaceDE w:val="0"/>
        <w:adjustRightInd w:val="0"/>
        <w:spacing w:line="240" w:lineRule="auto"/>
        <w:rPr>
          <w:rFonts w:eastAsia="DejaVuSerifCondensed" w:cs="DejaVuSerifCondensed"/>
          <w:b/>
          <w:bCs/>
        </w:rPr>
      </w:pPr>
    </w:p>
    <w:p w:rsidRPr="007459FB" w:rsidR="004A7CF8" w:rsidP="004A7CF8" w:rsidRDefault="004A7CF8" w14:paraId="3FCAF763" w14:textId="77777777">
      <w:pPr>
        <w:autoSpaceDE w:val="0"/>
        <w:adjustRightInd w:val="0"/>
        <w:spacing w:line="240" w:lineRule="auto"/>
        <w:rPr>
          <w:rFonts w:eastAsia="DejaVuSerifCondensed" w:cs="DejaVuSerifCondensed"/>
          <w:b/>
          <w:bCs/>
        </w:rPr>
      </w:pPr>
    </w:p>
    <w:p w:rsidRPr="007459FB" w:rsidR="004A7CF8" w:rsidP="004A7CF8" w:rsidRDefault="004A7CF8" w14:paraId="688178F7" w14:textId="77777777">
      <w:pPr>
        <w:autoSpaceDE w:val="0"/>
        <w:adjustRightInd w:val="0"/>
        <w:spacing w:line="240" w:lineRule="auto"/>
        <w:rPr>
          <w:rFonts w:eastAsia="DejaVuSerifCondensed" w:cs="DejaVuSerifCondensed"/>
          <w:b/>
          <w:bCs/>
        </w:rPr>
      </w:pPr>
    </w:p>
    <w:p w:rsidRPr="007459FB" w:rsidR="004A7CF8" w:rsidP="004A7CF8" w:rsidRDefault="004A7CF8" w14:paraId="4A0A7A11"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 xml:space="preserve">Vraag 7 </w:t>
      </w:r>
    </w:p>
    <w:p w:rsidRPr="007459FB" w:rsidR="004A7CF8" w:rsidP="004A7CF8" w:rsidRDefault="004A7CF8" w14:paraId="0EF9ABF4"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Hoe wordt geborgd dat de vergunningverlenende gemeente op de hoogte wordt gesteld van het al dan niet uitvoeren van een Bibob-toets bij de betreffende subsidieaanvraag?</w:t>
      </w:r>
    </w:p>
    <w:p w:rsidRPr="007459FB" w:rsidR="004A7CF8" w:rsidP="004A7CF8" w:rsidRDefault="004A7CF8" w14:paraId="1B4677F3" w14:textId="77777777">
      <w:pPr>
        <w:autoSpaceDE w:val="0"/>
        <w:adjustRightInd w:val="0"/>
        <w:spacing w:line="240" w:lineRule="auto"/>
        <w:rPr>
          <w:rFonts w:eastAsia="DejaVuSerifCondensed" w:cs="DejaVuSerifCondensed"/>
          <w:b/>
          <w:bCs/>
        </w:rPr>
      </w:pPr>
    </w:p>
    <w:p w:rsidRPr="007459FB" w:rsidR="004A7CF8" w:rsidP="004A7CF8" w:rsidRDefault="004A7CF8" w14:paraId="7974639D"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Antwoord op vraag 7</w:t>
      </w:r>
    </w:p>
    <w:p w:rsidRPr="007459FB" w:rsidR="004A7CF8" w:rsidP="004A7CF8" w:rsidRDefault="004A7CF8" w14:paraId="011E8309" w14:textId="77777777">
      <w:r w:rsidRPr="007459FB">
        <w:t>Zie ook het antwoord op vraag 5. Een tip behoort tot de mogelijkheden, maar daarvoor is wel noodzakelijk dat de ene overheidsinstantie op de hoogte is van een vergunning(aanvraag) bij de gemeente. De gemeente heeft echter wel altijd de mogelijkheid om het Bibob-register te raadplegen. In het Bibob-register moeten conclusies worden geregistreerd wanneer een (eigen) onderzoek heeft geleid tot een bepaalde mate van gevaar of een terugtrekking uit de procedure. Een zogenaamde ‘hit’ kan voor een gemeente of andere overheidsinstelling aanleiding zijn om een onderzoek te starten en het kan vervolgens ook onder voorwaarden om informatie uit het al afgeronde Bibob-onderzoek verzoeken.</w:t>
      </w:r>
    </w:p>
    <w:p w:rsidRPr="007459FB" w:rsidR="004A7CF8" w:rsidP="004A7CF8" w:rsidRDefault="004A7CF8" w14:paraId="0A95B3A2" w14:textId="77777777">
      <w:pPr>
        <w:autoSpaceDE w:val="0"/>
        <w:adjustRightInd w:val="0"/>
        <w:spacing w:line="240" w:lineRule="auto"/>
        <w:rPr>
          <w:rFonts w:eastAsia="DejaVuSerifCondensed" w:cs="DejaVuSerifCondensed"/>
          <w:b/>
          <w:bCs/>
        </w:rPr>
      </w:pPr>
    </w:p>
    <w:p w:rsidRPr="007459FB" w:rsidR="004A7CF8" w:rsidP="004A7CF8" w:rsidRDefault="004A7CF8" w14:paraId="2C190CA5"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Vraag 8</w:t>
      </w:r>
    </w:p>
    <w:p w:rsidRPr="007459FB" w:rsidR="004A7CF8" w:rsidP="004A7CF8" w:rsidRDefault="004A7CF8" w14:paraId="5806DD29"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Kunt u aangeven hoe vaak RVO in 2021, 2022, 2023 en tot nu toe in 2024 een adviesaanvraag heeft gedaan bij het Landelijk Bureau Bibob?</w:t>
      </w:r>
    </w:p>
    <w:p w:rsidRPr="007459FB" w:rsidR="004A7CF8" w:rsidP="004A7CF8" w:rsidRDefault="004A7CF8" w14:paraId="1A5F4D78" w14:textId="77777777">
      <w:pPr>
        <w:autoSpaceDE w:val="0"/>
        <w:adjustRightInd w:val="0"/>
        <w:spacing w:line="240" w:lineRule="auto"/>
        <w:rPr>
          <w:rFonts w:eastAsia="DejaVuSerifCondensed" w:cs="DejaVuSerifCondensed"/>
          <w:b/>
          <w:bCs/>
        </w:rPr>
      </w:pPr>
    </w:p>
    <w:p w:rsidRPr="007459FB" w:rsidR="004A7CF8" w:rsidP="004A7CF8" w:rsidRDefault="004A7CF8" w14:paraId="552BAF09"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Antwoord op vraag 8</w:t>
      </w:r>
    </w:p>
    <w:p w:rsidRPr="007459FB" w:rsidR="004A7CF8" w:rsidP="004A7CF8" w:rsidRDefault="004A7CF8" w14:paraId="07E6E030" w14:textId="77777777">
      <w:r w:rsidRPr="007459FB">
        <w:lastRenderedPageBreak/>
        <w:t>RVO heeft tussen 2021 en nu in totaal tien adviesaanvragen gedaan bij het LBB. Hierbij wordt opgemerkt dat dit niet betekent dat de adviesaanvragen van RVO in voornoemde periode per definitie zien op subsidies.</w:t>
      </w:r>
    </w:p>
    <w:p w:rsidRPr="007459FB" w:rsidR="004A7CF8" w:rsidP="004A7CF8" w:rsidRDefault="004A7CF8" w14:paraId="3F3344D7" w14:textId="77777777">
      <w:pPr>
        <w:autoSpaceDE w:val="0"/>
        <w:adjustRightInd w:val="0"/>
        <w:spacing w:line="240" w:lineRule="auto"/>
        <w:rPr>
          <w:rFonts w:eastAsia="DejaVuSerifCondensed" w:cs="DejaVuSerifCondensed"/>
          <w:b/>
          <w:bCs/>
        </w:rPr>
      </w:pPr>
    </w:p>
    <w:p w:rsidRPr="007459FB" w:rsidR="004A7CF8" w:rsidP="004A7CF8" w:rsidRDefault="004A7CF8" w14:paraId="2CE4B6CF"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Vraag 9</w:t>
      </w:r>
    </w:p>
    <w:p w:rsidRPr="007459FB" w:rsidR="004A7CF8" w:rsidP="004A7CF8" w:rsidRDefault="004A7CF8" w14:paraId="5D4600B5"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Kunt u per bestuursorgaan aangeven hoeveel adviesaanvragen er zijn gedaan bij het Landelijk Bureau Bibob in 2023 en tot nu toe in 2024?</w:t>
      </w:r>
    </w:p>
    <w:p w:rsidRPr="007459FB" w:rsidR="004A7CF8" w:rsidP="004A7CF8" w:rsidRDefault="004A7CF8" w14:paraId="619613F7" w14:textId="77777777">
      <w:pPr>
        <w:autoSpaceDE w:val="0"/>
        <w:adjustRightInd w:val="0"/>
        <w:spacing w:line="240" w:lineRule="auto"/>
        <w:rPr>
          <w:rFonts w:eastAsia="DejaVuSerifCondensed" w:cs="DejaVuSerifCondensed"/>
          <w:b/>
          <w:bCs/>
        </w:rPr>
      </w:pPr>
    </w:p>
    <w:p w:rsidRPr="007459FB" w:rsidR="004A7CF8" w:rsidP="004A7CF8" w:rsidRDefault="004A7CF8" w14:paraId="5588E05E"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Antwoord op vraag 9</w:t>
      </w:r>
    </w:p>
    <w:p w:rsidRPr="007459FB" w:rsidR="004A7CF8" w:rsidP="004A7CF8" w:rsidRDefault="004A7CF8" w14:paraId="7F1456BA" w14:textId="77777777">
      <w:r w:rsidRPr="007459FB">
        <w:t xml:space="preserve">Het LBB deelt in verband met de geheimhoudingsplicht in de Wet Bibob alleen cijfers over adviesaanvragen als deze cijfers niet te herleiden zijn naar individuele gevallen. Dit betekent dat het aantal adviesaanvragen per bestuursorgaan/rechtspersoon met overheidstaak slechts gedeeld wordt als dit een dusdanig aantal betreft dat op basis daarvan geen sprake is van herleidbaarheid naar een individueel geval. Een globaal overzicht van de cijfers is jaarlijks te vinden in het jaarverslag van het LBB. </w:t>
      </w:r>
    </w:p>
    <w:p w:rsidRPr="007459FB" w:rsidR="004A7CF8" w:rsidP="004A7CF8" w:rsidRDefault="004A7CF8" w14:paraId="4A5022F1" w14:textId="77777777"/>
    <w:p w:rsidRPr="007459FB" w:rsidR="004A7CF8" w:rsidP="004A7CF8" w:rsidRDefault="004A7CF8" w14:paraId="7F595DAD" w14:textId="77777777">
      <w:r w:rsidRPr="007459FB">
        <w:t xml:space="preserve">In 2023 heeft het LBB in totaal 255 adviesaanvragen ontvangen. 230 daarvan waren afkomstig van gemeenten. 14 adviesaanvragen waren afkomstig provincies. 9 adviesaanvragen waren afkomstig van Rijksonderdelen. In totaal hebben 94 verschillende bestuursorganen of rechtspersonen met een overheidstaak in 2023 advies bij het LBB aangevraagd. Voor meer informatie over de cijfers in 2023 verwijs ik u naar het </w:t>
      </w:r>
      <w:hyperlink w:history="1" r:id="rId6">
        <w:r w:rsidRPr="007459FB">
          <w:rPr>
            <w:rStyle w:val="Hyperlink"/>
          </w:rPr>
          <w:t>jaarverslag 2023</w:t>
        </w:r>
      </w:hyperlink>
      <w:r w:rsidRPr="007459FB">
        <w:t xml:space="preserve"> van het LBB.  </w:t>
      </w:r>
    </w:p>
    <w:p w:rsidRPr="007459FB" w:rsidR="004A7CF8" w:rsidP="004A7CF8" w:rsidRDefault="004A7CF8" w14:paraId="226BA5CB" w14:textId="77777777"/>
    <w:p w:rsidRPr="007459FB" w:rsidR="004A7CF8" w:rsidP="004A7CF8" w:rsidRDefault="004A7CF8" w14:paraId="16C41E9C" w14:textId="77777777">
      <w:r w:rsidRPr="007459FB">
        <w:t>In 2024 heeft het LBB tot en met 5 december 2024 in totaal 243 adviesaanvragen ontvangen. 209 daarvan waren afkomstig gemeenten. 7 adviesaanvragen waren afkomstig van provincies. 13 adviesaanvragen waren afkomstig van Rijksonderdelen. 13 adviesaanvragen waren afkomstig van een samenwerkingsverband. In totaal hebben 106 verschillende bestuursorganen of rechtspersonen met een overheidstaak tot en met 5 december 2024 een advies bij het LBB aangevraagd.</w:t>
      </w:r>
    </w:p>
    <w:p w:rsidRPr="007459FB" w:rsidR="004A7CF8" w:rsidP="004A7CF8" w:rsidRDefault="004A7CF8" w14:paraId="7CD7138B" w14:textId="77777777">
      <w:pPr>
        <w:autoSpaceDE w:val="0"/>
        <w:adjustRightInd w:val="0"/>
        <w:spacing w:line="240" w:lineRule="auto"/>
        <w:rPr>
          <w:rFonts w:eastAsia="DejaVuSerifCondensed" w:cs="DejaVuSerifCondensed"/>
          <w:b/>
          <w:bCs/>
        </w:rPr>
      </w:pPr>
    </w:p>
    <w:p w:rsidRPr="007459FB" w:rsidR="004A7CF8" w:rsidP="004A7CF8" w:rsidRDefault="004A7CF8" w14:paraId="6215C9A2" w14:textId="77777777">
      <w:pPr>
        <w:autoSpaceDE w:val="0"/>
        <w:adjustRightInd w:val="0"/>
        <w:spacing w:line="240" w:lineRule="auto"/>
        <w:rPr>
          <w:rFonts w:eastAsia="DejaVuSerifCondensed" w:cs="DejaVuSerifCondensed"/>
          <w:b/>
          <w:bCs/>
        </w:rPr>
      </w:pPr>
    </w:p>
    <w:p w:rsidRPr="007459FB" w:rsidR="004A7CF8" w:rsidP="004A7CF8" w:rsidRDefault="004A7CF8" w14:paraId="78E53BB7"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Vraag 10</w:t>
      </w:r>
    </w:p>
    <w:p w:rsidRPr="007459FB" w:rsidR="004A7CF8" w:rsidP="004A7CF8" w:rsidRDefault="004A7CF8" w14:paraId="0D30E2F4"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Wanneer bent u voornemens de Kamer te informeren over de inspanningen die worden gedaan om de inzet van de Bibob als instrument tegen ondermijning beter te kunnen benutten?</w:t>
      </w:r>
    </w:p>
    <w:p w:rsidRPr="007459FB" w:rsidR="004A7CF8" w:rsidP="004A7CF8" w:rsidRDefault="004A7CF8" w14:paraId="277F6DB4" w14:textId="77777777">
      <w:pPr>
        <w:autoSpaceDE w:val="0"/>
        <w:adjustRightInd w:val="0"/>
        <w:spacing w:line="240" w:lineRule="auto"/>
        <w:rPr>
          <w:rFonts w:eastAsia="DejaVuSerifCondensed" w:cs="DejaVuSerifCondensed"/>
          <w:b/>
          <w:bCs/>
        </w:rPr>
      </w:pPr>
    </w:p>
    <w:p w:rsidRPr="007459FB" w:rsidR="004A7CF8" w:rsidP="004A7CF8" w:rsidRDefault="004A7CF8" w14:paraId="5EA05BAB" w14:textId="77777777">
      <w:pPr>
        <w:autoSpaceDE w:val="0"/>
        <w:adjustRightInd w:val="0"/>
        <w:spacing w:line="240" w:lineRule="auto"/>
        <w:rPr>
          <w:rFonts w:eastAsia="DejaVuSerifCondensed" w:cs="DejaVuSerifCondensed"/>
          <w:b/>
          <w:bCs/>
        </w:rPr>
      </w:pPr>
      <w:r w:rsidRPr="007459FB">
        <w:rPr>
          <w:rFonts w:eastAsia="DejaVuSerifCondensed" w:cs="DejaVuSerifCondensed"/>
          <w:b/>
          <w:bCs/>
        </w:rPr>
        <w:t>Antwoord op vraag 10</w:t>
      </w:r>
    </w:p>
    <w:p w:rsidRPr="007459FB" w:rsidR="004A7CF8" w:rsidP="004A7CF8" w:rsidRDefault="004A7CF8" w14:paraId="48E9A1B0" w14:textId="77777777">
      <w:r w:rsidRPr="007459FB">
        <w:t xml:space="preserve">Mijn ministerie zet zich op een continue basis in om (de inzet van) het Bibob-instrument te optimaliseren. Zo wordt regelmatig met het LBB en de Regionale Informatie- en Expertisecentra gesproken over de inzet en over de ontwikkelingen bij bestuursorganen. Het jaarverslag van het LBB wordt naar de Kamer verzonden en geeft een goed beeld van de werkzaamheden van het LBB. </w:t>
      </w:r>
    </w:p>
    <w:p w:rsidRPr="007459FB" w:rsidR="004A7CF8" w:rsidP="004A7CF8" w:rsidRDefault="004A7CF8" w14:paraId="45ECAC5D" w14:textId="77777777"/>
    <w:p w:rsidRPr="007459FB" w:rsidR="004A7CF8" w:rsidP="004A7CF8" w:rsidRDefault="004A7CF8" w14:paraId="239D33F1" w14:textId="77777777">
      <w:r w:rsidRPr="007459FB">
        <w:t>Daarnaast wordt in opdracht van het Wetenschappelijk Onderzoek- en Datacentrum op dit moment daarnaast een evaluatieonderzoek uitgevoerd naar de recente wijzigingen van de Wet Bibob, waarbij ook aandacht wordt besteed aan moties en enkele actualiteiten.</w:t>
      </w:r>
      <w:r w:rsidRPr="007459FB">
        <w:rPr>
          <w:rStyle w:val="Voetnootmarkering"/>
          <w:rFonts w:eastAsia="DejaVuSerifCondensed" w:cs="DejaVuSerifCondensed"/>
        </w:rPr>
        <w:footnoteReference w:id="4"/>
      </w:r>
      <w:r w:rsidRPr="007459FB">
        <w:t xml:space="preserve"> Een reactie op dit onderzoek en eventuele opvolging volgt na afronding, verwacht in het najaar van 2025. Ten slotte blijf ik mij inzetten om Rijksonderdelen bewust te maken van de mogelijkheid om de Wet Bibob in te zetten. Een update op dit onderwerp volgt voor de zomer. </w:t>
      </w:r>
    </w:p>
    <w:p w:rsidRPr="007459FB" w:rsidR="004A7CF8" w:rsidP="004A7CF8" w:rsidRDefault="004A7CF8" w14:paraId="60DE7B51" w14:textId="77777777">
      <w:pPr>
        <w:autoSpaceDE w:val="0"/>
        <w:adjustRightInd w:val="0"/>
        <w:spacing w:line="240" w:lineRule="auto"/>
        <w:rPr>
          <w:rFonts w:eastAsia="DejaVuSerifCondensed" w:cs="DejaVuSerifCondensed"/>
        </w:rPr>
      </w:pPr>
    </w:p>
    <w:p w:rsidRPr="007459FB" w:rsidR="004A7CF8" w:rsidP="004A7CF8" w:rsidRDefault="004A7CF8" w14:paraId="522DB94D" w14:textId="77777777">
      <w:pPr>
        <w:autoSpaceDE w:val="0"/>
        <w:adjustRightInd w:val="0"/>
        <w:spacing w:line="240" w:lineRule="auto"/>
        <w:rPr>
          <w:rFonts w:eastAsia="DejaVuSerifCondensed" w:cs="DejaVuSerifCondensed"/>
        </w:rPr>
      </w:pPr>
    </w:p>
    <w:p w:rsidRPr="00611DB8" w:rsidR="004A7CF8" w:rsidP="004A7CF8" w:rsidRDefault="004A7CF8" w14:paraId="3F2AA7DF" w14:textId="77777777">
      <w:r w:rsidRPr="007459FB">
        <w:rPr>
          <w:rFonts w:eastAsia="DejaVuSerifCondensed" w:cs="DejaVuSerifCondensed"/>
        </w:rPr>
        <w:t>1) Aanhangsel van de Handelingen, vergaderjaar 2022-2023, nr. 87.</w:t>
      </w:r>
    </w:p>
    <w:p w:rsidR="004A7CF8" w:rsidP="004A7CF8" w:rsidRDefault="004A7CF8" w14:paraId="6276FB3D" w14:textId="77777777"/>
    <w:p w:rsidR="004A7CF8" w:rsidP="004A7CF8" w:rsidRDefault="004A7CF8" w14:paraId="09913C37" w14:textId="77777777"/>
    <w:p w:rsidR="004A7CF8" w:rsidP="004A7CF8" w:rsidRDefault="004A7CF8" w14:paraId="23BFB06C" w14:textId="77777777"/>
    <w:p w:rsidR="004A7CF8" w:rsidP="004A7CF8" w:rsidRDefault="004A7CF8" w14:paraId="0BDFD9AF" w14:textId="77777777"/>
    <w:p w:rsidR="007A7E2E" w:rsidRDefault="007A7E2E" w14:paraId="25AEB5C3" w14:textId="77777777"/>
    <w:sectPr w:rsidR="007A7E2E" w:rsidSect="004A7CF8">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69772" w14:textId="77777777" w:rsidR="004A7CF8" w:rsidRDefault="004A7CF8" w:rsidP="004A7CF8">
      <w:pPr>
        <w:spacing w:after="0" w:line="240" w:lineRule="auto"/>
      </w:pPr>
      <w:r>
        <w:separator/>
      </w:r>
    </w:p>
  </w:endnote>
  <w:endnote w:type="continuationSeparator" w:id="0">
    <w:p w14:paraId="69807C17" w14:textId="77777777" w:rsidR="004A7CF8" w:rsidRDefault="004A7CF8" w:rsidP="004A7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C2C59" w14:textId="77777777" w:rsidR="004A7CF8" w:rsidRPr="004A7CF8" w:rsidRDefault="004A7CF8" w:rsidP="004A7C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4984C" w14:textId="77777777" w:rsidR="004A7CF8" w:rsidRPr="004A7CF8" w:rsidRDefault="004A7CF8" w:rsidP="004A7C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22887" w14:textId="77777777" w:rsidR="004A7CF8" w:rsidRPr="004A7CF8" w:rsidRDefault="004A7CF8" w:rsidP="004A7C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94886" w14:textId="77777777" w:rsidR="004A7CF8" w:rsidRDefault="004A7CF8" w:rsidP="004A7CF8">
      <w:pPr>
        <w:spacing w:after="0" w:line="240" w:lineRule="auto"/>
      </w:pPr>
      <w:r>
        <w:separator/>
      </w:r>
    </w:p>
  </w:footnote>
  <w:footnote w:type="continuationSeparator" w:id="0">
    <w:p w14:paraId="6DBE64C9" w14:textId="77777777" w:rsidR="004A7CF8" w:rsidRDefault="004A7CF8" w:rsidP="004A7CF8">
      <w:pPr>
        <w:spacing w:after="0" w:line="240" w:lineRule="auto"/>
      </w:pPr>
      <w:r>
        <w:continuationSeparator/>
      </w:r>
    </w:p>
  </w:footnote>
  <w:footnote w:id="1">
    <w:p w14:paraId="33EC918A" w14:textId="77777777" w:rsidR="004A7CF8" w:rsidRPr="00375177" w:rsidRDefault="004A7CF8" w:rsidP="004A7CF8">
      <w:pPr>
        <w:pStyle w:val="Voetnoottekst"/>
        <w:rPr>
          <w:sz w:val="16"/>
          <w:szCs w:val="16"/>
        </w:rPr>
      </w:pPr>
      <w:r>
        <w:rPr>
          <w:rStyle w:val="Voetnootmarkering"/>
        </w:rPr>
        <w:footnoteRef/>
      </w:r>
      <w:r>
        <w:t xml:space="preserve"> </w:t>
      </w:r>
      <w:bookmarkStart w:id="0" w:name="_Hlk188258606"/>
      <w:r w:rsidRPr="00375177">
        <w:rPr>
          <w:sz w:val="16"/>
          <w:szCs w:val="16"/>
        </w:rPr>
        <w:t>Kamerstukken</w:t>
      </w:r>
      <w:r>
        <w:rPr>
          <w:sz w:val="16"/>
          <w:szCs w:val="16"/>
        </w:rPr>
        <w:t xml:space="preserve"> II, 2022-2023, </w:t>
      </w:r>
      <w:r w:rsidRPr="00375177">
        <w:rPr>
          <w:sz w:val="16"/>
          <w:szCs w:val="16"/>
        </w:rPr>
        <w:t>29 911, nr. 396</w:t>
      </w:r>
      <w:r>
        <w:rPr>
          <w:sz w:val="16"/>
          <w:szCs w:val="16"/>
        </w:rPr>
        <w:t>.</w:t>
      </w:r>
      <w:bookmarkEnd w:id="0"/>
    </w:p>
  </w:footnote>
  <w:footnote w:id="2">
    <w:p w14:paraId="15982970" w14:textId="77777777" w:rsidR="004A7CF8" w:rsidRDefault="004A7CF8" w:rsidP="004A7CF8">
      <w:pPr>
        <w:pStyle w:val="Voetnoottekst"/>
      </w:pPr>
      <w:r>
        <w:rPr>
          <w:rStyle w:val="Voetnootmarkering"/>
        </w:rPr>
        <w:footnoteRef/>
      </w:r>
      <w:r>
        <w:t xml:space="preserve"> </w:t>
      </w:r>
      <w:r w:rsidRPr="00375177">
        <w:rPr>
          <w:sz w:val="16"/>
          <w:szCs w:val="16"/>
        </w:rPr>
        <w:t>Kamerstukken</w:t>
      </w:r>
      <w:r>
        <w:rPr>
          <w:sz w:val="16"/>
          <w:szCs w:val="16"/>
        </w:rPr>
        <w:t xml:space="preserve"> II, 2023-2024, </w:t>
      </w:r>
      <w:r w:rsidRPr="00375177">
        <w:rPr>
          <w:sz w:val="16"/>
          <w:szCs w:val="16"/>
        </w:rPr>
        <w:t xml:space="preserve">29 911, nr. </w:t>
      </w:r>
      <w:r>
        <w:rPr>
          <w:sz w:val="16"/>
          <w:szCs w:val="16"/>
        </w:rPr>
        <w:t>433.</w:t>
      </w:r>
    </w:p>
  </w:footnote>
  <w:footnote w:id="3">
    <w:p w14:paraId="097A5A0C" w14:textId="77777777" w:rsidR="004A7CF8" w:rsidRPr="00A07CB9" w:rsidRDefault="004A7CF8" w:rsidP="004A7CF8">
      <w:pPr>
        <w:pStyle w:val="Voetnoottekst"/>
        <w:rPr>
          <w:sz w:val="16"/>
          <w:szCs w:val="16"/>
        </w:rPr>
      </w:pPr>
      <w:r>
        <w:rPr>
          <w:rStyle w:val="Voetnootmarkering"/>
        </w:rPr>
        <w:footnoteRef/>
      </w:r>
      <w:r>
        <w:t xml:space="preserve"> </w:t>
      </w:r>
      <w:r w:rsidRPr="00A07CB9">
        <w:rPr>
          <w:sz w:val="16"/>
          <w:szCs w:val="16"/>
        </w:rPr>
        <w:t xml:space="preserve">Dit is veelal de vergunningaanvrager of -houder. </w:t>
      </w:r>
    </w:p>
  </w:footnote>
  <w:footnote w:id="4">
    <w:p w14:paraId="35DD4637" w14:textId="77777777" w:rsidR="004A7CF8" w:rsidRPr="00076A56" w:rsidRDefault="004A7CF8" w:rsidP="004A7CF8">
      <w:pPr>
        <w:pStyle w:val="Voetnoottekst"/>
        <w:rPr>
          <w:sz w:val="16"/>
          <w:szCs w:val="16"/>
        </w:rPr>
      </w:pPr>
      <w:r>
        <w:rPr>
          <w:rStyle w:val="Voetnootmarkering"/>
        </w:rPr>
        <w:footnoteRef/>
      </w:r>
      <w:r>
        <w:t xml:space="preserve"> </w:t>
      </w:r>
      <w:r w:rsidRPr="00076A56">
        <w:rPr>
          <w:sz w:val="16"/>
          <w:szCs w:val="16"/>
        </w:rPr>
        <w:t>Onder andere over de knelpunten die worden ervaren bij de inzet van de Wet Bibob.</w:t>
      </w:r>
      <w:r>
        <w:t xml:space="preserve"> </w:t>
      </w:r>
      <w:r w:rsidRPr="000F704D">
        <w:rPr>
          <w:sz w:val="16"/>
          <w:szCs w:val="16"/>
        </w:rPr>
        <w:t>Kamerstukken II 2021/22, 35 764, nr. 13, nr. 15 en nr.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743C2" w14:textId="77777777" w:rsidR="004A7CF8" w:rsidRPr="004A7CF8" w:rsidRDefault="004A7CF8" w:rsidP="004A7C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078A7" w14:textId="77777777" w:rsidR="004A7CF8" w:rsidRPr="004A7CF8" w:rsidRDefault="004A7CF8" w:rsidP="004A7C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E46E5" w14:textId="77777777" w:rsidR="004A7CF8" w:rsidRPr="004A7CF8" w:rsidRDefault="004A7CF8" w:rsidP="004A7C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F8"/>
    <w:rsid w:val="00236439"/>
    <w:rsid w:val="004A7CF8"/>
    <w:rsid w:val="007A7E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730C"/>
  <w15:chartTrackingRefBased/>
  <w15:docId w15:val="{69F3CE0E-B008-42E4-8139-1CFFDB89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7C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A7C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A7CF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A7CF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A7CF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A7C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7C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7C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7C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7CF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A7CF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A7CF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A7CF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A7CF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A7C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7C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7C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7CF8"/>
    <w:rPr>
      <w:rFonts w:eastAsiaTheme="majorEastAsia" w:cstheme="majorBidi"/>
      <w:color w:val="272727" w:themeColor="text1" w:themeTint="D8"/>
    </w:rPr>
  </w:style>
  <w:style w:type="paragraph" w:styleId="Titel">
    <w:name w:val="Title"/>
    <w:basedOn w:val="Standaard"/>
    <w:next w:val="Standaard"/>
    <w:link w:val="TitelChar"/>
    <w:uiPriority w:val="10"/>
    <w:qFormat/>
    <w:rsid w:val="004A7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7C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7C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7C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7C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7CF8"/>
    <w:rPr>
      <w:i/>
      <w:iCs/>
      <w:color w:val="404040" w:themeColor="text1" w:themeTint="BF"/>
    </w:rPr>
  </w:style>
  <w:style w:type="paragraph" w:styleId="Lijstalinea">
    <w:name w:val="List Paragraph"/>
    <w:basedOn w:val="Standaard"/>
    <w:uiPriority w:val="34"/>
    <w:qFormat/>
    <w:rsid w:val="004A7CF8"/>
    <w:pPr>
      <w:ind w:left="720"/>
      <w:contextualSpacing/>
    </w:pPr>
  </w:style>
  <w:style w:type="character" w:styleId="Intensievebenadrukking">
    <w:name w:val="Intense Emphasis"/>
    <w:basedOn w:val="Standaardalinea-lettertype"/>
    <w:uiPriority w:val="21"/>
    <w:qFormat/>
    <w:rsid w:val="004A7CF8"/>
    <w:rPr>
      <w:i/>
      <w:iCs/>
      <w:color w:val="2F5496" w:themeColor="accent1" w:themeShade="BF"/>
    </w:rPr>
  </w:style>
  <w:style w:type="paragraph" w:styleId="Duidelijkcitaat">
    <w:name w:val="Intense Quote"/>
    <w:basedOn w:val="Standaard"/>
    <w:next w:val="Standaard"/>
    <w:link w:val="DuidelijkcitaatChar"/>
    <w:uiPriority w:val="30"/>
    <w:qFormat/>
    <w:rsid w:val="004A7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A7CF8"/>
    <w:rPr>
      <w:i/>
      <w:iCs/>
      <w:color w:val="2F5496" w:themeColor="accent1" w:themeShade="BF"/>
    </w:rPr>
  </w:style>
  <w:style w:type="character" w:styleId="Intensieveverwijzing">
    <w:name w:val="Intense Reference"/>
    <w:basedOn w:val="Standaardalinea-lettertype"/>
    <w:uiPriority w:val="32"/>
    <w:qFormat/>
    <w:rsid w:val="004A7CF8"/>
    <w:rPr>
      <w:b/>
      <w:bCs/>
      <w:smallCaps/>
      <w:color w:val="2F5496" w:themeColor="accent1" w:themeShade="BF"/>
      <w:spacing w:val="5"/>
    </w:rPr>
  </w:style>
  <w:style w:type="character" w:styleId="Hyperlink">
    <w:name w:val="Hyperlink"/>
    <w:basedOn w:val="Standaardalinea-lettertype"/>
    <w:uiPriority w:val="99"/>
    <w:unhideWhenUsed/>
    <w:rsid w:val="004A7CF8"/>
    <w:rPr>
      <w:color w:val="0563C1" w:themeColor="hyperlink"/>
      <w:u w:val="single"/>
    </w:rPr>
  </w:style>
  <w:style w:type="paragraph" w:customStyle="1" w:styleId="Referentiegegevens">
    <w:name w:val="Referentiegegevens"/>
    <w:basedOn w:val="Standaard"/>
    <w:next w:val="Standaard"/>
    <w:rsid w:val="004A7CF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A7CF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4A7CF8"/>
    <w:pPr>
      <w:spacing w:line="140" w:lineRule="exact"/>
    </w:pPr>
  </w:style>
  <w:style w:type="character" w:customStyle="1" w:styleId="VoettekstChar">
    <w:name w:val="Voettekst Char"/>
    <w:basedOn w:val="Standaardalinea-lettertype"/>
    <w:link w:val="Voettekst"/>
    <w:rsid w:val="004A7CF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4A7CF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A7CF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A7CF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A7CF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A7CF8"/>
    <w:rPr>
      <w:vertAlign w:val="superscript"/>
    </w:rPr>
  </w:style>
  <w:style w:type="paragraph" w:styleId="Koptekst">
    <w:name w:val="header"/>
    <w:basedOn w:val="Standaard"/>
    <w:link w:val="KoptekstChar"/>
    <w:uiPriority w:val="99"/>
    <w:unhideWhenUsed/>
    <w:rsid w:val="004A7C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7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jksoverheid.nl/documenten/rapporten/2024/05/13/tk-bijlage-2-jaarverslag-landelijk-bureau-bibob-2023"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1934</ap:Words>
  <ap:Characters>10642</ap:Characters>
  <ap:DocSecurity>0</ap:DocSecurity>
  <ap:Lines>88</ap:Lines>
  <ap:Paragraphs>25</ap:Paragraphs>
  <ap:ScaleCrop>false</ap:ScaleCrop>
  <ap:LinksUpToDate>false</ap:LinksUpToDate>
  <ap:CharactersWithSpaces>12551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2025-01-29T14:11:00.0000000Z</dcterms:created>
  <dcterms:modified xsi:type="dcterms:W3CDTF">2025-01-29T14:12:00.0000000Z</dcterms:modified>
  <version/>
  <category/>
</coreProperties>
</file>