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32A41" w:rsidR="000A5B40" w:rsidP="00632A41" w:rsidRDefault="00632A41" w14:paraId="2AA824B0" w14:textId="19A4C742">
      <w:pPr>
        <w:pStyle w:val="Kop1"/>
        <w:spacing w:before="0" w:line="262" w:lineRule="auto"/>
        <w:rPr>
          <w:rFonts w:ascii="Verdana" w:hAnsi="Verdana"/>
          <w:b/>
          <w:color w:val="auto"/>
          <w:sz w:val="24"/>
          <w:szCs w:val="24"/>
          <w:lang w:val="nl-NL"/>
        </w:rPr>
      </w:pPr>
      <w:r>
        <w:rPr>
          <w:rFonts w:ascii="Verdana" w:hAnsi="Verdana"/>
          <w:b/>
          <w:color w:val="auto"/>
          <w:sz w:val="24"/>
          <w:szCs w:val="24"/>
          <w:lang w:val="nl-NL"/>
        </w:rPr>
        <w:t xml:space="preserve">Bijlage 1 – </w:t>
      </w:r>
      <w:r w:rsidRPr="00632A41" w:rsidR="000A5B40">
        <w:rPr>
          <w:rFonts w:ascii="Verdana" w:hAnsi="Verdana"/>
          <w:b/>
          <w:color w:val="auto"/>
          <w:sz w:val="24"/>
          <w:szCs w:val="24"/>
          <w:lang w:val="nl-NL"/>
        </w:rPr>
        <w:t>Menukaart</w:t>
      </w:r>
      <w:r>
        <w:rPr>
          <w:rFonts w:ascii="Verdana" w:hAnsi="Verdana"/>
          <w:b/>
          <w:color w:val="auto"/>
          <w:sz w:val="24"/>
          <w:szCs w:val="24"/>
          <w:lang w:val="nl-NL"/>
        </w:rPr>
        <w:t xml:space="preserve"> </w:t>
      </w:r>
      <w:r w:rsidRPr="00632A41" w:rsidR="005109F1">
        <w:rPr>
          <w:rFonts w:ascii="Verdana" w:hAnsi="Verdana"/>
          <w:b/>
          <w:color w:val="auto"/>
          <w:sz w:val="24"/>
          <w:szCs w:val="24"/>
          <w:lang w:val="nl-NL"/>
        </w:rPr>
        <w:t>werkbezoeken</w:t>
      </w:r>
      <w:r w:rsidRPr="00632A41" w:rsidR="00466DD2">
        <w:rPr>
          <w:rFonts w:ascii="Verdana" w:hAnsi="Verdana"/>
          <w:b/>
          <w:color w:val="auto"/>
          <w:sz w:val="24"/>
          <w:szCs w:val="24"/>
          <w:lang w:val="nl-NL"/>
        </w:rPr>
        <w:t xml:space="preserve"> aan</w:t>
      </w:r>
      <w:r w:rsidRPr="00632A41" w:rsidR="00153184">
        <w:rPr>
          <w:rFonts w:ascii="Verdana" w:hAnsi="Verdana"/>
          <w:b/>
          <w:color w:val="auto"/>
          <w:sz w:val="24"/>
          <w:szCs w:val="24"/>
          <w:lang w:val="nl-NL"/>
        </w:rPr>
        <w:t>-</w:t>
      </w:r>
      <w:r w:rsidRPr="00632A41" w:rsidR="00466DD2">
        <w:rPr>
          <w:rFonts w:ascii="Verdana" w:hAnsi="Verdana"/>
          <w:b/>
          <w:color w:val="auto"/>
          <w:sz w:val="24"/>
          <w:szCs w:val="24"/>
          <w:lang w:val="nl-NL"/>
        </w:rPr>
        <w:t xml:space="preserve"> </w:t>
      </w:r>
      <w:r w:rsidRPr="00632A41" w:rsidR="00153184">
        <w:rPr>
          <w:rFonts w:ascii="Verdana" w:hAnsi="Verdana"/>
          <w:b/>
          <w:color w:val="auto"/>
          <w:sz w:val="24"/>
          <w:szCs w:val="24"/>
          <w:lang w:val="nl-NL"/>
        </w:rPr>
        <w:t xml:space="preserve"> en </w:t>
      </w:r>
      <w:r w:rsidRPr="00632A41" w:rsidR="005109F1">
        <w:rPr>
          <w:rFonts w:ascii="Verdana" w:hAnsi="Verdana"/>
          <w:b/>
          <w:color w:val="auto"/>
          <w:sz w:val="24"/>
          <w:szCs w:val="24"/>
          <w:lang w:val="nl-NL"/>
        </w:rPr>
        <w:t>briefings</w:t>
      </w:r>
      <w:r w:rsidRPr="00632A41" w:rsidR="00466DD2">
        <w:rPr>
          <w:rFonts w:ascii="Verdana" w:hAnsi="Verdana"/>
          <w:b/>
          <w:color w:val="auto"/>
          <w:sz w:val="24"/>
          <w:szCs w:val="24"/>
          <w:lang w:val="nl-NL"/>
        </w:rPr>
        <w:t xml:space="preserve"> van Financiën </w:t>
      </w:r>
    </w:p>
    <w:p w:rsidR="000A5B40" w:rsidP="00632A41" w:rsidRDefault="000A5B40" w14:paraId="0F942E63" w14:textId="77777777">
      <w:pPr>
        <w:spacing w:line="262" w:lineRule="auto"/>
        <w:rPr>
          <w:lang w:val="nl-NL"/>
        </w:rPr>
      </w:pPr>
    </w:p>
    <w:p w:rsidR="00504AB8" w:rsidP="00632A41" w:rsidRDefault="00153184" w14:paraId="7BEB38EE" w14:textId="7208B006">
      <w:pPr>
        <w:spacing w:line="262" w:lineRule="auto"/>
        <w:rPr>
          <w:lang w:val="nl-NL"/>
        </w:rPr>
      </w:pPr>
      <w:r>
        <w:rPr>
          <w:lang w:val="nl-NL"/>
        </w:rPr>
        <w:t>Hieronder vindt u</w:t>
      </w:r>
      <w:r w:rsidR="004E5CDA">
        <w:rPr>
          <w:lang w:val="nl-NL"/>
        </w:rPr>
        <w:t>, ingedeeld per directoraat-</w:t>
      </w:r>
      <w:r>
        <w:rPr>
          <w:lang w:val="nl-NL"/>
        </w:rPr>
        <w:t>generaal, een aantal suggesties v</w:t>
      </w:r>
      <w:r w:rsidR="007C61C4">
        <w:rPr>
          <w:lang w:val="nl-NL"/>
        </w:rPr>
        <w:t>oor</w:t>
      </w:r>
      <w:r>
        <w:rPr>
          <w:lang w:val="nl-NL"/>
        </w:rPr>
        <w:t xml:space="preserve"> werkbezoeken</w:t>
      </w:r>
      <w:r w:rsidR="004E5CDA">
        <w:rPr>
          <w:lang w:val="nl-NL"/>
        </w:rPr>
        <w:t xml:space="preserve"> </w:t>
      </w:r>
      <w:r>
        <w:rPr>
          <w:lang w:val="nl-NL"/>
        </w:rPr>
        <w:t xml:space="preserve"> en briefings van het ministerie van Financiën. Dit zijn slechts een aantal ideeën</w:t>
      </w:r>
      <w:r w:rsidR="007C61C4">
        <w:rPr>
          <w:lang w:val="nl-NL"/>
        </w:rPr>
        <w:t>, maar geven</w:t>
      </w:r>
      <w:r w:rsidR="004E5CDA">
        <w:rPr>
          <w:lang w:val="nl-NL"/>
        </w:rPr>
        <w:t xml:space="preserve"> een beeld welke soort gesprekken en bezoeken mogelijk zijn.</w:t>
      </w:r>
      <w:r w:rsidR="00F14997">
        <w:rPr>
          <w:lang w:val="nl-NL"/>
        </w:rPr>
        <w:t xml:space="preserve"> Deze menukaart is bedoeld als brede uitnodiging met de boodschap dat </w:t>
      </w:r>
      <w:r w:rsidR="00D47F2E">
        <w:rPr>
          <w:lang w:val="nl-NL"/>
        </w:rPr>
        <w:t>het departement</w:t>
      </w:r>
      <w:r w:rsidR="007C6090">
        <w:rPr>
          <w:lang w:val="nl-NL"/>
        </w:rPr>
        <w:t xml:space="preserve"> over</w:t>
      </w:r>
      <w:r w:rsidR="00F14997">
        <w:rPr>
          <w:lang w:val="nl-NL"/>
        </w:rPr>
        <w:t xml:space="preserve"> ieder onderwerp binnen de portefeuille van het ministerie </w:t>
      </w:r>
      <w:r w:rsidR="007C6090">
        <w:rPr>
          <w:lang w:val="nl-NL"/>
        </w:rPr>
        <w:t>van harte</w:t>
      </w:r>
      <w:r w:rsidR="00F14997">
        <w:rPr>
          <w:lang w:val="nl-NL"/>
        </w:rPr>
        <w:t xml:space="preserve"> een i</w:t>
      </w:r>
      <w:r w:rsidR="007C6090">
        <w:rPr>
          <w:lang w:val="nl-NL"/>
        </w:rPr>
        <w:t>nformatieve sessie organiseert voor de Kamer.</w:t>
      </w:r>
    </w:p>
    <w:p w:rsidR="0090673F" w:rsidP="00632A41" w:rsidRDefault="000C6916" w14:paraId="09F3F388" w14:textId="77777777">
      <w:pPr>
        <w:spacing w:after="0" w:line="262" w:lineRule="auto"/>
        <w:rPr>
          <w:b/>
          <w:lang w:val="nl-NL"/>
        </w:rPr>
      </w:pPr>
      <w:r>
        <w:rPr>
          <w:b/>
          <w:lang w:val="nl-NL"/>
        </w:rPr>
        <w:t>SG-</w:t>
      </w:r>
      <w:r w:rsidR="00504AB8">
        <w:rPr>
          <w:b/>
          <w:lang w:val="nl-NL"/>
        </w:rPr>
        <w:t>cluster:</w:t>
      </w:r>
      <w:r w:rsidR="008C1BC1">
        <w:rPr>
          <w:b/>
          <w:lang w:val="nl-NL"/>
        </w:rPr>
        <w:t xml:space="preserve"> </w:t>
      </w:r>
      <w:r>
        <w:rPr>
          <w:b/>
          <w:lang w:val="nl-NL"/>
        </w:rPr>
        <w:t xml:space="preserve">Directie </w:t>
      </w:r>
      <w:r w:rsidR="008C1BC1">
        <w:rPr>
          <w:b/>
          <w:lang w:val="nl-NL"/>
        </w:rPr>
        <w:t>Algemene Financiële en Economische Politiek (AFEP)</w:t>
      </w:r>
    </w:p>
    <w:p w:rsidRPr="00675EFA" w:rsidR="00675EFA" w:rsidP="00632A41" w:rsidRDefault="00675EFA" w14:paraId="30540693" w14:textId="77777777">
      <w:pPr>
        <w:pStyle w:val="Lijstalinea"/>
        <w:numPr>
          <w:ilvl w:val="0"/>
          <w:numId w:val="25"/>
        </w:numPr>
        <w:spacing w:after="0" w:line="262" w:lineRule="auto"/>
        <w:rPr>
          <w:rFonts w:eastAsia="Times New Roman"/>
          <w:szCs w:val="18"/>
          <w:lang w:val="nl-NL"/>
        </w:rPr>
      </w:pPr>
      <w:r w:rsidRPr="00675EFA">
        <w:rPr>
          <w:lang w:val="nl-NL"/>
        </w:rPr>
        <w:t>Achtergrondbriefing met duiding</w:t>
      </w:r>
      <w:r w:rsidRPr="00675EFA">
        <w:rPr>
          <w:rFonts w:eastAsia="Times New Roman"/>
          <w:lang w:val="nl-NL"/>
        </w:rPr>
        <w:t xml:space="preserve"> bij belangrijke macro-economische ontwikkelingen, marktordeningsvraagstukken of financieel-economische overwegingen bij verschillende grote vraagstukken en markten (arbeidsmarkt, zorg, klimaat, woningmarkt, pensioen).</w:t>
      </w:r>
    </w:p>
    <w:p w:rsidR="00431A49" w:rsidP="00431A49" w:rsidRDefault="00675EFA" w14:paraId="1C9DEFEB" w14:textId="77777777">
      <w:pPr>
        <w:pStyle w:val="Lijstalinea"/>
        <w:numPr>
          <w:ilvl w:val="0"/>
          <w:numId w:val="25"/>
        </w:numPr>
        <w:spacing w:line="262" w:lineRule="auto"/>
        <w:rPr>
          <w:rFonts w:eastAsia="Times New Roman"/>
          <w:lang w:val="nl-NL"/>
        </w:rPr>
      </w:pPr>
      <w:r w:rsidRPr="00675EFA">
        <w:rPr>
          <w:rFonts w:eastAsia="Times New Roman"/>
          <w:lang w:val="nl-NL"/>
        </w:rPr>
        <w:t>Toelichting op de beheersing van de inkomstenkant van de begroting (het inkomstenkader), en</w:t>
      </w:r>
      <w:r w:rsidR="00431A49">
        <w:rPr>
          <w:rFonts w:eastAsia="Times New Roman"/>
          <w:lang w:val="nl-NL"/>
        </w:rPr>
        <w:t xml:space="preserve"> </w:t>
      </w:r>
      <w:r w:rsidRPr="00675EFA">
        <w:rPr>
          <w:rFonts w:eastAsia="Times New Roman"/>
          <w:lang w:val="nl-NL"/>
        </w:rPr>
        <w:t>de ontwikkeling van de inkomsten en de lastendruk</w:t>
      </w:r>
    </w:p>
    <w:p w:rsidRPr="00431A49" w:rsidR="00431A49" w:rsidP="00431A49" w:rsidRDefault="00431A49" w14:paraId="4E93B45D" w14:textId="5BEF8D0C">
      <w:pPr>
        <w:pStyle w:val="Lijstalinea"/>
        <w:numPr>
          <w:ilvl w:val="0"/>
          <w:numId w:val="25"/>
        </w:numPr>
        <w:spacing w:line="262" w:lineRule="auto"/>
        <w:rPr>
          <w:rFonts w:eastAsia="Times New Roman"/>
          <w:lang w:val="nl-NL"/>
        </w:rPr>
      </w:pPr>
      <w:r w:rsidRPr="00431A49">
        <w:rPr>
          <w:lang w:val="nl-NL"/>
        </w:rPr>
        <w:t xml:space="preserve">Werkbezoek over informatiehuishouding, AVG, Archiefwet en de Basis op Orde. </w:t>
      </w:r>
    </w:p>
    <w:p w:rsidR="002E1867" w:rsidP="00632A41" w:rsidRDefault="000A5B40" w14:paraId="09CC7EB4" w14:textId="45DB6576">
      <w:pPr>
        <w:spacing w:after="0" w:line="262" w:lineRule="auto"/>
        <w:rPr>
          <w:b/>
          <w:lang w:val="nl-NL"/>
        </w:rPr>
      </w:pPr>
      <w:r w:rsidRPr="000A5B40">
        <w:rPr>
          <w:b/>
          <w:lang w:val="nl-NL"/>
        </w:rPr>
        <w:t>Generale Thesaurie</w:t>
      </w:r>
    </w:p>
    <w:p w:rsidRPr="00576488" w:rsidR="00576488" w:rsidP="00632A41" w:rsidRDefault="00576488" w14:paraId="64D524C4" w14:textId="77777777">
      <w:pPr>
        <w:pStyle w:val="Lijstalinea"/>
        <w:numPr>
          <w:ilvl w:val="0"/>
          <w:numId w:val="31"/>
        </w:numPr>
        <w:spacing w:after="0" w:line="262" w:lineRule="auto"/>
        <w:rPr>
          <w:rFonts w:eastAsia="Calibri" w:cs="Times New Roman"/>
          <w:szCs w:val="18"/>
          <w:lang w:val="nl-NL" w:eastAsia="nl-NL"/>
        </w:rPr>
      </w:pPr>
      <w:r w:rsidRPr="00576488">
        <w:rPr>
          <w:rFonts w:eastAsia="Calibri" w:cs="Times New Roman"/>
          <w:lang w:val="nl-NL"/>
        </w:rPr>
        <w:t xml:space="preserve">AGT - Bezoek Agentschap; een kijkje achter de schermen bij het financieren van de Nederlandse staatsschuld. </w:t>
      </w:r>
    </w:p>
    <w:p w:rsidRPr="00576488" w:rsidR="00576488" w:rsidP="00632A41" w:rsidRDefault="00576488" w14:paraId="2A8BB244" w14:textId="77777777">
      <w:pPr>
        <w:pStyle w:val="Lijstalinea"/>
        <w:numPr>
          <w:ilvl w:val="0"/>
          <w:numId w:val="31"/>
        </w:numPr>
        <w:spacing w:after="0" w:line="262" w:lineRule="auto"/>
        <w:rPr>
          <w:rFonts w:eastAsia="Calibri" w:cs="Times New Roman"/>
          <w:szCs w:val="18"/>
          <w:lang w:val="nl-NL" w:eastAsia="nl-NL"/>
        </w:rPr>
      </w:pPr>
      <w:r w:rsidRPr="00576488">
        <w:rPr>
          <w:rFonts w:eastAsia="Calibri" w:cs="Times New Roman"/>
          <w:lang w:val="nl-NL"/>
        </w:rPr>
        <w:t>AGT - Technische briefing over het financierings- en renterisicobeleid (artikel 11).</w:t>
      </w:r>
    </w:p>
    <w:p w:rsidRPr="00576488" w:rsidR="00576488" w:rsidP="00632A41" w:rsidRDefault="00576488" w14:paraId="5E081F58" w14:textId="77777777">
      <w:pPr>
        <w:pStyle w:val="Lijstalinea"/>
        <w:numPr>
          <w:ilvl w:val="0"/>
          <w:numId w:val="31"/>
        </w:numPr>
        <w:spacing w:after="0" w:line="262" w:lineRule="auto"/>
        <w:rPr>
          <w:rFonts w:eastAsia="Calibri" w:cs="Times New Roman"/>
          <w:szCs w:val="18"/>
          <w:lang w:val="nl-NL" w:eastAsia="nl-NL"/>
        </w:rPr>
      </w:pPr>
      <w:r w:rsidRPr="00576488">
        <w:rPr>
          <w:rFonts w:eastAsia="Calibri" w:cs="Times New Roman"/>
          <w:lang w:val="nl-NL"/>
        </w:rPr>
        <w:t>AGT - Schatkistbeheer (schatkistbankieren en betalingsverkeer van het rijk, artikel 12).</w:t>
      </w:r>
    </w:p>
    <w:p w:rsidRPr="00154DCC" w:rsidR="00576488" w:rsidP="00154DCC" w:rsidRDefault="00154DCC" w14:paraId="407AC133" w14:textId="0177C528">
      <w:pPr>
        <w:pStyle w:val="Lijstalinea"/>
        <w:numPr>
          <w:ilvl w:val="0"/>
          <w:numId w:val="39"/>
        </w:numPr>
        <w:spacing w:after="0" w:line="261" w:lineRule="auto"/>
        <w:rPr>
          <w:rFonts w:eastAsia="Calibri" w:cs="Times New Roman"/>
          <w:szCs w:val="18"/>
          <w:lang w:val="nl-NL" w:eastAsia="nl-NL"/>
        </w:rPr>
      </w:pPr>
      <w:r>
        <w:rPr>
          <w:rFonts w:eastAsia="Times New Roman" w:cs="Times New Roman"/>
          <w:lang w:val="nl-NL"/>
        </w:rPr>
        <w:t>BFB – Technische briefing over exportkredietverzekeringen (</w:t>
      </w:r>
      <w:proofErr w:type="spellStart"/>
      <w:r>
        <w:rPr>
          <w:rFonts w:eastAsia="Times New Roman" w:cs="Times New Roman"/>
          <w:lang w:val="nl-NL"/>
        </w:rPr>
        <w:t>ekv</w:t>
      </w:r>
      <w:proofErr w:type="spellEnd"/>
      <w:r>
        <w:rPr>
          <w:rFonts w:eastAsia="Times New Roman" w:cs="Times New Roman"/>
          <w:lang w:val="nl-NL"/>
        </w:rPr>
        <w:t xml:space="preserve">) en werkbezoek aan </w:t>
      </w:r>
      <w:proofErr w:type="spellStart"/>
      <w:r>
        <w:rPr>
          <w:rFonts w:eastAsia="Times New Roman" w:cs="Times New Roman"/>
          <w:lang w:val="nl-NL"/>
        </w:rPr>
        <w:t>ekv</w:t>
      </w:r>
      <w:proofErr w:type="spellEnd"/>
      <w:r>
        <w:rPr>
          <w:rFonts w:eastAsia="Times New Roman" w:cs="Times New Roman"/>
          <w:lang w:val="nl-NL"/>
        </w:rPr>
        <w:t xml:space="preserve">-uitvoerder </w:t>
      </w:r>
      <w:proofErr w:type="spellStart"/>
      <w:r>
        <w:rPr>
          <w:rFonts w:eastAsia="Times New Roman" w:cs="Times New Roman"/>
          <w:lang w:val="nl-NL"/>
        </w:rPr>
        <w:t>Atradius</w:t>
      </w:r>
      <w:proofErr w:type="spellEnd"/>
      <w:r>
        <w:rPr>
          <w:rFonts w:eastAsia="Times New Roman" w:cs="Times New Roman"/>
          <w:lang w:val="nl-NL"/>
        </w:rPr>
        <w:t xml:space="preserve"> Dutch State Business.</w:t>
      </w:r>
    </w:p>
    <w:p w:rsidRPr="00576488" w:rsidR="00576488" w:rsidP="00632A41" w:rsidRDefault="00576488" w14:paraId="1E106BEB" w14:textId="77777777">
      <w:pPr>
        <w:pStyle w:val="Lijstalinea"/>
        <w:numPr>
          <w:ilvl w:val="0"/>
          <w:numId w:val="31"/>
        </w:numPr>
        <w:spacing w:after="0" w:line="262" w:lineRule="auto"/>
        <w:rPr>
          <w:rFonts w:eastAsia="Calibri" w:cs="Times New Roman"/>
          <w:szCs w:val="18"/>
          <w:lang w:val="nl-NL" w:eastAsia="nl-NL"/>
        </w:rPr>
      </w:pPr>
      <w:r w:rsidRPr="00576488">
        <w:rPr>
          <w:rFonts w:eastAsia="Times New Roman" w:cs="Times New Roman"/>
          <w:lang w:val="nl-NL"/>
        </w:rPr>
        <w:t>BFB - ronde tafel met Nederlanders die betrokken zijn bij internationale financiële instellingen zoals het IMF, Wereldbank, Europese Investeringsbank, Aziatische Infrastructuurbank e.d.</w:t>
      </w:r>
    </w:p>
    <w:p w:rsidRPr="00576488" w:rsidR="00576488" w:rsidP="00632A41" w:rsidRDefault="00576488" w14:paraId="280B1B66" w14:textId="77777777">
      <w:pPr>
        <w:pStyle w:val="Lijstalinea"/>
        <w:numPr>
          <w:ilvl w:val="0"/>
          <w:numId w:val="31"/>
        </w:numPr>
        <w:spacing w:after="0" w:line="262" w:lineRule="auto"/>
        <w:rPr>
          <w:rFonts w:eastAsia="Calibri" w:cs="Times New Roman"/>
          <w:szCs w:val="18"/>
          <w:lang w:val="nl-NL" w:eastAsia="nl-NL"/>
        </w:rPr>
      </w:pPr>
      <w:r w:rsidRPr="00576488">
        <w:rPr>
          <w:rFonts w:eastAsia="Times New Roman" w:cs="Times New Roman"/>
          <w:lang w:val="nl-NL"/>
        </w:rPr>
        <w:t>BFB - Achtergrondbriefing over financieel-economische onderwerpen in Europa: zoals SGP, EMU, EU begroting en RRF.</w:t>
      </w:r>
    </w:p>
    <w:p w:rsidRPr="00576488" w:rsidR="00576488" w:rsidP="00632A41" w:rsidRDefault="00576488" w14:paraId="7EAF88DF" w14:textId="77777777">
      <w:pPr>
        <w:pStyle w:val="Lijstalinea"/>
        <w:numPr>
          <w:ilvl w:val="0"/>
          <w:numId w:val="31"/>
        </w:numPr>
        <w:spacing w:after="0" w:line="262" w:lineRule="auto"/>
        <w:rPr>
          <w:rFonts w:eastAsia="Calibri" w:cs="Times New Roman"/>
          <w:szCs w:val="18"/>
          <w:lang w:val="nl-NL" w:eastAsia="nl-NL"/>
        </w:rPr>
      </w:pPr>
      <w:r w:rsidRPr="00576488">
        <w:rPr>
          <w:rFonts w:eastAsia="Calibri" w:cs="Times New Roman"/>
          <w:lang w:val="nl-NL"/>
        </w:rPr>
        <w:t>BFB -  Europese Financiën-dossiers. Werkbezoek aan Brussel (organisatie Brussels-bureau TK) met onder andere bezoek aan PV waar toelichting gegeven wordt op Brusselse dossiers en wijze van werken.</w:t>
      </w:r>
    </w:p>
    <w:p w:rsidRPr="00576488" w:rsidR="00576488" w:rsidP="00632A41" w:rsidRDefault="00576488" w14:paraId="131D233E" w14:textId="77777777">
      <w:pPr>
        <w:pStyle w:val="Lijstalinea"/>
        <w:numPr>
          <w:ilvl w:val="0"/>
          <w:numId w:val="31"/>
        </w:numPr>
        <w:spacing w:after="0" w:line="262" w:lineRule="auto"/>
        <w:rPr>
          <w:rFonts w:eastAsia="Calibri" w:cs="Times New Roman"/>
          <w:szCs w:val="18"/>
          <w:lang w:val="nl-NL" w:eastAsia="nl-NL"/>
        </w:rPr>
      </w:pPr>
      <w:r w:rsidRPr="00576488">
        <w:rPr>
          <w:rFonts w:eastAsia="Calibri" w:cs="Times New Roman"/>
          <w:lang w:val="nl-NL"/>
        </w:rPr>
        <w:t xml:space="preserve">FM - Werkbezoek wijzer in geldzaken: Wijzer in geldzaken is een samenwerkingsverband op initiatief van het ministerie van Financiën, om financiële fitheid in Nederland te bevorderen FM - Accountancy: Er zijn de afgelopen jaren verschillende onderzoeken gedaan en trajecten in gang gezet om het functioneren van de sector te verbeteren. Graag lichten wij toe wat hiervan de resultaten zijn en welke trajecten op dit moment nog lopen. </w:t>
      </w:r>
    </w:p>
    <w:p w:rsidRPr="00576488" w:rsidR="00576488" w:rsidP="00632A41" w:rsidRDefault="00576488" w14:paraId="5BA7800F" w14:textId="77777777">
      <w:pPr>
        <w:pStyle w:val="Lijstalinea"/>
        <w:numPr>
          <w:ilvl w:val="0"/>
          <w:numId w:val="31"/>
        </w:numPr>
        <w:spacing w:after="0" w:line="262" w:lineRule="auto"/>
        <w:rPr>
          <w:rFonts w:eastAsia="Calibri" w:cs="Times New Roman"/>
          <w:szCs w:val="18"/>
          <w:lang w:val="nl-NL" w:eastAsia="nl-NL"/>
        </w:rPr>
      </w:pPr>
      <w:r w:rsidRPr="00576488">
        <w:rPr>
          <w:rFonts w:eastAsia="Calibri" w:cs="Times New Roman"/>
          <w:lang w:val="nl-NL"/>
        </w:rPr>
        <w:t>FM - Consumentenkrediet: Achtergrondbriefing over op welke manieren en met welke wetgeving op nationaal en Europees niveau overkreditering wordt tegengegaan en consumenten worden beschermd.</w:t>
      </w:r>
    </w:p>
    <w:p w:rsidRPr="00576488" w:rsidR="00576488" w:rsidP="00632A41" w:rsidRDefault="00576488" w14:paraId="6DD51FF2" w14:textId="77777777">
      <w:pPr>
        <w:pStyle w:val="Lijstalinea"/>
        <w:numPr>
          <w:ilvl w:val="0"/>
          <w:numId w:val="31"/>
        </w:numPr>
        <w:spacing w:after="0" w:line="262" w:lineRule="auto"/>
        <w:rPr>
          <w:rFonts w:eastAsia="Calibri" w:cs="Times New Roman"/>
          <w:szCs w:val="18"/>
          <w:lang w:val="nl-NL" w:eastAsia="nl-NL"/>
        </w:rPr>
      </w:pPr>
      <w:r w:rsidRPr="00576488">
        <w:rPr>
          <w:rFonts w:eastAsia="Calibri" w:cs="Times New Roman"/>
          <w:lang w:val="nl-BE"/>
        </w:rPr>
        <w:t>FM – Duurzame financiering: achtergrondbriefing over initiatieven en regelgeving op het gebied van verduurzaming van de financiële sector en financiering van de verduurzaming</w:t>
      </w:r>
    </w:p>
    <w:p w:rsidRPr="00576488" w:rsidR="00576488" w:rsidP="00632A41" w:rsidRDefault="00576488" w14:paraId="67749F07" w14:textId="77777777">
      <w:pPr>
        <w:pStyle w:val="Lijstalinea"/>
        <w:numPr>
          <w:ilvl w:val="0"/>
          <w:numId w:val="31"/>
        </w:numPr>
        <w:spacing w:after="0" w:line="262" w:lineRule="auto"/>
        <w:rPr>
          <w:rFonts w:eastAsia="Calibri" w:cs="Times New Roman"/>
          <w:szCs w:val="18"/>
          <w:lang w:val="nl-NL" w:eastAsia="nl-NL"/>
        </w:rPr>
      </w:pPr>
      <w:r w:rsidRPr="00576488">
        <w:rPr>
          <w:rFonts w:eastAsia="Calibri" w:cs="Times New Roman"/>
          <w:lang w:val="nl-BE"/>
        </w:rPr>
        <w:t>FM – Digitale euro: achtergrondbriefing.</w:t>
      </w:r>
    </w:p>
    <w:p w:rsidRPr="00576488" w:rsidR="00576488" w:rsidP="00632A41" w:rsidRDefault="00576488" w14:paraId="580D7B1B" w14:textId="77777777">
      <w:pPr>
        <w:pStyle w:val="Lijstalinea"/>
        <w:numPr>
          <w:ilvl w:val="0"/>
          <w:numId w:val="31"/>
        </w:numPr>
        <w:spacing w:after="0" w:line="262" w:lineRule="auto"/>
        <w:rPr>
          <w:rFonts w:eastAsia="Calibri" w:cs="Times New Roman"/>
          <w:szCs w:val="18"/>
          <w:lang w:val="nl-NL" w:eastAsia="nl-NL"/>
        </w:rPr>
      </w:pPr>
      <w:r w:rsidRPr="00576488">
        <w:rPr>
          <w:rFonts w:eastAsia="Calibri" w:cs="Times New Roman"/>
          <w:lang w:val="nl-NL"/>
        </w:rPr>
        <w:t>FM Het wetgevingsproces: van idee tot uitvoerbaar wetsvoorstel in de Kamer. Het belang van zorgvuldige afwegingen - van rechtvaardigheid tot uitvoerbaarheid - in het (parlementaire) besluitvormingsproces (met DGFZ).</w:t>
      </w:r>
    </w:p>
    <w:p w:rsidRPr="00576488" w:rsidR="00576488" w:rsidP="00632A41" w:rsidRDefault="00576488" w14:paraId="02194393" w14:textId="77777777">
      <w:pPr>
        <w:pStyle w:val="Lijstalinea"/>
        <w:numPr>
          <w:ilvl w:val="0"/>
          <w:numId w:val="31"/>
        </w:numPr>
        <w:spacing w:after="0" w:line="262" w:lineRule="auto"/>
        <w:rPr>
          <w:rFonts w:eastAsia="Calibri" w:cs="Times New Roman"/>
          <w:szCs w:val="18"/>
          <w:lang w:val="nl-NL" w:eastAsia="nl-NL"/>
        </w:rPr>
      </w:pPr>
      <w:r w:rsidRPr="00576488">
        <w:rPr>
          <w:rFonts w:eastAsia="Calibri" w:cs="Times New Roman"/>
          <w:lang w:val="nl-NL"/>
        </w:rPr>
        <w:t>FIN - Bezoek aan de directie Financieringen voor een presentatie over de staat als aandeelhouder en de wijze waarop de directie de aandeelhoudersrechten uitoefent.</w:t>
      </w:r>
    </w:p>
    <w:p w:rsidRPr="00576488" w:rsidR="000A5B40" w:rsidP="00632A41" w:rsidRDefault="00576488" w14:paraId="07D6EBB8" w14:textId="68939DCA">
      <w:pPr>
        <w:pStyle w:val="Lijstalinea"/>
        <w:numPr>
          <w:ilvl w:val="0"/>
          <w:numId w:val="31"/>
        </w:numPr>
        <w:spacing w:after="0" w:line="262" w:lineRule="auto"/>
        <w:rPr>
          <w:rFonts w:eastAsia="Calibri" w:cs="Times New Roman"/>
          <w:szCs w:val="18"/>
          <w:lang w:val="nl-NL" w:eastAsia="nl-NL"/>
        </w:rPr>
      </w:pPr>
      <w:r w:rsidRPr="00576488">
        <w:rPr>
          <w:rFonts w:eastAsia="Calibri" w:cs="Times New Roman"/>
          <w:lang w:val="nl-NL"/>
        </w:rPr>
        <w:t>HVP - Bezoek aan de programmadirectie Herstel- en Veerkrachtplan (HVP) voor een presentatie over het Nederlandse HVP en de implementatie ervan</w:t>
      </w:r>
    </w:p>
    <w:p w:rsidR="00576488" w:rsidP="00632A41" w:rsidRDefault="00576488" w14:paraId="28A25DE1" w14:textId="77777777">
      <w:pPr>
        <w:spacing w:after="0" w:line="262" w:lineRule="auto"/>
        <w:rPr>
          <w:b/>
          <w:lang w:val="nl-NL"/>
        </w:rPr>
      </w:pPr>
    </w:p>
    <w:p w:rsidR="00EA0765" w:rsidP="00632A41" w:rsidRDefault="000A5B40" w14:paraId="49F718D3" w14:textId="1772C2A8">
      <w:pPr>
        <w:spacing w:after="0" w:line="262" w:lineRule="auto"/>
        <w:rPr>
          <w:b/>
          <w:lang w:val="nl-NL"/>
        </w:rPr>
      </w:pPr>
      <w:r w:rsidRPr="000A5B40">
        <w:rPr>
          <w:b/>
          <w:lang w:val="nl-NL"/>
        </w:rPr>
        <w:t>DG Rijksbegroting</w:t>
      </w:r>
    </w:p>
    <w:p w:rsidRPr="00EA0765" w:rsidR="00EA0765" w:rsidP="00632A41" w:rsidRDefault="00EA0765" w14:paraId="1E5A7702" w14:textId="77777777">
      <w:pPr>
        <w:pStyle w:val="Lijstalinea"/>
        <w:numPr>
          <w:ilvl w:val="0"/>
          <w:numId w:val="29"/>
        </w:numPr>
        <w:spacing w:after="0" w:line="262" w:lineRule="auto"/>
        <w:rPr>
          <w:b/>
          <w:lang w:val="nl-NL"/>
        </w:rPr>
      </w:pPr>
      <w:r w:rsidRPr="00EA0765">
        <w:rPr>
          <w:bCs/>
          <w:lang w:val="nl-NL"/>
        </w:rPr>
        <w:t>Bezoek aan DGRB voor een presentatie over het Begrotingsbeleid en begrotingsproces</w:t>
      </w:r>
    </w:p>
    <w:p w:rsidRPr="00FF2683" w:rsidR="00FF2683" w:rsidP="00FF2683" w:rsidRDefault="00EA0765" w14:paraId="10FCE793" w14:textId="4B2B95FD">
      <w:pPr>
        <w:pStyle w:val="Lijstalinea"/>
        <w:numPr>
          <w:ilvl w:val="0"/>
          <w:numId w:val="29"/>
        </w:numPr>
        <w:spacing w:after="0" w:line="262" w:lineRule="auto"/>
        <w:rPr>
          <w:b/>
          <w:lang w:val="nl-NL"/>
        </w:rPr>
      </w:pPr>
      <w:r w:rsidRPr="00EA0765">
        <w:rPr>
          <w:bCs/>
          <w:lang w:val="nl-NL"/>
        </w:rPr>
        <w:t xml:space="preserve">Bezoek aan DGRB over het gebruik van de site </w:t>
      </w:r>
      <w:hyperlink w:tgtFrame="_BLANK㉟ⲏÊ" w:history="1" r:id="rId7">
        <w:r w:rsidRPr="00EA0765">
          <w:rPr>
            <w:rStyle w:val="Hyperlink"/>
            <w:bCs/>
            <w:lang w:val="nl-NL"/>
          </w:rPr>
          <w:t>www.rijksfinancien.nl</w:t>
        </w:r>
      </w:hyperlink>
      <w:r w:rsidRPr="00EA0765">
        <w:rPr>
          <w:bCs/>
          <w:lang w:val="nl-NL"/>
        </w:rPr>
        <w:t>, met het oog op het zoeken/vinden van informatie in begrotingen en jaarverslagen.</w:t>
      </w:r>
    </w:p>
    <w:p w:rsidRPr="00FF2683" w:rsidR="000A5B40" w:rsidP="00FF2683" w:rsidRDefault="00FF2683" w14:paraId="59E9D194" w14:textId="7F75C7A9">
      <w:pPr>
        <w:pStyle w:val="Lijstalinea"/>
        <w:numPr>
          <w:ilvl w:val="0"/>
          <w:numId w:val="29"/>
        </w:numPr>
        <w:spacing w:after="0" w:line="262" w:lineRule="auto"/>
        <w:rPr>
          <w:lang w:val="nl-NL"/>
        </w:rPr>
      </w:pPr>
      <w:r w:rsidRPr="00FF2683">
        <w:rPr>
          <w:bCs/>
          <w:lang w:val="nl-NL"/>
        </w:rPr>
        <w:t xml:space="preserve">Bezoek aan DGRB voor een presentatie over de Comptabiliteitswet (CW) en de hoofdlijnenbrief Onlangs is de </w:t>
      </w:r>
      <w:hyperlink w:history="1" r:id="rId8">
        <w:r w:rsidR="00282077">
          <w:rPr>
            <w:rStyle w:val="Hyperlink"/>
            <w:bCs/>
            <w:lang w:val="nl-NL"/>
          </w:rPr>
          <w:t>evaluatie van de Comptabiliteitswet 2016</w:t>
        </w:r>
      </w:hyperlink>
      <w:r w:rsidR="00282077">
        <w:rPr>
          <w:bCs/>
          <w:lang w:val="nl-NL"/>
        </w:rPr>
        <w:t xml:space="preserve"> </w:t>
      </w:r>
      <w:r w:rsidRPr="00FF2683">
        <w:rPr>
          <w:bCs/>
          <w:lang w:val="nl-NL"/>
        </w:rPr>
        <w:t xml:space="preserve">naar het parlement verstuurd. Het hoofddoel van deze wet is het inrichten van het budgetrecht van het parlement. De kabinetsreactie op de evaluatie wordt vormgegeven in een hoofdlijnenbrief met daarin, naast </w:t>
      </w:r>
      <w:r w:rsidRPr="00FF2683">
        <w:rPr>
          <w:bCs/>
          <w:lang w:val="nl-NL"/>
        </w:rPr>
        <w:lastRenderedPageBreak/>
        <w:t xml:space="preserve">voorstellen voor wijziging van de CW, een vijfjarenagenda voor versterking van het comptabele bestel en de financiële informatievoorziening. </w:t>
      </w:r>
    </w:p>
    <w:p w:rsidR="00FF2683" w:rsidP="00632A41" w:rsidRDefault="00FF2683" w14:paraId="4943B6E1" w14:textId="77777777">
      <w:pPr>
        <w:spacing w:after="0" w:line="262" w:lineRule="auto"/>
        <w:rPr>
          <w:b/>
          <w:lang w:val="nl-NL"/>
        </w:rPr>
      </w:pPr>
    </w:p>
    <w:p w:rsidRPr="000A5B40" w:rsidR="000A5B40" w:rsidP="00632A41" w:rsidRDefault="003F16B1" w14:paraId="7A19F4FA" w14:textId="58F1A494">
      <w:pPr>
        <w:spacing w:after="0" w:line="262" w:lineRule="auto"/>
        <w:rPr>
          <w:lang w:val="nl-NL"/>
        </w:rPr>
      </w:pPr>
      <w:r>
        <w:rPr>
          <w:b/>
          <w:lang w:val="nl-NL"/>
        </w:rPr>
        <w:t>DG Fiscale Zaken</w:t>
      </w:r>
    </w:p>
    <w:p w:rsidRPr="009D6202" w:rsidR="009D6202" w:rsidP="009D6202" w:rsidRDefault="009D6202" w14:paraId="295A0F62" w14:textId="77777777">
      <w:pPr>
        <w:pStyle w:val="Lijstalinea"/>
        <w:numPr>
          <w:ilvl w:val="0"/>
          <w:numId w:val="32"/>
        </w:numPr>
        <w:spacing w:after="0" w:line="252" w:lineRule="auto"/>
        <w:ind w:left="360"/>
        <w:rPr>
          <w:rFonts w:eastAsia="Times New Roman"/>
          <w:color w:val="000000"/>
          <w:lang w:val="nl-NL"/>
        </w:rPr>
      </w:pPr>
      <w:r w:rsidRPr="009D6202">
        <w:rPr>
          <w:rFonts w:eastAsia="Times New Roman"/>
          <w:color w:val="000000"/>
          <w:lang w:val="nl-NL"/>
        </w:rPr>
        <w:t>Het wetgevingsproces en menselijke maat: van idee tot uitvoerbaar wetsvoorstel in de Kamer. Het belang van zorgvuldige afwegingen - van rechtvaardigheid tot uitvoerbaarheid - in het (parlementaire) besluitvormingsproces.</w:t>
      </w:r>
    </w:p>
    <w:p w:rsidRPr="009D6202" w:rsidR="009D6202" w:rsidP="009D6202" w:rsidRDefault="009D6202" w14:paraId="7F0CE895" w14:textId="77777777">
      <w:pPr>
        <w:pStyle w:val="Lijstalinea"/>
        <w:numPr>
          <w:ilvl w:val="0"/>
          <w:numId w:val="32"/>
        </w:numPr>
        <w:spacing w:after="0" w:line="252" w:lineRule="auto"/>
        <w:ind w:left="360"/>
        <w:rPr>
          <w:rFonts w:eastAsia="Times New Roman"/>
          <w:color w:val="000000"/>
          <w:lang w:val="nl-NL"/>
        </w:rPr>
      </w:pPr>
      <w:r w:rsidRPr="009D6202">
        <w:rPr>
          <w:rFonts w:eastAsia="Times New Roman"/>
          <w:color w:val="000000"/>
          <w:lang w:val="nl-NL"/>
        </w:rPr>
        <w:t xml:space="preserve">Vereenvoudiging/fiscale regelingen: wat maakt het belasting- en toeslagenstelsel ingewikkeld en hoe kunnen we daar iets aan doen? </w:t>
      </w:r>
    </w:p>
    <w:p w:rsidR="009D6202" w:rsidP="009D6202" w:rsidRDefault="009D6202" w14:paraId="2D438EFF" w14:textId="77777777">
      <w:pPr>
        <w:pStyle w:val="Lijstalinea"/>
        <w:numPr>
          <w:ilvl w:val="0"/>
          <w:numId w:val="32"/>
        </w:numPr>
        <w:spacing w:after="0" w:line="252" w:lineRule="auto"/>
        <w:ind w:left="360"/>
        <w:rPr>
          <w:rFonts w:eastAsia="Times New Roman"/>
        </w:rPr>
      </w:pPr>
      <w:r w:rsidRPr="009D6202">
        <w:rPr>
          <w:rFonts w:eastAsia="Times New Roman"/>
          <w:lang w:val="nl-NL"/>
        </w:rPr>
        <w:t xml:space="preserve">Vermogen: (waaronder box 3): De vele gezichten van vermogen en hoe hier belasting over te heffen. </w:t>
      </w:r>
      <w:r>
        <w:rPr>
          <w:rFonts w:eastAsia="Times New Roman"/>
        </w:rPr>
        <w:t xml:space="preserve">De stand van </w:t>
      </w:r>
      <w:proofErr w:type="spellStart"/>
      <w:r>
        <w:rPr>
          <w:rFonts w:eastAsia="Times New Roman"/>
        </w:rPr>
        <w:t>zaken</w:t>
      </w:r>
      <w:proofErr w:type="spellEnd"/>
      <w:r>
        <w:rPr>
          <w:rFonts w:eastAsia="Times New Roman"/>
        </w:rPr>
        <w:t xml:space="preserve"> </w:t>
      </w:r>
      <w:proofErr w:type="spellStart"/>
      <w:r>
        <w:rPr>
          <w:rFonts w:eastAsia="Times New Roman"/>
        </w:rPr>
        <w:t>rond</w:t>
      </w:r>
      <w:proofErr w:type="spellEnd"/>
      <w:r>
        <w:rPr>
          <w:rFonts w:eastAsia="Times New Roman"/>
        </w:rPr>
        <w:t xml:space="preserve"> box 3.</w:t>
      </w:r>
    </w:p>
    <w:p w:rsidRPr="009D6202" w:rsidR="009D6202" w:rsidP="009D6202" w:rsidRDefault="009D6202" w14:paraId="13D191A6" w14:textId="77777777">
      <w:pPr>
        <w:pStyle w:val="Lijstalinea"/>
        <w:numPr>
          <w:ilvl w:val="0"/>
          <w:numId w:val="32"/>
        </w:numPr>
        <w:spacing w:after="0" w:line="252" w:lineRule="auto"/>
        <w:ind w:left="360"/>
        <w:rPr>
          <w:rFonts w:eastAsia="Times New Roman"/>
          <w:lang w:val="nl-NL"/>
        </w:rPr>
      </w:pPr>
      <w:r w:rsidRPr="009D6202">
        <w:rPr>
          <w:rFonts w:eastAsia="Times New Roman"/>
          <w:lang w:val="nl-NL"/>
        </w:rPr>
        <w:t>Toeslagen: Knelpunten en oplossingen in het toeslagenstelsel en opties om hiermee om te gaan.</w:t>
      </w:r>
    </w:p>
    <w:p w:rsidRPr="009D6202" w:rsidR="009D6202" w:rsidP="009D6202" w:rsidRDefault="009D6202" w14:paraId="69CD4BF1" w14:textId="77777777">
      <w:pPr>
        <w:pStyle w:val="Lijstalinea"/>
        <w:numPr>
          <w:ilvl w:val="0"/>
          <w:numId w:val="32"/>
        </w:numPr>
        <w:spacing w:after="0" w:line="252" w:lineRule="auto"/>
        <w:ind w:left="360"/>
        <w:rPr>
          <w:rFonts w:eastAsia="Times New Roman"/>
          <w:lang w:val="nl-NL"/>
        </w:rPr>
      </w:pPr>
      <w:r w:rsidRPr="009D6202">
        <w:rPr>
          <w:rFonts w:eastAsia="Times New Roman"/>
          <w:lang w:val="nl-NL"/>
        </w:rPr>
        <w:t>Vergroening: fiscaal beleid met impact op het klimaat. Verschillende perspectieven op de discussie rond fossiele ‘subsidies’/fiscale regelingen.</w:t>
      </w:r>
    </w:p>
    <w:p w:rsidR="00745D41" w:rsidP="00632A41" w:rsidRDefault="00745D41" w14:paraId="2B0B5AA5" w14:textId="77777777">
      <w:pPr>
        <w:spacing w:after="0" w:line="262" w:lineRule="auto"/>
        <w:rPr>
          <w:lang w:val="nl-NL"/>
        </w:rPr>
      </w:pPr>
    </w:p>
    <w:p w:rsidRPr="000A5B40" w:rsidR="000A5B40" w:rsidP="00632A41" w:rsidRDefault="000A5B40" w14:paraId="36A31B3E" w14:textId="77777777">
      <w:pPr>
        <w:spacing w:after="0" w:line="262" w:lineRule="auto"/>
        <w:rPr>
          <w:lang w:val="nl-NL"/>
        </w:rPr>
      </w:pPr>
      <w:r w:rsidRPr="000A5B40">
        <w:rPr>
          <w:b/>
          <w:lang w:val="nl-NL"/>
        </w:rPr>
        <w:t>DG Belastingdienst</w:t>
      </w:r>
    </w:p>
    <w:p w:rsidR="00017C64" w:rsidP="00017C64" w:rsidRDefault="00017C64" w14:paraId="133BA887" w14:textId="77777777">
      <w:pPr>
        <w:numPr>
          <w:ilvl w:val="0"/>
          <w:numId w:val="36"/>
        </w:numPr>
        <w:tabs>
          <w:tab w:val="num" w:pos="720"/>
        </w:tabs>
        <w:spacing w:after="0" w:line="262" w:lineRule="auto"/>
        <w:rPr>
          <w:lang w:val="nl-NL"/>
        </w:rPr>
      </w:pPr>
      <w:r w:rsidRPr="00E7273E">
        <w:rPr>
          <w:lang w:val="nl-NL"/>
        </w:rPr>
        <w:t xml:space="preserve">Werkbezoek aan de Belastingdienst waarbij de Kamer op interactieve wijze kennismaakt met de dienst en medewerkers in de dagelijkse praktijk. Tijdens het werkbezoek wordt ingegaan op de belangrijkste werkzaamheden van de dienst, zoals ICT, dienstverlening, werving van personeel en handhaving. </w:t>
      </w:r>
    </w:p>
    <w:p w:rsidRPr="00335BA8" w:rsidR="00017C64" w:rsidP="00017C64" w:rsidRDefault="00017C64" w14:paraId="72BCFF35" w14:textId="77777777">
      <w:pPr>
        <w:numPr>
          <w:ilvl w:val="0"/>
          <w:numId w:val="36"/>
        </w:numPr>
        <w:tabs>
          <w:tab w:val="num" w:pos="720"/>
        </w:tabs>
        <w:spacing w:after="0" w:line="262" w:lineRule="auto"/>
        <w:rPr>
          <w:lang w:val="nl-NL"/>
        </w:rPr>
      </w:pPr>
      <w:r w:rsidRPr="00335BA8">
        <w:rPr>
          <w:lang w:val="nl-NL"/>
        </w:rPr>
        <w:t>Werkbezoek Box 3, waarbij inzicht gegeven wordt in de uitvoering van het aanvullend herstel Box 3. Daarbij is er aandacht voor de gevolgen van het herstel voor burgers en de uitvoering door de Belastingdienst. Een ander onderdeel van dit werkbezoek vormt de voorbereidingen die getroffen worden voor de implementatie van een nieuw stelsel op basis van werkelijk rendement.</w:t>
      </w:r>
    </w:p>
    <w:p w:rsidRPr="00E7273E" w:rsidR="00017C64" w:rsidP="00017C64" w:rsidRDefault="00017C64" w14:paraId="57978EFC" w14:textId="77777777">
      <w:pPr>
        <w:numPr>
          <w:ilvl w:val="0"/>
          <w:numId w:val="36"/>
        </w:numPr>
        <w:tabs>
          <w:tab w:val="num" w:pos="720"/>
        </w:tabs>
        <w:spacing w:after="0" w:line="262" w:lineRule="auto"/>
        <w:rPr>
          <w:lang w:val="nl-NL"/>
        </w:rPr>
      </w:pPr>
      <w:r w:rsidRPr="00E7273E">
        <w:rPr>
          <w:lang w:val="nl-NL"/>
        </w:rPr>
        <w:t xml:space="preserve">Werkbezoek aan de Fiscale Inlichtingen- en Opsporingsdienst (FIOD), waarbij onder andere de onderwerpen cryptovaluta, crimineel vermogen en </w:t>
      </w:r>
      <w:proofErr w:type="spellStart"/>
      <w:r w:rsidRPr="00E7273E">
        <w:rPr>
          <w:lang w:val="nl-NL"/>
        </w:rPr>
        <w:t>BTW-fraude</w:t>
      </w:r>
      <w:proofErr w:type="spellEnd"/>
      <w:r w:rsidRPr="00E7273E">
        <w:rPr>
          <w:lang w:val="nl-NL"/>
        </w:rPr>
        <w:t xml:space="preserve"> aan bod komen. </w:t>
      </w:r>
    </w:p>
    <w:p w:rsidRPr="00E7273E" w:rsidR="00017C64" w:rsidP="00017C64" w:rsidRDefault="00017C64" w14:paraId="6C5547C4" w14:textId="77777777">
      <w:pPr>
        <w:numPr>
          <w:ilvl w:val="0"/>
          <w:numId w:val="36"/>
        </w:numPr>
        <w:tabs>
          <w:tab w:val="num" w:pos="720"/>
        </w:tabs>
        <w:spacing w:after="0" w:line="262" w:lineRule="auto"/>
        <w:rPr>
          <w:lang w:val="nl-NL"/>
        </w:rPr>
      </w:pPr>
      <w:r w:rsidRPr="00E7273E">
        <w:rPr>
          <w:lang w:val="nl-NL"/>
        </w:rPr>
        <w:t xml:space="preserve">Werkbezoek aan het Stellateam van de Belastingdienst. Het Stellateam is een vangnet voor mensen met complexe problemen. Dit team is speciaal opgesteld om mensen in urgente schuldsituaties te helpen.   </w:t>
      </w:r>
    </w:p>
    <w:p w:rsidRPr="00E7273E" w:rsidR="00017C64" w:rsidP="00017C64" w:rsidRDefault="00017C64" w14:paraId="1EAF0B76" w14:textId="77777777">
      <w:pPr>
        <w:numPr>
          <w:ilvl w:val="0"/>
          <w:numId w:val="36"/>
        </w:numPr>
        <w:tabs>
          <w:tab w:val="num" w:pos="720"/>
        </w:tabs>
        <w:spacing w:after="0" w:line="262" w:lineRule="auto"/>
        <w:rPr>
          <w:lang w:val="nl-NL"/>
        </w:rPr>
      </w:pPr>
      <w:r w:rsidRPr="00E7273E">
        <w:rPr>
          <w:lang w:val="nl-NL"/>
        </w:rPr>
        <w:t xml:space="preserve">Werkbezoek aan de </w:t>
      </w:r>
      <w:proofErr w:type="spellStart"/>
      <w:r w:rsidRPr="00E7273E">
        <w:rPr>
          <w:lang w:val="nl-NL"/>
        </w:rPr>
        <w:t>BelastingTelefoon</w:t>
      </w:r>
      <w:proofErr w:type="spellEnd"/>
      <w:r w:rsidRPr="00E7273E">
        <w:rPr>
          <w:lang w:val="nl-NL"/>
        </w:rPr>
        <w:t xml:space="preserve">. Jaarlijks wordt de Belastingtelefoon 10 miljoen keer gebeld. De medewerkers van de Belastingtelefoon beantwoorden de vragen van belastingplichtigen en zetten signalen door. Tijdens dit bezoek maken Kamerleden kennis met de werkzaamheden van de </w:t>
      </w:r>
      <w:proofErr w:type="spellStart"/>
      <w:r w:rsidRPr="00E7273E">
        <w:rPr>
          <w:lang w:val="nl-NL"/>
        </w:rPr>
        <w:t>BelastingTelefoon</w:t>
      </w:r>
      <w:proofErr w:type="spellEnd"/>
      <w:r w:rsidRPr="00E7273E">
        <w:rPr>
          <w:lang w:val="nl-NL"/>
        </w:rPr>
        <w:t xml:space="preserve"> en de uitdagingen die daarbij komen kijken. </w:t>
      </w:r>
    </w:p>
    <w:p w:rsidRPr="00E7273E" w:rsidR="00017C64" w:rsidP="00017C64" w:rsidRDefault="00017C64" w14:paraId="3C577F04" w14:textId="77777777">
      <w:pPr>
        <w:numPr>
          <w:ilvl w:val="0"/>
          <w:numId w:val="36"/>
        </w:numPr>
        <w:tabs>
          <w:tab w:val="num" w:pos="720"/>
        </w:tabs>
        <w:spacing w:after="0" w:line="262" w:lineRule="auto"/>
        <w:rPr>
          <w:lang w:val="nl-NL"/>
        </w:rPr>
      </w:pPr>
      <w:r w:rsidRPr="00E7273E">
        <w:rPr>
          <w:lang w:val="nl-NL"/>
        </w:rPr>
        <w:t xml:space="preserve">Werkbezoek aan de directie Informatievoorziening (IV) van de Belastingdienst (in Apeldoorn). Directie IV is verantwoordelijk voor alle (ICT)-systemen van de Belastingdienst. </w:t>
      </w:r>
    </w:p>
    <w:p w:rsidRPr="00E7273E" w:rsidR="00017C64" w:rsidP="00017C64" w:rsidRDefault="00017C64" w14:paraId="03B08B6E" w14:textId="77777777">
      <w:pPr>
        <w:numPr>
          <w:ilvl w:val="0"/>
          <w:numId w:val="36"/>
        </w:numPr>
        <w:tabs>
          <w:tab w:val="num" w:pos="720"/>
        </w:tabs>
        <w:spacing w:after="0" w:line="262" w:lineRule="auto"/>
        <w:rPr>
          <w:lang w:val="nl-NL"/>
        </w:rPr>
      </w:pPr>
      <w:r w:rsidRPr="00E7273E">
        <w:rPr>
          <w:lang w:val="nl-NL"/>
        </w:rPr>
        <w:t xml:space="preserve">Werkbezoek aan ITE-team (Intensief Toezicht en Externe Overheidssamenwerking) van de Belastingdienst, over de aanpak van fiscale fraude waaronder de rol van de Belastingdienst bij georganiseerde, ondermijnende criminaliteit </w:t>
      </w:r>
    </w:p>
    <w:p w:rsidRPr="00E7273E" w:rsidR="00017C64" w:rsidP="00017C64" w:rsidRDefault="00017C64" w14:paraId="26E1BFAC" w14:textId="77777777">
      <w:pPr>
        <w:numPr>
          <w:ilvl w:val="0"/>
          <w:numId w:val="36"/>
        </w:numPr>
        <w:tabs>
          <w:tab w:val="num" w:pos="720"/>
        </w:tabs>
        <w:spacing w:after="0" w:line="262" w:lineRule="auto"/>
        <w:rPr>
          <w:lang w:val="nl-NL"/>
        </w:rPr>
      </w:pPr>
      <w:r w:rsidRPr="00E7273E">
        <w:rPr>
          <w:lang w:val="nl-NL"/>
        </w:rPr>
        <w:t>Werkbezoek aan de directie Grote Ondernemingen (GO), waarbij onder andere de onderwerpen uitvoerings- en handhavingsstrategie GO/individuele klantbehandeling, dividendstripping, verhuld vermogen en internationale activiteiten aan bod komen.</w:t>
      </w:r>
    </w:p>
    <w:p w:rsidRPr="00E7273E" w:rsidR="00017C64" w:rsidP="00017C64" w:rsidRDefault="00017C64" w14:paraId="3D82F29D" w14:textId="77777777">
      <w:pPr>
        <w:numPr>
          <w:ilvl w:val="0"/>
          <w:numId w:val="36"/>
        </w:numPr>
        <w:tabs>
          <w:tab w:val="num" w:pos="720"/>
        </w:tabs>
        <w:spacing w:after="0" w:line="262" w:lineRule="auto"/>
        <w:rPr>
          <w:lang w:val="nl-NL"/>
        </w:rPr>
      </w:pPr>
      <w:r>
        <w:rPr>
          <w:lang w:val="nl-NL"/>
        </w:rPr>
        <w:t xml:space="preserve">Werkbezoek aan </w:t>
      </w:r>
      <w:r w:rsidRPr="00454A99">
        <w:rPr>
          <w:lang w:val="nl-NL"/>
        </w:rPr>
        <w:t xml:space="preserve">Belastingdienst CAP in Apeldoorn over </w:t>
      </w:r>
      <w:r>
        <w:rPr>
          <w:lang w:val="nl-NL"/>
        </w:rPr>
        <w:t xml:space="preserve">o.a. </w:t>
      </w:r>
      <w:r w:rsidRPr="00454A99">
        <w:rPr>
          <w:lang w:val="nl-NL"/>
        </w:rPr>
        <w:t>de belasting van personenauto's en motorrijwielen en de motorrijtuigenbelasting</w:t>
      </w:r>
      <w:r>
        <w:rPr>
          <w:lang w:val="nl-NL"/>
        </w:rPr>
        <w:t>.</w:t>
      </w:r>
    </w:p>
    <w:p w:rsidRPr="00017C64" w:rsidR="00017C64" w:rsidP="00017C64" w:rsidRDefault="00017C64" w14:paraId="7390C0A6" w14:textId="1957FD38">
      <w:pPr>
        <w:numPr>
          <w:ilvl w:val="0"/>
          <w:numId w:val="36"/>
        </w:numPr>
        <w:tabs>
          <w:tab w:val="num" w:pos="720"/>
        </w:tabs>
        <w:spacing w:after="0" w:line="262" w:lineRule="auto"/>
        <w:rPr>
          <w:strike/>
          <w:lang w:val="nl-NL"/>
        </w:rPr>
      </w:pPr>
      <w:r w:rsidRPr="00DC0429">
        <w:rPr>
          <w:lang w:val="nl-NL"/>
        </w:rPr>
        <w:t>Technische briefing over wetsvoorstel Wet onverplichte tegemoetkoming onterechte afwijzing buitengerechtelijke schuldregeling (MSNP). Het wetsvoorstel is op 20 december 2024 aan de TK gestuurd</w:t>
      </w:r>
      <w:r>
        <w:rPr>
          <w:lang w:val="nl-NL"/>
        </w:rPr>
        <w:t xml:space="preserve">. </w:t>
      </w:r>
    </w:p>
    <w:p w:rsidRPr="00E7273E" w:rsidR="002E0BA4" w:rsidP="00632A41" w:rsidRDefault="002E0BA4" w14:paraId="1B4ECE64" w14:textId="5ED5B7EB">
      <w:pPr>
        <w:spacing w:after="0" w:line="262" w:lineRule="auto"/>
        <w:rPr>
          <w:lang w:val="nl-NL"/>
        </w:rPr>
      </w:pPr>
    </w:p>
    <w:p w:rsidRPr="000A5B40" w:rsidR="000A5B40" w:rsidP="00632A41" w:rsidRDefault="000A5B40" w14:paraId="6B0109BE" w14:textId="77777777">
      <w:pPr>
        <w:spacing w:after="0" w:line="262" w:lineRule="auto"/>
        <w:rPr>
          <w:b/>
          <w:lang w:val="nl-NL"/>
        </w:rPr>
      </w:pPr>
      <w:r w:rsidRPr="000A5B40">
        <w:rPr>
          <w:b/>
          <w:lang w:val="nl-NL"/>
        </w:rPr>
        <w:t>DG Douane</w:t>
      </w:r>
    </w:p>
    <w:p w:rsidRPr="00A513A2" w:rsidR="00017C64" w:rsidP="00017C64" w:rsidRDefault="00017C64" w14:paraId="71FBE5F6" w14:textId="77777777">
      <w:pPr>
        <w:numPr>
          <w:ilvl w:val="0"/>
          <w:numId w:val="37"/>
        </w:numPr>
        <w:spacing w:before="100" w:beforeAutospacing="1" w:after="100" w:afterAutospacing="1" w:line="240" w:lineRule="auto"/>
        <w:rPr>
          <w:rFonts w:eastAsia="Times New Roman"/>
          <w:lang w:val="nl-NL"/>
        </w:rPr>
      </w:pPr>
      <w:r w:rsidRPr="00A513A2">
        <w:rPr>
          <w:rFonts w:ascii="Arial" w:hAnsi="Arial" w:eastAsia="Times New Roman" w:cs="Arial"/>
          <w:sz w:val="20"/>
          <w:szCs w:val="20"/>
          <w:lang w:val="nl-NL"/>
        </w:rPr>
        <w:t>Werkbezoek Schiphol: inzicht geven in het proces rondom passagiers en inzicht geven in het proces rondom vracht en e-commerce.</w:t>
      </w:r>
      <w:r w:rsidRPr="00A513A2">
        <w:rPr>
          <w:rFonts w:ascii="Times New Roman" w:hAnsi="Times New Roman" w:eastAsia="Times New Roman" w:cs="Times New Roman"/>
          <w:sz w:val="24"/>
          <w:szCs w:val="24"/>
          <w:lang w:val="nl-NL"/>
        </w:rPr>
        <w:t> </w:t>
      </w:r>
      <w:r w:rsidRPr="00A513A2">
        <w:rPr>
          <w:rFonts w:eastAsia="Times New Roman"/>
          <w:lang w:val="nl-NL"/>
        </w:rPr>
        <w:t xml:space="preserve"> </w:t>
      </w:r>
    </w:p>
    <w:p w:rsidRPr="00A513A2" w:rsidR="00017C64" w:rsidP="00017C64" w:rsidRDefault="00017C64" w14:paraId="67B2128A" w14:textId="77777777">
      <w:pPr>
        <w:numPr>
          <w:ilvl w:val="0"/>
          <w:numId w:val="37"/>
        </w:numPr>
        <w:spacing w:before="100" w:beforeAutospacing="1" w:after="100" w:afterAutospacing="1" w:line="240" w:lineRule="auto"/>
        <w:rPr>
          <w:rFonts w:eastAsia="Times New Roman"/>
          <w:lang w:val="nl-NL"/>
        </w:rPr>
      </w:pPr>
      <w:r w:rsidRPr="00A513A2">
        <w:rPr>
          <w:rFonts w:ascii="Arial" w:hAnsi="Arial" w:eastAsia="Times New Roman" w:cs="Arial"/>
          <w:sz w:val="20"/>
          <w:szCs w:val="20"/>
          <w:lang w:val="nl-NL"/>
        </w:rPr>
        <w:t>Werkbezoek Douane Rotterdam Haven: inzicht geven in de fiscale en niet-fiscale taken (o.a. aanpak ondermijning en toezicht naleving sanctiemaatregelen) van de Douane.</w:t>
      </w:r>
      <w:r w:rsidRPr="00A513A2">
        <w:rPr>
          <w:rFonts w:ascii="Times New Roman" w:hAnsi="Times New Roman" w:eastAsia="Times New Roman" w:cs="Times New Roman"/>
          <w:sz w:val="24"/>
          <w:szCs w:val="24"/>
          <w:lang w:val="nl-NL"/>
        </w:rPr>
        <w:t> </w:t>
      </w:r>
      <w:r w:rsidRPr="00A513A2">
        <w:rPr>
          <w:rFonts w:eastAsia="Times New Roman"/>
          <w:lang w:val="nl-NL"/>
        </w:rPr>
        <w:t xml:space="preserve"> </w:t>
      </w:r>
    </w:p>
    <w:p w:rsidRPr="00A513A2" w:rsidR="00017C64" w:rsidP="00017C64" w:rsidRDefault="00017C64" w14:paraId="357E21DC" w14:textId="77777777">
      <w:pPr>
        <w:numPr>
          <w:ilvl w:val="0"/>
          <w:numId w:val="37"/>
        </w:numPr>
        <w:spacing w:before="100" w:beforeAutospacing="1" w:after="100" w:afterAutospacing="1" w:line="240" w:lineRule="auto"/>
        <w:rPr>
          <w:rFonts w:eastAsia="Times New Roman"/>
          <w:lang w:val="nl-NL"/>
        </w:rPr>
      </w:pPr>
      <w:r w:rsidRPr="00A513A2">
        <w:rPr>
          <w:rFonts w:ascii="Arial" w:hAnsi="Arial" w:eastAsia="Times New Roman" w:cs="Arial"/>
          <w:sz w:val="20"/>
          <w:szCs w:val="20"/>
          <w:lang w:val="nl-NL"/>
        </w:rPr>
        <w:t xml:space="preserve">Werkbezoek IT Douane/ Dienstverlening &amp; Beheer (Apeldoorn): inzicht in uitdagingen rondom continuïteit van processen en systemen </w:t>
      </w:r>
    </w:p>
    <w:p w:rsidRPr="00A513A2" w:rsidR="00017C64" w:rsidP="00017C64" w:rsidRDefault="00017C64" w14:paraId="42E5B3B6" w14:textId="77777777">
      <w:pPr>
        <w:numPr>
          <w:ilvl w:val="0"/>
          <w:numId w:val="37"/>
        </w:numPr>
        <w:spacing w:before="100" w:beforeAutospacing="1" w:after="100" w:afterAutospacing="1" w:line="240" w:lineRule="auto"/>
        <w:rPr>
          <w:rFonts w:eastAsia="Times New Roman"/>
          <w:lang w:val="nl-NL"/>
        </w:rPr>
      </w:pPr>
      <w:r w:rsidRPr="00A513A2">
        <w:rPr>
          <w:rFonts w:ascii="Arial" w:hAnsi="Arial" w:eastAsia="Times New Roman" w:cs="Arial"/>
          <w:sz w:val="20"/>
          <w:szCs w:val="20"/>
          <w:lang w:val="nl-NL"/>
        </w:rPr>
        <w:t xml:space="preserve">Werkbezoek Douane Breda/ haven Vlissingen: inzicht in werkzaamheden van bulkhaven Vlissingen en uitdagingen in het werkgebied Westerschelde </w:t>
      </w:r>
    </w:p>
    <w:p w:rsidRPr="00541E80" w:rsidR="00017C64" w:rsidP="00017C64" w:rsidRDefault="00017C64" w14:paraId="58E8B1DA" w14:textId="77777777">
      <w:pPr>
        <w:pStyle w:val="Lijstalinea"/>
        <w:spacing w:line="256" w:lineRule="auto"/>
        <w:ind w:left="360"/>
        <w:rPr>
          <w:lang w:val="nl-NL"/>
        </w:rPr>
      </w:pPr>
    </w:p>
    <w:p w:rsidRPr="008B5F77" w:rsidR="008B5F77" w:rsidP="008B5F77" w:rsidRDefault="008B5F77" w14:paraId="00586956" w14:textId="77777777">
      <w:pPr>
        <w:autoSpaceDE w:val="0"/>
        <w:autoSpaceDN w:val="0"/>
        <w:adjustRightInd w:val="0"/>
        <w:spacing w:after="0" w:line="262" w:lineRule="auto"/>
        <w:rPr>
          <w:szCs w:val="18"/>
          <w:lang w:val="nl-NL"/>
        </w:rPr>
      </w:pPr>
      <w:r w:rsidRPr="008B5F77">
        <w:rPr>
          <w:b/>
          <w:bCs/>
          <w:szCs w:val="18"/>
          <w:lang w:val="nl-NL"/>
        </w:rPr>
        <w:t>DG Toeslagen</w:t>
      </w:r>
    </w:p>
    <w:p w:rsidRPr="006D1CBC" w:rsidR="00645D9E" w:rsidP="006D1CBC" w:rsidRDefault="00645D9E" w14:paraId="3FE2368D" w14:textId="61928CB3">
      <w:pPr>
        <w:pStyle w:val="Lijstalinea"/>
        <w:numPr>
          <w:ilvl w:val="0"/>
          <w:numId w:val="37"/>
        </w:numPr>
        <w:autoSpaceDE w:val="0"/>
        <w:autoSpaceDN w:val="0"/>
        <w:spacing w:after="0" w:line="252" w:lineRule="auto"/>
        <w:rPr>
          <w:rFonts w:eastAsia="Times New Roman"/>
          <w:lang w:val="nl-NL"/>
        </w:rPr>
      </w:pPr>
      <w:r w:rsidRPr="00645D9E">
        <w:rPr>
          <w:rFonts w:eastAsia="Times New Roman"/>
          <w:lang w:val="nl-NL"/>
        </w:rPr>
        <w:t xml:space="preserve">Technische briefing over de werking van het huidige stelsel, potentiële verbeteringen, kansen binnen het huidige stelsel, en uitdagingen IV portfolio. </w:t>
      </w:r>
    </w:p>
    <w:p w:rsidRPr="008B5F77" w:rsidR="008B5F77" w:rsidP="008B5F77" w:rsidRDefault="008B5F77" w14:paraId="6A4864B2" w14:textId="77777777">
      <w:pPr>
        <w:autoSpaceDE w:val="0"/>
        <w:autoSpaceDN w:val="0"/>
        <w:adjustRightInd w:val="0"/>
        <w:spacing w:after="0" w:line="262" w:lineRule="auto"/>
        <w:rPr>
          <w:szCs w:val="18"/>
          <w:lang w:val="nl-NL"/>
        </w:rPr>
      </w:pPr>
    </w:p>
    <w:p w:rsidRPr="008B5F77" w:rsidR="008B5F77" w:rsidP="008B5F77" w:rsidRDefault="008B5F77" w14:paraId="764BE9B6" w14:textId="77777777">
      <w:pPr>
        <w:autoSpaceDE w:val="0"/>
        <w:autoSpaceDN w:val="0"/>
        <w:adjustRightInd w:val="0"/>
        <w:spacing w:after="0" w:line="262" w:lineRule="auto"/>
        <w:rPr>
          <w:b/>
          <w:bCs/>
          <w:szCs w:val="18"/>
          <w:lang w:val="nl-NL"/>
        </w:rPr>
      </w:pPr>
      <w:r w:rsidRPr="008B5F77">
        <w:rPr>
          <w:b/>
          <w:bCs/>
          <w:szCs w:val="18"/>
          <w:lang w:val="nl-NL"/>
        </w:rPr>
        <w:t>DG Herstel</w:t>
      </w:r>
    </w:p>
    <w:p w:rsidR="008B5F77" w:rsidP="008B5F77" w:rsidRDefault="008B5F77" w14:paraId="34C9510A" w14:textId="51F3DF7A">
      <w:pPr>
        <w:pStyle w:val="Lijstalinea"/>
        <w:numPr>
          <w:ilvl w:val="0"/>
          <w:numId w:val="37"/>
        </w:numPr>
        <w:autoSpaceDE w:val="0"/>
        <w:autoSpaceDN w:val="0"/>
        <w:adjustRightInd w:val="0"/>
        <w:spacing w:after="0" w:line="262" w:lineRule="auto"/>
        <w:rPr>
          <w:szCs w:val="18"/>
          <w:lang w:val="nl-NL"/>
        </w:rPr>
      </w:pPr>
      <w:r w:rsidRPr="008B5F77">
        <w:rPr>
          <w:szCs w:val="18"/>
          <w:lang w:val="nl-NL"/>
        </w:rPr>
        <w:t xml:space="preserve">Werkbezoek aan verschillende uitvoerders herstelregelingen, waaronder </w:t>
      </w:r>
      <w:r w:rsidR="006D1CBC">
        <w:rPr>
          <w:szCs w:val="18"/>
          <w:lang w:val="nl-NL"/>
        </w:rPr>
        <w:t>SGH, BAC, CWS.</w:t>
      </w:r>
    </w:p>
    <w:p w:rsidRPr="006D1CBC" w:rsidR="006D1CBC" w:rsidP="006D1CBC" w:rsidRDefault="006D1CBC" w14:paraId="2259C6F9" w14:textId="72ADD72A">
      <w:pPr>
        <w:pStyle w:val="Lijstalinea"/>
        <w:numPr>
          <w:ilvl w:val="0"/>
          <w:numId w:val="37"/>
        </w:numPr>
        <w:autoSpaceDE w:val="0"/>
        <w:autoSpaceDN w:val="0"/>
        <w:spacing w:after="0" w:line="252" w:lineRule="auto"/>
        <w:rPr>
          <w:rFonts w:eastAsia="Times New Roman"/>
          <w:lang w:val="nl-NL"/>
        </w:rPr>
      </w:pPr>
      <w:r w:rsidRPr="00645D9E">
        <w:rPr>
          <w:rFonts w:eastAsia="Times New Roman"/>
          <w:lang w:val="nl-NL"/>
        </w:rPr>
        <w:t xml:space="preserve">Een werkbezoek aan UHT, met toelichting op de organisatie en processen, met de nadruk op informatie over de werkwijzen rondom dossiers en bezwaren. </w:t>
      </w:r>
    </w:p>
    <w:p w:rsidRPr="008B5F77" w:rsidR="00F2743D" w:rsidP="008B5F77" w:rsidRDefault="00F2743D" w14:paraId="30915AB0" w14:textId="3564C93E">
      <w:pPr>
        <w:pStyle w:val="Lijstalinea"/>
        <w:numPr>
          <w:ilvl w:val="0"/>
          <w:numId w:val="37"/>
        </w:numPr>
        <w:autoSpaceDE w:val="0"/>
        <w:autoSpaceDN w:val="0"/>
        <w:adjustRightInd w:val="0"/>
        <w:spacing w:after="0" w:line="262" w:lineRule="auto"/>
        <w:rPr>
          <w:szCs w:val="18"/>
          <w:lang w:val="nl-NL"/>
        </w:rPr>
      </w:pPr>
      <w:r>
        <w:rPr>
          <w:szCs w:val="18"/>
          <w:lang w:val="nl-NL"/>
        </w:rPr>
        <w:t xml:space="preserve">De staatssecretaris van Financiën – Herstel en Toeslagen heeft aangegeven dat er mogelijk een technische briefing georganiseerd kan worden door de Commissie van Dam over hun adviezen. </w:t>
      </w:r>
    </w:p>
    <w:p w:rsidR="008B5F77" w:rsidP="00632A41" w:rsidRDefault="008B5F77" w14:paraId="7A996E32" w14:textId="6B255E09">
      <w:pPr>
        <w:autoSpaceDE w:val="0"/>
        <w:autoSpaceDN w:val="0"/>
        <w:adjustRightInd w:val="0"/>
        <w:spacing w:after="0" w:line="262" w:lineRule="auto"/>
        <w:rPr>
          <w:szCs w:val="18"/>
          <w:lang w:val="nl-NL"/>
        </w:rPr>
      </w:pPr>
    </w:p>
    <w:p w:rsidR="008B5F77" w:rsidP="00632A41" w:rsidRDefault="008B5F77" w14:paraId="13957270" w14:textId="6753ED34">
      <w:pPr>
        <w:autoSpaceDE w:val="0"/>
        <w:autoSpaceDN w:val="0"/>
        <w:adjustRightInd w:val="0"/>
        <w:spacing w:after="0" w:line="262" w:lineRule="auto"/>
        <w:rPr>
          <w:szCs w:val="18"/>
          <w:lang w:val="nl-NL"/>
        </w:rPr>
      </w:pPr>
    </w:p>
    <w:p w:rsidRPr="00675EFA" w:rsidR="008B5F77" w:rsidP="00632A41" w:rsidRDefault="008B5F77" w14:paraId="19BFDEC7" w14:textId="77777777">
      <w:pPr>
        <w:autoSpaceDE w:val="0"/>
        <w:autoSpaceDN w:val="0"/>
        <w:adjustRightInd w:val="0"/>
        <w:spacing w:after="0" w:line="262" w:lineRule="auto"/>
        <w:rPr>
          <w:szCs w:val="18"/>
          <w:lang w:val="nl-NL"/>
        </w:rPr>
      </w:pPr>
    </w:p>
    <w:sectPr w:rsidRPr="00675EFA" w:rsidR="008B5F77" w:rsidSect="00504AB8">
      <w:pgSz w:w="11907" w:h="16840" w:code="9"/>
      <w:pgMar w:top="1440" w:right="1440" w:bottom="1135"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1B695" w14:textId="77777777" w:rsidR="00CC6FC8" w:rsidRDefault="00CC6FC8" w:rsidP="00632A41">
      <w:pPr>
        <w:spacing w:after="0" w:line="240" w:lineRule="auto"/>
      </w:pPr>
      <w:r>
        <w:separator/>
      </w:r>
    </w:p>
  </w:endnote>
  <w:endnote w:type="continuationSeparator" w:id="0">
    <w:p w14:paraId="765FFB6D" w14:textId="77777777" w:rsidR="00CC6FC8" w:rsidRDefault="00CC6FC8" w:rsidP="00632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jksoverheidSansText">
    <w:charset w:val="00"/>
    <w:family w:val="swiss"/>
    <w:pitch w:val="variable"/>
    <w:sig w:usb0="00000087" w:usb1="00000001"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5D9CF" w14:textId="77777777" w:rsidR="00CC6FC8" w:rsidRDefault="00CC6FC8" w:rsidP="00632A41">
      <w:pPr>
        <w:spacing w:after="0" w:line="240" w:lineRule="auto"/>
      </w:pPr>
      <w:r>
        <w:separator/>
      </w:r>
    </w:p>
  </w:footnote>
  <w:footnote w:type="continuationSeparator" w:id="0">
    <w:p w14:paraId="0EA3EE36" w14:textId="77777777" w:rsidR="00CC6FC8" w:rsidRDefault="00CC6FC8" w:rsidP="00632A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E1EF3"/>
    <w:multiLevelType w:val="hybridMultilevel"/>
    <w:tmpl w:val="1F707324"/>
    <w:lvl w:ilvl="0" w:tplc="E1A4E874">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99E2204"/>
    <w:multiLevelType w:val="hybridMultilevel"/>
    <w:tmpl w:val="3E1AC82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F2A6477"/>
    <w:multiLevelType w:val="multilevel"/>
    <w:tmpl w:val="D3C85A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2F40FD"/>
    <w:multiLevelType w:val="hybridMultilevel"/>
    <w:tmpl w:val="72267F1A"/>
    <w:lvl w:ilvl="0" w:tplc="04130001">
      <w:start w:val="1"/>
      <w:numFmt w:val="bullet"/>
      <w:lvlText w:val=""/>
      <w:lvlJc w:val="left"/>
      <w:pPr>
        <w:ind w:left="720" w:hanging="360"/>
      </w:pPr>
      <w:rPr>
        <w:rFonts w:ascii="Symbol" w:hAnsi="Symbol" w:hint="default"/>
      </w:rPr>
    </w:lvl>
    <w:lvl w:ilvl="1" w:tplc="B080A47E">
      <w:numFmt w:val="bullet"/>
      <w:lvlText w:val="-"/>
      <w:lvlJc w:val="left"/>
      <w:pPr>
        <w:ind w:left="1800" w:hanging="720"/>
      </w:pPr>
      <w:rPr>
        <w:rFonts w:ascii="Verdana" w:eastAsiaTheme="minorHAnsi" w:hAnsi="Verdana"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D4C302F"/>
    <w:multiLevelType w:val="hybridMultilevel"/>
    <w:tmpl w:val="4CC6D6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4C31519"/>
    <w:multiLevelType w:val="hybridMultilevel"/>
    <w:tmpl w:val="1FD82C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67936EC"/>
    <w:multiLevelType w:val="multilevel"/>
    <w:tmpl w:val="605AD2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0D5B08"/>
    <w:multiLevelType w:val="hybridMultilevel"/>
    <w:tmpl w:val="92DA2D6E"/>
    <w:lvl w:ilvl="0" w:tplc="06901672">
      <w:numFmt w:val="bullet"/>
      <w:lvlText w:val="-"/>
      <w:lvlJc w:val="left"/>
      <w:pPr>
        <w:ind w:left="360" w:hanging="360"/>
      </w:pPr>
      <w:rPr>
        <w:rFonts w:ascii="Verdana" w:eastAsia="Calibri" w:hAnsi="Verdana"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15:restartNumberingAfterBreak="0">
    <w:nsid w:val="32941C8B"/>
    <w:multiLevelType w:val="hybridMultilevel"/>
    <w:tmpl w:val="3DB2447A"/>
    <w:lvl w:ilvl="0" w:tplc="A7A60ACA">
      <w:numFmt w:val="bullet"/>
      <w:lvlText w:val="-"/>
      <w:lvlJc w:val="left"/>
      <w:pPr>
        <w:ind w:left="720" w:hanging="360"/>
      </w:pPr>
      <w:rPr>
        <w:rFonts w:ascii="Verdana" w:eastAsia="Times New Roman" w:hAnsi="Verdana" w:cs="Verdan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356F2877"/>
    <w:multiLevelType w:val="hybridMultilevel"/>
    <w:tmpl w:val="303277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E434598"/>
    <w:multiLevelType w:val="hybridMultilevel"/>
    <w:tmpl w:val="37D2C1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EB03149"/>
    <w:multiLevelType w:val="hybridMultilevel"/>
    <w:tmpl w:val="23DE873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2" w15:restartNumberingAfterBreak="0">
    <w:nsid w:val="3F1A7EF9"/>
    <w:multiLevelType w:val="hybridMultilevel"/>
    <w:tmpl w:val="C8B098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F5C7E68"/>
    <w:multiLevelType w:val="multilevel"/>
    <w:tmpl w:val="677C88A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46C52717"/>
    <w:multiLevelType w:val="hybridMultilevel"/>
    <w:tmpl w:val="8842E89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5" w15:restartNumberingAfterBreak="0">
    <w:nsid w:val="4E0B477F"/>
    <w:multiLevelType w:val="hybridMultilevel"/>
    <w:tmpl w:val="FEC43ABC"/>
    <w:lvl w:ilvl="0" w:tplc="0330C9C4">
      <w:numFmt w:val="bullet"/>
      <w:lvlText w:val="-"/>
      <w:lvlJc w:val="left"/>
      <w:pPr>
        <w:ind w:left="1080" w:hanging="72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E2C2F39"/>
    <w:multiLevelType w:val="hybridMultilevel"/>
    <w:tmpl w:val="9B8276A0"/>
    <w:lvl w:ilvl="0" w:tplc="32DEE1C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FC164CD"/>
    <w:multiLevelType w:val="hybridMultilevel"/>
    <w:tmpl w:val="940C0F18"/>
    <w:lvl w:ilvl="0" w:tplc="F3B05A9C">
      <w:start w:val="1"/>
      <w:numFmt w:val="bullet"/>
      <w:lvlText w:val=""/>
      <w:lvlJc w:val="left"/>
      <w:pPr>
        <w:ind w:left="340" w:hanging="34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503B1DF2"/>
    <w:multiLevelType w:val="hybridMultilevel"/>
    <w:tmpl w:val="17FEE4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3E124F1"/>
    <w:multiLevelType w:val="hybridMultilevel"/>
    <w:tmpl w:val="F11444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4435A5B"/>
    <w:multiLevelType w:val="hybridMultilevel"/>
    <w:tmpl w:val="4D1EC5EA"/>
    <w:lvl w:ilvl="0" w:tplc="E1A4E874">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54550F83"/>
    <w:multiLevelType w:val="hybridMultilevel"/>
    <w:tmpl w:val="4328C1CE"/>
    <w:lvl w:ilvl="0" w:tplc="8F983FA0">
      <w:numFmt w:val="bullet"/>
      <w:lvlText w:val="-"/>
      <w:lvlJc w:val="left"/>
      <w:pPr>
        <w:ind w:left="720" w:hanging="360"/>
      </w:pPr>
      <w:rPr>
        <w:rFonts w:ascii="Verdana" w:eastAsiaTheme="minorHAnsi" w:hAnsi="Verdana" w:cs="RijksoverheidSansText"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5A9B25E8"/>
    <w:multiLevelType w:val="hybridMultilevel"/>
    <w:tmpl w:val="D6EE1062"/>
    <w:lvl w:ilvl="0" w:tplc="0330C9C4">
      <w:numFmt w:val="bullet"/>
      <w:lvlText w:val="-"/>
      <w:lvlJc w:val="left"/>
      <w:pPr>
        <w:ind w:left="1080" w:hanging="72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DE84C92"/>
    <w:multiLevelType w:val="hybridMultilevel"/>
    <w:tmpl w:val="8EC47BF8"/>
    <w:lvl w:ilvl="0" w:tplc="8F983FA0">
      <w:numFmt w:val="bullet"/>
      <w:lvlText w:val="-"/>
      <w:lvlJc w:val="left"/>
      <w:pPr>
        <w:ind w:left="360" w:hanging="360"/>
      </w:pPr>
      <w:rPr>
        <w:rFonts w:ascii="Verdana" w:eastAsiaTheme="minorHAnsi" w:hAnsi="Verdana" w:cs="RijksoverheidSansText"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5F9A6FD6"/>
    <w:multiLevelType w:val="hybridMultilevel"/>
    <w:tmpl w:val="FE76A840"/>
    <w:lvl w:ilvl="0" w:tplc="85989274">
      <w:start w:val="1"/>
      <w:numFmt w:val="bullet"/>
      <w:lvlText w:val="-"/>
      <w:lvlJc w:val="left"/>
      <w:pPr>
        <w:ind w:left="360" w:hanging="360"/>
      </w:pPr>
      <w:rPr>
        <w:rFonts w:ascii="Verdana" w:eastAsia="Calibri"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5" w15:restartNumberingAfterBreak="0">
    <w:nsid w:val="61233A2B"/>
    <w:multiLevelType w:val="multilevel"/>
    <w:tmpl w:val="63B6A7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5F95E67"/>
    <w:multiLevelType w:val="hybridMultilevel"/>
    <w:tmpl w:val="D408B68E"/>
    <w:lvl w:ilvl="0" w:tplc="E1A4E874">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BAE4DEE"/>
    <w:multiLevelType w:val="hybridMultilevel"/>
    <w:tmpl w:val="C234C194"/>
    <w:lvl w:ilvl="0" w:tplc="F3B05A9C">
      <w:start w:val="1"/>
      <w:numFmt w:val="bullet"/>
      <w:lvlText w:val=""/>
      <w:lvlJc w:val="left"/>
      <w:pPr>
        <w:ind w:left="340" w:hanging="34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70814471"/>
    <w:multiLevelType w:val="hybridMultilevel"/>
    <w:tmpl w:val="D8DE65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725B6D1B"/>
    <w:multiLevelType w:val="hybridMultilevel"/>
    <w:tmpl w:val="03447F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742C0392"/>
    <w:multiLevelType w:val="hybridMultilevel"/>
    <w:tmpl w:val="57223266"/>
    <w:lvl w:ilvl="0" w:tplc="F3B05A9C">
      <w:start w:val="1"/>
      <w:numFmt w:val="bullet"/>
      <w:lvlText w:val=""/>
      <w:lvlJc w:val="left"/>
      <w:pPr>
        <w:ind w:left="340" w:hanging="34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791C760D"/>
    <w:multiLevelType w:val="hybridMultilevel"/>
    <w:tmpl w:val="E4C4EA1C"/>
    <w:lvl w:ilvl="0" w:tplc="EB663BD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9DD5A93"/>
    <w:multiLevelType w:val="hybridMultilevel"/>
    <w:tmpl w:val="E8B05D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3" w15:restartNumberingAfterBreak="0">
    <w:nsid w:val="7BF4197B"/>
    <w:multiLevelType w:val="hybridMultilevel"/>
    <w:tmpl w:val="4A8E9A5C"/>
    <w:lvl w:ilvl="0" w:tplc="E1A4E874">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4" w15:restartNumberingAfterBreak="0">
    <w:nsid w:val="7E84697D"/>
    <w:multiLevelType w:val="hybridMultilevel"/>
    <w:tmpl w:val="60D8DE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433088843">
    <w:abstractNumId w:val="16"/>
  </w:num>
  <w:num w:numId="2" w16cid:durableId="1305507507">
    <w:abstractNumId w:val="7"/>
  </w:num>
  <w:num w:numId="3" w16cid:durableId="396124563">
    <w:abstractNumId w:val="3"/>
  </w:num>
  <w:num w:numId="4" w16cid:durableId="1988705240">
    <w:abstractNumId w:val="10"/>
  </w:num>
  <w:num w:numId="5" w16cid:durableId="1976256077">
    <w:abstractNumId w:val="15"/>
  </w:num>
  <w:num w:numId="6" w16cid:durableId="1055082691">
    <w:abstractNumId w:val="22"/>
  </w:num>
  <w:num w:numId="7" w16cid:durableId="697658413">
    <w:abstractNumId w:val="31"/>
  </w:num>
  <w:num w:numId="8" w16cid:durableId="195392472">
    <w:abstractNumId w:val="19"/>
  </w:num>
  <w:num w:numId="9" w16cid:durableId="1078478042">
    <w:abstractNumId w:val="26"/>
  </w:num>
  <w:num w:numId="10" w16cid:durableId="813909855">
    <w:abstractNumId w:val="33"/>
  </w:num>
  <w:num w:numId="11" w16cid:durableId="1498879852">
    <w:abstractNumId w:val="0"/>
  </w:num>
  <w:num w:numId="12" w16cid:durableId="977345649">
    <w:abstractNumId w:val="20"/>
  </w:num>
  <w:num w:numId="13" w16cid:durableId="14112699">
    <w:abstractNumId w:val="0"/>
  </w:num>
  <w:num w:numId="14" w16cid:durableId="1293633470">
    <w:abstractNumId w:val="18"/>
  </w:num>
  <w:num w:numId="15" w16cid:durableId="1364554905">
    <w:abstractNumId w:val="32"/>
  </w:num>
  <w:num w:numId="16" w16cid:durableId="1903444060">
    <w:abstractNumId w:val="5"/>
  </w:num>
  <w:num w:numId="17" w16cid:durableId="1706516945">
    <w:abstractNumId w:val="4"/>
  </w:num>
  <w:num w:numId="18" w16cid:durableId="587277576">
    <w:abstractNumId w:val="21"/>
  </w:num>
  <w:num w:numId="19" w16cid:durableId="486677986">
    <w:abstractNumId w:val="23"/>
  </w:num>
  <w:num w:numId="20" w16cid:durableId="804006080">
    <w:abstractNumId w:val="28"/>
  </w:num>
  <w:num w:numId="21" w16cid:durableId="260381915">
    <w:abstractNumId w:val="8"/>
  </w:num>
  <w:num w:numId="22" w16cid:durableId="134959398">
    <w:abstractNumId w:val="30"/>
  </w:num>
  <w:num w:numId="23" w16cid:durableId="62532312">
    <w:abstractNumId w:val="27"/>
  </w:num>
  <w:num w:numId="24" w16cid:durableId="1521973904">
    <w:abstractNumId w:val="17"/>
  </w:num>
  <w:num w:numId="25" w16cid:durableId="1956866745">
    <w:abstractNumId w:val="28"/>
  </w:num>
  <w:num w:numId="26" w16cid:durableId="1179657136">
    <w:abstractNumId w:val="4"/>
  </w:num>
  <w:num w:numId="27" w16cid:durableId="109279194">
    <w:abstractNumId w:val="6"/>
  </w:num>
  <w:num w:numId="28" w16cid:durableId="28651413">
    <w:abstractNumId w:val="2"/>
  </w:num>
  <w:num w:numId="29" w16cid:durableId="1093823752">
    <w:abstractNumId w:val="1"/>
  </w:num>
  <w:num w:numId="30" w16cid:durableId="126170761">
    <w:abstractNumId w:val="4"/>
  </w:num>
  <w:num w:numId="31" w16cid:durableId="1067728866">
    <w:abstractNumId w:val="34"/>
  </w:num>
  <w:num w:numId="32" w16cid:durableId="1289169661">
    <w:abstractNumId w:val="5"/>
  </w:num>
  <w:num w:numId="33" w16cid:durableId="1307392742">
    <w:abstractNumId w:val="12"/>
  </w:num>
  <w:num w:numId="34" w16cid:durableId="1227452534">
    <w:abstractNumId w:val="9"/>
  </w:num>
  <w:num w:numId="35" w16cid:durableId="1843083360">
    <w:abstractNumId w:val="29"/>
  </w:num>
  <w:num w:numId="36" w16cid:durableId="1141577872">
    <w:abstractNumId w:val="13"/>
  </w:num>
  <w:num w:numId="37" w16cid:durableId="839735686">
    <w:abstractNumId w:val="11"/>
  </w:num>
  <w:num w:numId="38" w16cid:durableId="107312542">
    <w:abstractNumId w:val="24"/>
  </w:num>
  <w:num w:numId="39" w16cid:durableId="1034766875">
    <w:abstractNumId w:val="34"/>
  </w:num>
  <w:num w:numId="40" w16cid:durableId="1403597351">
    <w:abstractNumId w:val="25"/>
  </w:num>
  <w:num w:numId="41" w16cid:durableId="1787307009">
    <w:abstractNumId w:val="11"/>
  </w:num>
  <w:num w:numId="42" w16cid:durableId="13386590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64" w:dllVersion="6" w:nlCheck="1" w:checkStyle="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B40"/>
    <w:rsid w:val="00017C64"/>
    <w:rsid w:val="00024AA9"/>
    <w:rsid w:val="00065A86"/>
    <w:rsid w:val="000778FB"/>
    <w:rsid w:val="000A5B40"/>
    <w:rsid w:val="000C66DE"/>
    <w:rsid w:val="000C6916"/>
    <w:rsid w:val="000F315C"/>
    <w:rsid w:val="001104A9"/>
    <w:rsid w:val="001129A2"/>
    <w:rsid w:val="00133D79"/>
    <w:rsid w:val="00144F23"/>
    <w:rsid w:val="00145AA4"/>
    <w:rsid w:val="00153184"/>
    <w:rsid w:val="00154DCC"/>
    <w:rsid w:val="00173929"/>
    <w:rsid w:val="00193D3A"/>
    <w:rsid w:val="001D2528"/>
    <w:rsid w:val="001E6A24"/>
    <w:rsid w:val="001F5707"/>
    <w:rsid w:val="00226B0E"/>
    <w:rsid w:val="00270E02"/>
    <w:rsid w:val="00282077"/>
    <w:rsid w:val="002C483C"/>
    <w:rsid w:val="002E0BA4"/>
    <w:rsid w:val="002E1867"/>
    <w:rsid w:val="00307939"/>
    <w:rsid w:val="00324A73"/>
    <w:rsid w:val="003A429F"/>
    <w:rsid w:val="003F16B1"/>
    <w:rsid w:val="00431A49"/>
    <w:rsid w:val="00454A99"/>
    <w:rsid w:val="00466DD2"/>
    <w:rsid w:val="00475BDA"/>
    <w:rsid w:val="004A478A"/>
    <w:rsid w:val="004B4DCC"/>
    <w:rsid w:val="004E5CDA"/>
    <w:rsid w:val="00501872"/>
    <w:rsid w:val="00504AB8"/>
    <w:rsid w:val="005109F1"/>
    <w:rsid w:val="00537F26"/>
    <w:rsid w:val="00541E80"/>
    <w:rsid w:val="00552F5F"/>
    <w:rsid w:val="00576488"/>
    <w:rsid w:val="00581F90"/>
    <w:rsid w:val="0058352F"/>
    <w:rsid w:val="005858C6"/>
    <w:rsid w:val="005E2502"/>
    <w:rsid w:val="00611B4E"/>
    <w:rsid w:val="00632A41"/>
    <w:rsid w:val="00636259"/>
    <w:rsid w:val="006440D4"/>
    <w:rsid w:val="00645D9E"/>
    <w:rsid w:val="00675EFA"/>
    <w:rsid w:val="006D1CBC"/>
    <w:rsid w:val="0071571F"/>
    <w:rsid w:val="007427C2"/>
    <w:rsid w:val="00744849"/>
    <w:rsid w:val="00745D41"/>
    <w:rsid w:val="007C6090"/>
    <w:rsid w:val="007C61C4"/>
    <w:rsid w:val="007D1100"/>
    <w:rsid w:val="008B5F77"/>
    <w:rsid w:val="008C1BC1"/>
    <w:rsid w:val="0090673F"/>
    <w:rsid w:val="00962FE5"/>
    <w:rsid w:val="00980393"/>
    <w:rsid w:val="00987FC9"/>
    <w:rsid w:val="009A3363"/>
    <w:rsid w:val="009D6202"/>
    <w:rsid w:val="00A50F30"/>
    <w:rsid w:val="00A67B20"/>
    <w:rsid w:val="00A9703D"/>
    <w:rsid w:val="00B06701"/>
    <w:rsid w:val="00B422B8"/>
    <w:rsid w:val="00B93FF5"/>
    <w:rsid w:val="00BD2FA9"/>
    <w:rsid w:val="00CB05F7"/>
    <w:rsid w:val="00CC6FC8"/>
    <w:rsid w:val="00CC738F"/>
    <w:rsid w:val="00D0081E"/>
    <w:rsid w:val="00D318B5"/>
    <w:rsid w:val="00D43786"/>
    <w:rsid w:val="00D47F2E"/>
    <w:rsid w:val="00DE1226"/>
    <w:rsid w:val="00E019D9"/>
    <w:rsid w:val="00E50935"/>
    <w:rsid w:val="00E7273E"/>
    <w:rsid w:val="00E83C6F"/>
    <w:rsid w:val="00E95712"/>
    <w:rsid w:val="00EA0765"/>
    <w:rsid w:val="00F04B02"/>
    <w:rsid w:val="00F14997"/>
    <w:rsid w:val="00F2743D"/>
    <w:rsid w:val="00F5665B"/>
    <w:rsid w:val="00F670BD"/>
    <w:rsid w:val="00F80359"/>
    <w:rsid w:val="00F82767"/>
    <w:rsid w:val="00FC6381"/>
    <w:rsid w:val="00FF2683"/>
    <w:rsid w:val="00FF2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D0A66"/>
  <w15:chartTrackingRefBased/>
  <w15:docId w15:val="{69646817-7A17-4802-BBC1-7AEA2A9DA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A5B40"/>
  </w:style>
  <w:style w:type="paragraph" w:styleId="Kop1">
    <w:name w:val="heading 1"/>
    <w:basedOn w:val="Standaard"/>
    <w:next w:val="Standaard"/>
    <w:link w:val="Kop1Char"/>
    <w:uiPriority w:val="9"/>
    <w:qFormat/>
    <w:rsid w:val="000A5B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A5B40"/>
    <w:rPr>
      <w:rFonts w:asciiTheme="majorHAnsi" w:eastAsiaTheme="majorEastAsia" w:hAnsiTheme="majorHAnsi" w:cstheme="majorBidi"/>
      <w:color w:val="2E74B5" w:themeColor="accent1" w:themeShade="BF"/>
      <w:sz w:val="32"/>
      <w:szCs w:val="32"/>
    </w:rPr>
  </w:style>
  <w:style w:type="paragraph" w:styleId="Lijstalinea">
    <w:name w:val="List Paragraph"/>
    <w:basedOn w:val="Standaard"/>
    <w:uiPriority w:val="34"/>
    <w:qFormat/>
    <w:rsid w:val="000A5B40"/>
    <w:pPr>
      <w:ind w:left="720"/>
      <w:contextualSpacing/>
    </w:pPr>
  </w:style>
  <w:style w:type="character" w:styleId="Hyperlink">
    <w:name w:val="Hyperlink"/>
    <w:basedOn w:val="Standaardalinea-lettertype"/>
    <w:uiPriority w:val="99"/>
    <w:unhideWhenUsed/>
    <w:rsid w:val="000A5B40"/>
    <w:rPr>
      <w:color w:val="0563C1"/>
      <w:u w:val="single"/>
    </w:rPr>
  </w:style>
  <w:style w:type="paragraph" w:styleId="Ballontekst">
    <w:name w:val="Balloon Text"/>
    <w:basedOn w:val="Standaard"/>
    <w:link w:val="BallontekstChar"/>
    <w:uiPriority w:val="99"/>
    <w:semiHidden/>
    <w:unhideWhenUsed/>
    <w:rsid w:val="005109F1"/>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5109F1"/>
    <w:rPr>
      <w:rFonts w:ascii="Segoe UI" w:hAnsi="Segoe UI" w:cs="Segoe UI"/>
      <w:szCs w:val="18"/>
    </w:rPr>
  </w:style>
  <w:style w:type="character" w:styleId="Verwijzingopmerking">
    <w:name w:val="annotation reference"/>
    <w:basedOn w:val="Standaardalinea-lettertype"/>
    <w:uiPriority w:val="99"/>
    <w:semiHidden/>
    <w:unhideWhenUsed/>
    <w:rsid w:val="00FC6381"/>
    <w:rPr>
      <w:sz w:val="16"/>
      <w:szCs w:val="16"/>
    </w:rPr>
  </w:style>
  <w:style w:type="paragraph" w:styleId="Tekstopmerking">
    <w:name w:val="annotation text"/>
    <w:basedOn w:val="Standaard"/>
    <w:link w:val="TekstopmerkingChar"/>
    <w:uiPriority w:val="99"/>
    <w:semiHidden/>
    <w:unhideWhenUsed/>
    <w:rsid w:val="00FC638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C6381"/>
    <w:rPr>
      <w:sz w:val="20"/>
      <w:szCs w:val="20"/>
    </w:rPr>
  </w:style>
  <w:style w:type="paragraph" w:styleId="Onderwerpvanopmerking">
    <w:name w:val="annotation subject"/>
    <w:basedOn w:val="Tekstopmerking"/>
    <w:next w:val="Tekstopmerking"/>
    <w:link w:val="OnderwerpvanopmerkingChar"/>
    <w:uiPriority w:val="99"/>
    <w:semiHidden/>
    <w:unhideWhenUsed/>
    <w:rsid w:val="00FC6381"/>
    <w:rPr>
      <w:b/>
      <w:bCs/>
    </w:rPr>
  </w:style>
  <w:style w:type="character" w:customStyle="1" w:styleId="OnderwerpvanopmerkingChar">
    <w:name w:val="Onderwerp van opmerking Char"/>
    <w:basedOn w:val="TekstopmerkingChar"/>
    <w:link w:val="Onderwerpvanopmerking"/>
    <w:uiPriority w:val="99"/>
    <w:semiHidden/>
    <w:rsid w:val="00FC6381"/>
    <w:rPr>
      <w:b/>
      <w:bCs/>
      <w:sz w:val="20"/>
      <w:szCs w:val="20"/>
    </w:rPr>
  </w:style>
  <w:style w:type="paragraph" w:customStyle="1" w:styleId="Default">
    <w:name w:val="Default"/>
    <w:basedOn w:val="Standaard"/>
    <w:rsid w:val="00CC738F"/>
    <w:pPr>
      <w:autoSpaceDE w:val="0"/>
      <w:autoSpaceDN w:val="0"/>
      <w:spacing w:after="0" w:line="240" w:lineRule="auto"/>
    </w:pPr>
    <w:rPr>
      <w:rFonts w:cs="Times New Roman"/>
      <w:color w:val="000000"/>
      <w:sz w:val="24"/>
      <w:szCs w:val="24"/>
      <w:lang w:val="nl-NL" w:eastAsia="nl-NL"/>
    </w:rPr>
  </w:style>
  <w:style w:type="paragraph" w:styleId="Geenafstand">
    <w:name w:val="No Spacing"/>
    <w:uiPriority w:val="1"/>
    <w:qFormat/>
    <w:rsid w:val="00675EFA"/>
    <w:pPr>
      <w:spacing w:after="0" w:line="240" w:lineRule="auto"/>
    </w:pPr>
  </w:style>
  <w:style w:type="character" w:styleId="Onopgelostemelding">
    <w:name w:val="Unresolved Mention"/>
    <w:basedOn w:val="Standaardalinea-lettertype"/>
    <w:uiPriority w:val="99"/>
    <w:semiHidden/>
    <w:unhideWhenUsed/>
    <w:rsid w:val="00EA0765"/>
    <w:rPr>
      <w:color w:val="605E5C"/>
      <w:shd w:val="clear" w:color="auto" w:fill="E1DFDD"/>
    </w:rPr>
  </w:style>
  <w:style w:type="paragraph" w:styleId="Revisie">
    <w:name w:val="Revision"/>
    <w:hidden/>
    <w:uiPriority w:val="99"/>
    <w:semiHidden/>
    <w:rsid w:val="007C61C4"/>
    <w:pPr>
      <w:spacing w:after="0" w:line="240" w:lineRule="auto"/>
    </w:pPr>
  </w:style>
  <w:style w:type="character" w:styleId="GevolgdeHyperlink">
    <w:name w:val="FollowedHyperlink"/>
    <w:basedOn w:val="Standaardalinea-lettertype"/>
    <w:uiPriority w:val="99"/>
    <w:semiHidden/>
    <w:unhideWhenUsed/>
    <w:rsid w:val="002820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9605">
      <w:bodyDiv w:val="1"/>
      <w:marLeft w:val="0"/>
      <w:marRight w:val="0"/>
      <w:marTop w:val="0"/>
      <w:marBottom w:val="0"/>
      <w:divBdr>
        <w:top w:val="none" w:sz="0" w:space="0" w:color="auto"/>
        <w:left w:val="none" w:sz="0" w:space="0" w:color="auto"/>
        <w:bottom w:val="none" w:sz="0" w:space="0" w:color="auto"/>
        <w:right w:val="none" w:sz="0" w:space="0" w:color="auto"/>
      </w:divBdr>
    </w:div>
    <w:div w:id="536939822">
      <w:bodyDiv w:val="1"/>
      <w:marLeft w:val="0"/>
      <w:marRight w:val="0"/>
      <w:marTop w:val="0"/>
      <w:marBottom w:val="0"/>
      <w:divBdr>
        <w:top w:val="none" w:sz="0" w:space="0" w:color="auto"/>
        <w:left w:val="none" w:sz="0" w:space="0" w:color="auto"/>
        <w:bottom w:val="none" w:sz="0" w:space="0" w:color="auto"/>
        <w:right w:val="none" w:sz="0" w:space="0" w:color="auto"/>
      </w:divBdr>
    </w:div>
    <w:div w:id="552932901">
      <w:bodyDiv w:val="1"/>
      <w:marLeft w:val="0"/>
      <w:marRight w:val="0"/>
      <w:marTop w:val="0"/>
      <w:marBottom w:val="0"/>
      <w:divBdr>
        <w:top w:val="none" w:sz="0" w:space="0" w:color="auto"/>
        <w:left w:val="none" w:sz="0" w:space="0" w:color="auto"/>
        <w:bottom w:val="none" w:sz="0" w:space="0" w:color="auto"/>
        <w:right w:val="none" w:sz="0" w:space="0" w:color="auto"/>
      </w:divBdr>
    </w:div>
    <w:div w:id="631447758">
      <w:bodyDiv w:val="1"/>
      <w:marLeft w:val="0"/>
      <w:marRight w:val="0"/>
      <w:marTop w:val="0"/>
      <w:marBottom w:val="0"/>
      <w:divBdr>
        <w:top w:val="none" w:sz="0" w:space="0" w:color="auto"/>
        <w:left w:val="none" w:sz="0" w:space="0" w:color="auto"/>
        <w:bottom w:val="none" w:sz="0" w:space="0" w:color="auto"/>
        <w:right w:val="none" w:sz="0" w:space="0" w:color="auto"/>
      </w:divBdr>
    </w:div>
    <w:div w:id="698046651">
      <w:bodyDiv w:val="1"/>
      <w:marLeft w:val="0"/>
      <w:marRight w:val="0"/>
      <w:marTop w:val="0"/>
      <w:marBottom w:val="0"/>
      <w:divBdr>
        <w:top w:val="none" w:sz="0" w:space="0" w:color="auto"/>
        <w:left w:val="none" w:sz="0" w:space="0" w:color="auto"/>
        <w:bottom w:val="none" w:sz="0" w:space="0" w:color="auto"/>
        <w:right w:val="none" w:sz="0" w:space="0" w:color="auto"/>
      </w:divBdr>
    </w:div>
    <w:div w:id="717319739">
      <w:bodyDiv w:val="1"/>
      <w:marLeft w:val="0"/>
      <w:marRight w:val="0"/>
      <w:marTop w:val="0"/>
      <w:marBottom w:val="0"/>
      <w:divBdr>
        <w:top w:val="none" w:sz="0" w:space="0" w:color="auto"/>
        <w:left w:val="none" w:sz="0" w:space="0" w:color="auto"/>
        <w:bottom w:val="none" w:sz="0" w:space="0" w:color="auto"/>
        <w:right w:val="none" w:sz="0" w:space="0" w:color="auto"/>
      </w:divBdr>
    </w:div>
    <w:div w:id="771978194">
      <w:bodyDiv w:val="1"/>
      <w:marLeft w:val="0"/>
      <w:marRight w:val="0"/>
      <w:marTop w:val="0"/>
      <w:marBottom w:val="0"/>
      <w:divBdr>
        <w:top w:val="none" w:sz="0" w:space="0" w:color="auto"/>
        <w:left w:val="none" w:sz="0" w:space="0" w:color="auto"/>
        <w:bottom w:val="none" w:sz="0" w:space="0" w:color="auto"/>
        <w:right w:val="none" w:sz="0" w:space="0" w:color="auto"/>
      </w:divBdr>
    </w:div>
    <w:div w:id="825361749">
      <w:bodyDiv w:val="1"/>
      <w:marLeft w:val="0"/>
      <w:marRight w:val="0"/>
      <w:marTop w:val="0"/>
      <w:marBottom w:val="0"/>
      <w:divBdr>
        <w:top w:val="none" w:sz="0" w:space="0" w:color="auto"/>
        <w:left w:val="none" w:sz="0" w:space="0" w:color="auto"/>
        <w:bottom w:val="none" w:sz="0" w:space="0" w:color="auto"/>
        <w:right w:val="none" w:sz="0" w:space="0" w:color="auto"/>
      </w:divBdr>
    </w:div>
    <w:div w:id="901525834">
      <w:bodyDiv w:val="1"/>
      <w:marLeft w:val="0"/>
      <w:marRight w:val="0"/>
      <w:marTop w:val="0"/>
      <w:marBottom w:val="0"/>
      <w:divBdr>
        <w:top w:val="none" w:sz="0" w:space="0" w:color="auto"/>
        <w:left w:val="none" w:sz="0" w:space="0" w:color="auto"/>
        <w:bottom w:val="none" w:sz="0" w:space="0" w:color="auto"/>
        <w:right w:val="none" w:sz="0" w:space="0" w:color="auto"/>
      </w:divBdr>
    </w:div>
    <w:div w:id="956179261">
      <w:bodyDiv w:val="1"/>
      <w:marLeft w:val="0"/>
      <w:marRight w:val="0"/>
      <w:marTop w:val="0"/>
      <w:marBottom w:val="0"/>
      <w:divBdr>
        <w:top w:val="none" w:sz="0" w:space="0" w:color="auto"/>
        <w:left w:val="none" w:sz="0" w:space="0" w:color="auto"/>
        <w:bottom w:val="none" w:sz="0" w:space="0" w:color="auto"/>
        <w:right w:val="none" w:sz="0" w:space="0" w:color="auto"/>
      </w:divBdr>
    </w:div>
    <w:div w:id="1173029400">
      <w:bodyDiv w:val="1"/>
      <w:marLeft w:val="0"/>
      <w:marRight w:val="0"/>
      <w:marTop w:val="0"/>
      <w:marBottom w:val="0"/>
      <w:divBdr>
        <w:top w:val="none" w:sz="0" w:space="0" w:color="auto"/>
        <w:left w:val="none" w:sz="0" w:space="0" w:color="auto"/>
        <w:bottom w:val="none" w:sz="0" w:space="0" w:color="auto"/>
        <w:right w:val="none" w:sz="0" w:space="0" w:color="auto"/>
      </w:divBdr>
    </w:div>
    <w:div w:id="1241675967">
      <w:bodyDiv w:val="1"/>
      <w:marLeft w:val="0"/>
      <w:marRight w:val="0"/>
      <w:marTop w:val="0"/>
      <w:marBottom w:val="0"/>
      <w:divBdr>
        <w:top w:val="none" w:sz="0" w:space="0" w:color="auto"/>
        <w:left w:val="none" w:sz="0" w:space="0" w:color="auto"/>
        <w:bottom w:val="none" w:sz="0" w:space="0" w:color="auto"/>
        <w:right w:val="none" w:sz="0" w:space="0" w:color="auto"/>
      </w:divBdr>
    </w:div>
    <w:div w:id="1361122232">
      <w:bodyDiv w:val="1"/>
      <w:marLeft w:val="0"/>
      <w:marRight w:val="0"/>
      <w:marTop w:val="0"/>
      <w:marBottom w:val="0"/>
      <w:divBdr>
        <w:top w:val="none" w:sz="0" w:space="0" w:color="auto"/>
        <w:left w:val="none" w:sz="0" w:space="0" w:color="auto"/>
        <w:bottom w:val="none" w:sz="0" w:space="0" w:color="auto"/>
        <w:right w:val="none" w:sz="0" w:space="0" w:color="auto"/>
      </w:divBdr>
    </w:div>
    <w:div w:id="1443189167">
      <w:bodyDiv w:val="1"/>
      <w:marLeft w:val="0"/>
      <w:marRight w:val="0"/>
      <w:marTop w:val="0"/>
      <w:marBottom w:val="0"/>
      <w:divBdr>
        <w:top w:val="none" w:sz="0" w:space="0" w:color="auto"/>
        <w:left w:val="none" w:sz="0" w:space="0" w:color="auto"/>
        <w:bottom w:val="none" w:sz="0" w:space="0" w:color="auto"/>
        <w:right w:val="none" w:sz="0" w:space="0" w:color="auto"/>
      </w:divBdr>
    </w:div>
    <w:div w:id="1689021920">
      <w:bodyDiv w:val="1"/>
      <w:marLeft w:val="0"/>
      <w:marRight w:val="0"/>
      <w:marTop w:val="0"/>
      <w:marBottom w:val="0"/>
      <w:divBdr>
        <w:top w:val="none" w:sz="0" w:space="0" w:color="auto"/>
        <w:left w:val="none" w:sz="0" w:space="0" w:color="auto"/>
        <w:bottom w:val="none" w:sz="0" w:space="0" w:color="auto"/>
        <w:right w:val="none" w:sz="0" w:space="0" w:color="auto"/>
      </w:divBdr>
    </w:div>
    <w:div w:id="1829204958">
      <w:bodyDiv w:val="1"/>
      <w:marLeft w:val="0"/>
      <w:marRight w:val="0"/>
      <w:marTop w:val="0"/>
      <w:marBottom w:val="0"/>
      <w:divBdr>
        <w:top w:val="none" w:sz="0" w:space="0" w:color="auto"/>
        <w:left w:val="none" w:sz="0" w:space="0" w:color="auto"/>
        <w:bottom w:val="none" w:sz="0" w:space="0" w:color="auto"/>
        <w:right w:val="none" w:sz="0" w:space="0" w:color="auto"/>
      </w:divBdr>
    </w:div>
    <w:div w:id="1912424546">
      <w:bodyDiv w:val="1"/>
      <w:marLeft w:val="0"/>
      <w:marRight w:val="0"/>
      <w:marTop w:val="0"/>
      <w:marBottom w:val="0"/>
      <w:divBdr>
        <w:top w:val="none" w:sz="0" w:space="0" w:color="auto"/>
        <w:left w:val="none" w:sz="0" w:space="0" w:color="auto"/>
        <w:bottom w:val="none" w:sz="0" w:space="0" w:color="auto"/>
        <w:right w:val="none" w:sz="0" w:space="0" w:color="auto"/>
      </w:divBdr>
    </w:div>
    <w:div w:id="1993175152">
      <w:bodyDiv w:val="1"/>
      <w:marLeft w:val="0"/>
      <w:marRight w:val="0"/>
      <w:marTop w:val="0"/>
      <w:marBottom w:val="0"/>
      <w:divBdr>
        <w:top w:val="none" w:sz="0" w:space="0" w:color="auto"/>
        <w:left w:val="none" w:sz="0" w:space="0" w:color="auto"/>
        <w:bottom w:val="none" w:sz="0" w:space="0" w:color="auto"/>
        <w:right w:val="none" w:sz="0" w:space="0" w:color="auto"/>
      </w:divBdr>
    </w:div>
    <w:div w:id="2029520446">
      <w:bodyDiv w:val="1"/>
      <w:marLeft w:val="0"/>
      <w:marRight w:val="0"/>
      <w:marTop w:val="0"/>
      <w:marBottom w:val="0"/>
      <w:divBdr>
        <w:top w:val="none" w:sz="0" w:space="0" w:color="auto"/>
        <w:left w:val="none" w:sz="0" w:space="0" w:color="auto"/>
        <w:bottom w:val="none" w:sz="0" w:space="0" w:color="auto"/>
        <w:right w:val="none" w:sz="0" w:space="0" w:color="auto"/>
      </w:divBdr>
    </w:div>
    <w:div w:id="2086956653">
      <w:bodyDiv w:val="1"/>
      <w:marLeft w:val="0"/>
      <w:marRight w:val="0"/>
      <w:marTop w:val="0"/>
      <w:marBottom w:val="0"/>
      <w:divBdr>
        <w:top w:val="none" w:sz="0" w:space="0" w:color="auto"/>
        <w:left w:val="none" w:sz="0" w:space="0" w:color="auto"/>
        <w:bottom w:val="none" w:sz="0" w:space="0" w:color="auto"/>
        <w:right w:val="none" w:sz="0" w:space="0" w:color="auto"/>
      </w:divBdr>
    </w:div>
    <w:div w:id="213578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jksoverheid.nl/documenten/rapporten/2023/09/22/evaluatie-comptabiliteitswet-2016" TargetMode="External"/><Relationship Id="rId3" Type="http://schemas.openxmlformats.org/officeDocument/2006/relationships/settings" Target="settings.xml"/><Relationship Id="rId7" Type="http://schemas.openxmlformats.org/officeDocument/2006/relationships/hyperlink" Target="http://www.rijksfinancien.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1318</ap:Words>
  <ap:Characters>7252</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2025-01-29T15:29:00.0000000Z</dcterms:created>
  <dcterms:modified xsi:type="dcterms:W3CDTF">2025-01-29T15:29:00.0000000Z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e3eac-4767-4d29-949e-d809b1160d11_Enabled">
    <vt:lpwstr>true</vt:lpwstr>
  </property>
  <property fmtid="{D5CDD505-2E9C-101B-9397-08002B2CF9AE}" pid="3" name="MSIP_Label_112e3eac-4767-4d29-949e-d809b1160d11_SetDate">
    <vt:lpwstr>2023-12-06T12:45:41Z</vt:lpwstr>
  </property>
  <property fmtid="{D5CDD505-2E9C-101B-9397-08002B2CF9AE}" pid="4" name="MSIP_Label_112e3eac-4767-4d29-949e-d809b1160d11_Method">
    <vt:lpwstr>Standard</vt:lpwstr>
  </property>
  <property fmtid="{D5CDD505-2E9C-101B-9397-08002B2CF9AE}" pid="5" name="MSIP_Label_112e3eac-4767-4d29-949e-d809b1160d11_Name">
    <vt:lpwstr>Rijksoverheid (SGC)</vt:lpwstr>
  </property>
  <property fmtid="{D5CDD505-2E9C-101B-9397-08002B2CF9AE}" pid="6" name="MSIP_Label_112e3eac-4767-4d29-949e-d809b1160d11_SiteId">
    <vt:lpwstr>84712536-f524-40a0-913b-5d25ba502732</vt:lpwstr>
  </property>
  <property fmtid="{D5CDD505-2E9C-101B-9397-08002B2CF9AE}" pid="7" name="MSIP_Label_112e3eac-4767-4d29-949e-d809b1160d11_ActionId">
    <vt:lpwstr>2c687be4-af55-4cbb-b1d9-211742035c2f</vt:lpwstr>
  </property>
  <property fmtid="{D5CDD505-2E9C-101B-9397-08002B2CF9AE}" pid="8" name="MSIP_Label_112e3eac-4767-4d29-949e-d809b1160d11_ContentBits">
    <vt:lpwstr>0</vt:lpwstr>
  </property>
</Properties>
</file>