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dgm="http://schemas.openxmlformats.org/drawingml/2006/diagra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6865992"/>
        <w:docPartObj>
          <w:docPartGallery w:val="Cover Pages"/>
          <w:docPartUnique/>
        </w:docPartObj>
      </w:sdtPr>
      <w:sdtEndPr>
        <w:rPr>
          <w:rFonts w:cs="Arial"/>
          <w:szCs w:val="18"/>
        </w:rPr>
      </w:sdtEndPr>
      <w:sdtContent>
        <w:tbl>
          <w:tblPr>
            <w:tblW w:w="5000" w:type="pct"/>
            <w:jc w:val="center"/>
            <w:tblLook w:val="04A0" w:firstRow="1" w:lastRow="0" w:firstColumn="1" w:lastColumn="0" w:noHBand="0" w:noVBand="1"/>
          </w:tblPr>
          <w:tblGrid>
            <w:gridCol w:w="9070"/>
          </w:tblGrid>
          <w:tr w:rsidRPr="000D09A4" w:rsidR="003F4CA9" w:rsidTr="00EC1566" w14:paraId="7D4B4A18" w14:textId="77777777">
            <w:trPr>
              <w:trHeight w:val="2880"/>
              <w:tblHeader/>
              <w:jc w:val="center"/>
            </w:trPr>
            <w:tc>
              <w:tcPr>
                <w:tcW w:w="5000" w:type="pct"/>
              </w:tcPr>
              <w:p w:rsidRPr="000D09A4" w:rsidR="003F4CA9" w:rsidP="007E1E5F" w:rsidRDefault="003F4CA9" w14:paraId="0640C17B" w14:textId="6186EC27">
                <w:pPr>
                  <w:pStyle w:val="Geenafstand"/>
                  <w:spacing w:line="260" w:lineRule="exact"/>
                </w:pPr>
              </w:p>
            </w:tc>
          </w:tr>
          <w:tr w:rsidRPr="000D09A4" w:rsidR="003F4CA9" w:rsidTr="00B33C92" w14:paraId="1449CD1B" w14:textId="77777777">
            <w:trPr>
              <w:trHeight w:val="1440"/>
              <w:jc w:val="center"/>
            </w:trPr>
            <w:sdt>
              <w:sdtPr>
                <w:rPr>
                  <w:rFonts w:eastAsia="Times New Roman" w:cs="Arial"/>
                  <w:color w:val="1F497D" w:themeColor="text2"/>
                  <w:sz w:val="28"/>
                  <w:szCs w:val="28"/>
                  <w:lang w:eastAsia="nl-NL"/>
                </w:rPr>
                <w:alias w:val="Titel"/>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color="4F81BD" w:themeColor="accent1" w:sz="4" w:space="0"/>
                    </w:tcBorders>
                    <w:vAlign w:val="center"/>
                  </w:tcPr>
                  <w:p w:rsidRPr="000D09A4" w:rsidR="003F4CA9" w:rsidP="00A03642" w:rsidRDefault="00E5336D" w14:paraId="4C6686AF" w14:textId="77777777">
                    <w:pPr>
                      <w:pStyle w:val="Geenafstand"/>
                      <w:spacing w:line="260" w:lineRule="exact"/>
                      <w:jc w:val="center"/>
                      <w:rPr>
                        <w:rFonts w:eastAsiaTheme="majorEastAsia" w:cstheme="majorBidi"/>
                        <w:sz w:val="24"/>
                        <w:szCs w:val="24"/>
                      </w:rPr>
                    </w:pPr>
                    <w:r w:rsidRPr="000D09A4">
                      <w:rPr>
                        <w:rFonts w:eastAsia="Times New Roman" w:cs="Arial"/>
                        <w:color w:val="1F497D" w:themeColor="text2"/>
                        <w:sz w:val="28"/>
                        <w:szCs w:val="28"/>
                        <w:lang w:eastAsia="nl-NL"/>
                      </w:rPr>
                      <w:t>T</w:t>
                    </w:r>
                    <w:r w:rsidRPr="000D09A4" w:rsidR="005C6DD1">
                      <w:rPr>
                        <w:rFonts w:eastAsia="Times New Roman" w:cs="Arial"/>
                        <w:color w:val="1F497D" w:themeColor="text2"/>
                        <w:sz w:val="28"/>
                        <w:szCs w:val="28"/>
                        <w:lang w:eastAsia="nl-NL"/>
                      </w:rPr>
                      <w:t>oezicht op a</w:t>
                    </w:r>
                    <w:r w:rsidRPr="000D09A4" w:rsidR="003F4CA9">
                      <w:rPr>
                        <w:rFonts w:eastAsia="Times New Roman" w:cs="Arial"/>
                        <w:color w:val="1F497D" w:themeColor="text2"/>
                        <w:sz w:val="28"/>
                        <w:szCs w:val="28"/>
                        <w:lang w:eastAsia="nl-NL"/>
                      </w:rPr>
                      <w:t>fstand</w:t>
                    </w:r>
                  </w:p>
                </w:tc>
              </w:sdtContent>
            </w:sdt>
          </w:tr>
          <w:tr w:rsidRPr="000D09A4" w:rsidR="003F4CA9" w:rsidTr="00B33C92" w14:paraId="4A87320B" w14:textId="77777777">
            <w:trPr>
              <w:trHeight w:val="720"/>
              <w:jc w:val="center"/>
            </w:trPr>
            <w:tc>
              <w:tcPr>
                <w:tcW w:w="5000" w:type="pct"/>
                <w:tcBorders>
                  <w:top w:val="single" w:color="4F81BD" w:themeColor="accent1" w:sz="4" w:space="0"/>
                </w:tcBorders>
                <w:vAlign w:val="center"/>
              </w:tcPr>
              <w:p w:rsidRPr="000D09A4" w:rsidR="003F4CA9" w:rsidP="00CD45A6" w:rsidRDefault="009B3444" w14:paraId="6E4E3D01" w14:textId="68FCABFC">
                <w:pPr>
                  <w:pStyle w:val="Geenafstand"/>
                  <w:spacing w:line="260" w:lineRule="exact"/>
                  <w:jc w:val="center"/>
                  <w:rPr>
                    <w:rFonts w:eastAsiaTheme="majorEastAsia" w:cstheme="majorBidi"/>
                    <w:szCs w:val="18"/>
                  </w:rPr>
                </w:pPr>
                <w:sdt>
                  <w:sdtPr>
                    <w:rPr>
                      <w:rFonts w:eastAsia="Times New Roman" w:cs="Arial"/>
                      <w:i/>
                      <w:color w:val="1F497D" w:themeColor="text2"/>
                      <w:szCs w:val="18"/>
                      <w:lang w:eastAsia="nl-NL"/>
                    </w:rPr>
                    <w:alias w:val="Ondertitel"/>
                    <w:id w:val="15524255"/>
                    <w:dataBinding w:prefixMappings="xmlns:ns0='http://schemas.openxmlformats.org/package/2006/metadata/core-properties' xmlns:ns1='http://purl.org/dc/elements/1.1/'" w:xpath="/ns0:coreProperties[1]/ns1:subject[1]" w:storeItemID="{6C3C8BC8-F283-45AE-878A-BAB7291924A1}"/>
                    <w:text/>
                  </w:sdtPr>
                  <w:sdtEndPr/>
                  <w:sdtContent>
                    <w:r w:rsidRPr="000D09A4" w:rsidR="00CD45A6">
                      <w:rPr>
                        <w:rFonts w:eastAsia="Times New Roman" w:cs="Arial"/>
                        <w:i/>
                        <w:color w:val="1F497D" w:themeColor="text2"/>
                        <w:szCs w:val="18"/>
                        <w:lang w:eastAsia="nl-NL"/>
                      </w:rPr>
                      <w:t>De relatie tussen de minister van Financiën en de zelfstandige bestuursorganen De Nederlandsche Bank (DNB) en de Autoriteit Financiële Markten (AFM)</w:t>
                    </w:r>
                  </w:sdtContent>
                </w:sdt>
              </w:p>
            </w:tc>
          </w:tr>
          <w:tr w:rsidRPr="000D09A4" w:rsidR="003F4CA9" w:rsidTr="00B33C92" w14:paraId="39A2F9AC" w14:textId="77777777">
            <w:trPr>
              <w:trHeight w:val="360"/>
              <w:jc w:val="center"/>
            </w:trPr>
            <w:tc>
              <w:tcPr>
                <w:tcW w:w="5000" w:type="pct"/>
                <w:vAlign w:val="center"/>
              </w:tcPr>
              <w:p w:rsidRPr="000D09A4" w:rsidR="003F4CA9" w:rsidP="000E0E4B" w:rsidRDefault="003F4CA9" w14:paraId="3F97B261" w14:textId="77777777">
                <w:pPr>
                  <w:pStyle w:val="Geenafstand"/>
                  <w:spacing w:line="260" w:lineRule="exact"/>
                  <w:rPr>
                    <w:szCs w:val="18"/>
                  </w:rPr>
                </w:pPr>
              </w:p>
            </w:tc>
          </w:tr>
          <w:tr w:rsidRPr="000D09A4" w:rsidR="003F4CA9" w:rsidTr="00B33C92" w14:paraId="0C3073E6" w14:textId="77777777">
            <w:trPr>
              <w:trHeight w:val="360"/>
              <w:jc w:val="center"/>
            </w:trPr>
            <w:tc>
              <w:tcPr>
                <w:tcW w:w="5000" w:type="pct"/>
                <w:vAlign w:val="center"/>
              </w:tcPr>
              <w:p w:rsidRPr="000D09A4" w:rsidR="003F4CA9" w:rsidP="007606F7" w:rsidRDefault="003F4CA9" w14:paraId="3D3D238D" w14:textId="31BA8F8F">
                <w:pPr>
                  <w:pStyle w:val="Geenafstand"/>
                  <w:spacing w:line="260" w:lineRule="exact"/>
                  <w:jc w:val="center"/>
                  <w:rPr>
                    <w:b/>
                    <w:bCs/>
                    <w:szCs w:val="18"/>
                  </w:rPr>
                </w:pPr>
              </w:p>
              <w:p w:rsidRPr="000D09A4" w:rsidR="00DE0AFD" w:rsidP="00127A06" w:rsidRDefault="00DE0AFD" w14:paraId="0286D5BB" w14:textId="1C6AB3EF">
                <w:pPr>
                  <w:pStyle w:val="Geenafstand"/>
                  <w:spacing w:line="260" w:lineRule="exact"/>
                  <w:rPr>
                    <w:b/>
                    <w:bCs/>
                    <w:szCs w:val="18"/>
                  </w:rPr>
                </w:pPr>
              </w:p>
              <w:p w:rsidRPr="000D09A4" w:rsidR="00DE0AFD" w:rsidP="007606F7" w:rsidRDefault="00DE0AFD" w14:paraId="7819ED31" w14:textId="77777777">
                <w:pPr>
                  <w:pStyle w:val="Geenafstand"/>
                  <w:spacing w:line="260" w:lineRule="exact"/>
                  <w:jc w:val="center"/>
                  <w:rPr>
                    <w:b/>
                    <w:bCs/>
                    <w:szCs w:val="18"/>
                  </w:rPr>
                </w:pPr>
              </w:p>
              <w:p w:rsidRPr="000D09A4" w:rsidR="00DE0AFD" w:rsidP="007606F7" w:rsidRDefault="00DE0AFD" w14:paraId="3A840149" w14:textId="77777777">
                <w:pPr>
                  <w:pStyle w:val="Geenafstand"/>
                  <w:spacing w:line="260" w:lineRule="exact"/>
                  <w:jc w:val="center"/>
                  <w:rPr>
                    <w:b/>
                    <w:bCs/>
                    <w:szCs w:val="18"/>
                  </w:rPr>
                </w:pPr>
              </w:p>
              <w:p w:rsidRPr="000D09A4" w:rsidR="00DE0AFD" w:rsidP="007606F7" w:rsidRDefault="00DE0AFD" w14:paraId="1EA4370A" w14:textId="77777777">
                <w:pPr>
                  <w:pStyle w:val="Geenafstand"/>
                  <w:spacing w:line="260" w:lineRule="exact"/>
                  <w:jc w:val="center"/>
                  <w:rPr>
                    <w:b/>
                    <w:bCs/>
                    <w:szCs w:val="18"/>
                  </w:rPr>
                </w:pPr>
              </w:p>
              <w:p w:rsidRPr="000D09A4" w:rsidR="00DE0AFD" w:rsidP="007606F7" w:rsidRDefault="00DE0AFD" w14:paraId="5FB1B5B4" w14:textId="77777777">
                <w:pPr>
                  <w:pStyle w:val="Geenafstand"/>
                  <w:spacing w:line="260" w:lineRule="exact"/>
                  <w:jc w:val="center"/>
                  <w:rPr>
                    <w:b/>
                    <w:bCs/>
                    <w:szCs w:val="18"/>
                  </w:rPr>
                </w:pPr>
              </w:p>
              <w:p w:rsidRPr="000D09A4" w:rsidR="00DE0AFD" w:rsidP="007606F7" w:rsidRDefault="00DE0AFD" w14:paraId="453208A3" w14:textId="77777777">
                <w:pPr>
                  <w:pStyle w:val="Geenafstand"/>
                  <w:spacing w:line="260" w:lineRule="exact"/>
                  <w:jc w:val="center"/>
                  <w:rPr>
                    <w:b/>
                    <w:bCs/>
                    <w:szCs w:val="18"/>
                  </w:rPr>
                </w:pPr>
              </w:p>
              <w:p w:rsidRPr="000D09A4" w:rsidR="00DE0AFD" w:rsidP="007606F7" w:rsidRDefault="00DE0AFD" w14:paraId="3A9391EF" w14:textId="77777777">
                <w:pPr>
                  <w:pStyle w:val="Geenafstand"/>
                  <w:spacing w:line="260" w:lineRule="exact"/>
                  <w:jc w:val="center"/>
                  <w:rPr>
                    <w:b/>
                    <w:bCs/>
                    <w:szCs w:val="18"/>
                  </w:rPr>
                </w:pPr>
              </w:p>
              <w:p w:rsidRPr="000D09A4" w:rsidR="00DE0AFD" w:rsidP="007606F7" w:rsidRDefault="00DE0AFD" w14:paraId="5284373E" w14:textId="77777777">
                <w:pPr>
                  <w:pStyle w:val="Geenafstand"/>
                  <w:spacing w:line="260" w:lineRule="exact"/>
                  <w:jc w:val="center"/>
                  <w:rPr>
                    <w:b/>
                    <w:bCs/>
                    <w:szCs w:val="18"/>
                  </w:rPr>
                </w:pPr>
              </w:p>
              <w:p w:rsidRPr="000D09A4" w:rsidR="00DE0AFD" w:rsidP="007606F7" w:rsidRDefault="00DE0AFD" w14:paraId="2AA30790" w14:textId="77777777">
                <w:pPr>
                  <w:pStyle w:val="Geenafstand"/>
                  <w:spacing w:line="260" w:lineRule="exact"/>
                  <w:jc w:val="center"/>
                  <w:rPr>
                    <w:b/>
                    <w:bCs/>
                    <w:szCs w:val="18"/>
                  </w:rPr>
                </w:pPr>
              </w:p>
              <w:p w:rsidRPr="000D09A4" w:rsidR="00DE0AFD" w:rsidP="007606F7" w:rsidRDefault="00DE0AFD" w14:paraId="1F95FB8D" w14:textId="77777777">
                <w:pPr>
                  <w:pStyle w:val="Geenafstand"/>
                  <w:spacing w:line="260" w:lineRule="exact"/>
                  <w:jc w:val="center"/>
                  <w:rPr>
                    <w:b/>
                    <w:bCs/>
                    <w:szCs w:val="18"/>
                  </w:rPr>
                </w:pPr>
              </w:p>
              <w:p w:rsidRPr="000D09A4" w:rsidR="00DE0AFD" w:rsidP="007606F7" w:rsidRDefault="00DE0AFD" w14:paraId="4CC90459" w14:textId="77777777">
                <w:pPr>
                  <w:pStyle w:val="Geenafstand"/>
                  <w:spacing w:line="260" w:lineRule="exact"/>
                  <w:jc w:val="center"/>
                  <w:rPr>
                    <w:b/>
                    <w:bCs/>
                    <w:szCs w:val="18"/>
                  </w:rPr>
                </w:pPr>
              </w:p>
              <w:p w:rsidRPr="000D09A4" w:rsidR="00DE0AFD" w:rsidP="007606F7" w:rsidRDefault="00DE0AFD" w14:paraId="04903CE2" w14:textId="77777777">
                <w:pPr>
                  <w:pStyle w:val="Geenafstand"/>
                  <w:spacing w:line="260" w:lineRule="exact"/>
                  <w:jc w:val="center"/>
                  <w:rPr>
                    <w:b/>
                    <w:bCs/>
                    <w:szCs w:val="18"/>
                  </w:rPr>
                </w:pPr>
              </w:p>
              <w:p w:rsidRPr="000D09A4" w:rsidR="00DE0AFD" w:rsidP="007606F7" w:rsidRDefault="00DE0AFD" w14:paraId="3C18B1AD" w14:textId="77777777">
                <w:pPr>
                  <w:pStyle w:val="Geenafstand"/>
                  <w:spacing w:line="260" w:lineRule="exact"/>
                  <w:jc w:val="center"/>
                  <w:rPr>
                    <w:b/>
                    <w:bCs/>
                    <w:szCs w:val="18"/>
                  </w:rPr>
                </w:pPr>
              </w:p>
              <w:p w:rsidRPr="000D09A4" w:rsidR="00DE0AFD" w:rsidP="007606F7" w:rsidRDefault="00DE0AFD" w14:paraId="3329D32E" w14:textId="77777777">
                <w:pPr>
                  <w:pStyle w:val="Geenafstand"/>
                  <w:spacing w:line="260" w:lineRule="exact"/>
                  <w:jc w:val="center"/>
                  <w:rPr>
                    <w:b/>
                    <w:bCs/>
                    <w:szCs w:val="18"/>
                  </w:rPr>
                </w:pPr>
              </w:p>
              <w:p w:rsidRPr="000D09A4" w:rsidR="00DE0AFD" w:rsidP="007606F7" w:rsidRDefault="00DE0AFD" w14:paraId="00A3192C" w14:textId="77777777">
                <w:pPr>
                  <w:pStyle w:val="Geenafstand"/>
                  <w:spacing w:line="260" w:lineRule="exact"/>
                  <w:jc w:val="center"/>
                  <w:rPr>
                    <w:b/>
                    <w:bCs/>
                    <w:szCs w:val="18"/>
                  </w:rPr>
                </w:pPr>
              </w:p>
              <w:p w:rsidRPr="000D09A4" w:rsidR="00DE0AFD" w:rsidP="007606F7" w:rsidRDefault="00DE0AFD" w14:paraId="4011DCC6" w14:textId="77777777">
                <w:pPr>
                  <w:pStyle w:val="Geenafstand"/>
                  <w:spacing w:line="260" w:lineRule="exact"/>
                  <w:jc w:val="center"/>
                  <w:rPr>
                    <w:b/>
                    <w:bCs/>
                    <w:szCs w:val="18"/>
                  </w:rPr>
                </w:pPr>
              </w:p>
              <w:p w:rsidRPr="000D09A4" w:rsidR="00DE0AFD" w:rsidP="007606F7" w:rsidRDefault="00DE0AFD" w14:paraId="31DBC9DF" w14:textId="77777777">
                <w:pPr>
                  <w:pStyle w:val="Geenafstand"/>
                  <w:spacing w:line="260" w:lineRule="exact"/>
                  <w:jc w:val="center"/>
                  <w:rPr>
                    <w:b/>
                    <w:bCs/>
                    <w:szCs w:val="18"/>
                  </w:rPr>
                </w:pPr>
              </w:p>
              <w:p w:rsidRPr="000D09A4" w:rsidR="00DE0AFD" w:rsidP="007606F7" w:rsidRDefault="00DE0AFD" w14:paraId="6F1565FA" w14:textId="77777777">
                <w:pPr>
                  <w:pStyle w:val="Geenafstand"/>
                  <w:spacing w:line="260" w:lineRule="exact"/>
                  <w:jc w:val="center"/>
                  <w:rPr>
                    <w:b/>
                    <w:bCs/>
                    <w:szCs w:val="18"/>
                  </w:rPr>
                </w:pPr>
              </w:p>
              <w:p w:rsidRPr="000D09A4" w:rsidR="00DE0AFD" w:rsidP="007606F7" w:rsidRDefault="00DE0AFD" w14:paraId="79A96ECF" w14:textId="77777777">
                <w:pPr>
                  <w:pStyle w:val="Geenafstand"/>
                  <w:spacing w:line="260" w:lineRule="exact"/>
                  <w:jc w:val="center"/>
                  <w:rPr>
                    <w:b/>
                    <w:bCs/>
                    <w:szCs w:val="18"/>
                  </w:rPr>
                </w:pPr>
              </w:p>
              <w:p w:rsidRPr="000D09A4" w:rsidR="00DE0AFD" w:rsidP="00DE0AFD" w:rsidRDefault="00DE0AFD" w14:paraId="3C510B6F" w14:textId="437241BB">
                <w:pPr>
                  <w:pStyle w:val="Geenafstand"/>
                  <w:spacing w:line="260" w:lineRule="exact"/>
                  <w:rPr>
                    <w:b/>
                    <w:bCs/>
                    <w:szCs w:val="18"/>
                  </w:rPr>
                </w:pPr>
              </w:p>
            </w:tc>
          </w:tr>
        </w:tbl>
        <w:p w:rsidRPr="000D09A4" w:rsidR="00EC1566" w:rsidP="00EC1566" w:rsidRDefault="00EC1566" w14:paraId="32DCC43C" w14:textId="3B9F4445">
          <w:pPr>
            <w:spacing w:after="0" w:line="260" w:lineRule="exact"/>
            <w:rPr>
              <w:rFonts w:cs="Arial"/>
              <w:szCs w:val="18"/>
            </w:rPr>
          </w:pPr>
        </w:p>
        <w:p w:rsidRPr="000D09A4" w:rsidR="00DE0AFD" w:rsidP="00EC1566" w:rsidRDefault="00DE0AFD" w14:paraId="680AECFF" w14:textId="06158023">
          <w:pPr>
            <w:spacing w:after="0" w:line="260" w:lineRule="exact"/>
            <w:rPr>
              <w:rFonts w:cs="Arial"/>
              <w:szCs w:val="18"/>
            </w:rPr>
          </w:pPr>
        </w:p>
        <w:p w:rsidRPr="000D09A4" w:rsidR="00DE0AFD" w:rsidP="00EC1566" w:rsidRDefault="00DE0AFD" w14:paraId="01E16C80" w14:textId="0BF36E7C">
          <w:pPr>
            <w:spacing w:after="0" w:line="260" w:lineRule="exact"/>
            <w:rPr>
              <w:rFonts w:cs="Arial"/>
              <w:szCs w:val="18"/>
            </w:rPr>
          </w:pPr>
        </w:p>
        <w:p w:rsidRPr="000D09A4" w:rsidR="00DE0AFD" w:rsidP="00EC1566" w:rsidRDefault="00DE0AFD" w14:paraId="14E25108" w14:textId="787D3A7F">
          <w:pPr>
            <w:spacing w:after="0" w:line="260" w:lineRule="exact"/>
            <w:rPr>
              <w:rFonts w:cs="Arial"/>
              <w:szCs w:val="18"/>
            </w:rPr>
          </w:pPr>
        </w:p>
        <w:p w:rsidRPr="000D09A4" w:rsidR="00DE0AFD" w:rsidP="00EC1566" w:rsidRDefault="00DE0AFD" w14:paraId="712D2804" w14:textId="29EA6FC5">
          <w:pPr>
            <w:spacing w:after="0" w:line="260" w:lineRule="exact"/>
            <w:rPr>
              <w:rFonts w:cs="Arial"/>
              <w:szCs w:val="18"/>
            </w:rPr>
          </w:pPr>
        </w:p>
        <w:p w:rsidRPr="000D09A4" w:rsidR="00DE0AFD" w:rsidP="00EC1566" w:rsidRDefault="00DE0AFD" w14:paraId="38C4DC7F" w14:textId="77777777">
          <w:pPr>
            <w:spacing w:after="0" w:line="260" w:lineRule="exact"/>
            <w:rPr>
              <w:rFonts w:cs="Arial"/>
              <w:szCs w:val="18"/>
            </w:rPr>
          </w:pPr>
        </w:p>
        <w:p w:rsidRPr="000D09A4" w:rsidR="00DE0AFD" w:rsidP="00EC1566" w:rsidRDefault="00DE0AFD" w14:paraId="224D41BC" w14:textId="77777777">
          <w:pPr>
            <w:spacing w:after="0" w:line="260" w:lineRule="exact"/>
            <w:rPr>
              <w:rFonts w:cs="Arial"/>
              <w:szCs w:val="18"/>
            </w:rPr>
          </w:pPr>
        </w:p>
        <w:p w:rsidRPr="000D09A4" w:rsidR="00EC1566" w:rsidP="00DE0AFD" w:rsidRDefault="00EC1566" w14:paraId="5309E942" w14:textId="360AF769">
          <w:pPr>
            <w:spacing w:after="0" w:line="260" w:lineRule="exact"/>
            <w:jc w:val="center"/>
            <w:rPr>
              <w:b/>
              <w:color w:val="1F497D" w:themeColor="text2"/>
              <w:sz w:val="20"/>
              <w:szCs w:val="20"/>
            </w:rPr>
          </w:pPr>
          <w:r w:rsidRPr="000D09A4">
            <w:rPr>
              <w:b/>
              <w:color w:val="1F497D" w:themeColor="text2"/>
              <w:sz w:val="20"/>
              <w:szCs w:val="20"/>
            </w:rPr>
            <w:t xml:space="preserve">Ministerie van Financiën, </w:t>
          </w:r>
          <w:r w:rsidRPr="000D09A4" w:rsidR="00763DF5">
            <w:rPr>
              <w:b/>
              <w:color w:val="1F497D" w:themeColor="text2"/>
              <w:sz w:val="20"/>
              <w:szCs w:val="20"/>
            </w:rPr>
            <w:t>januari 2025</w:t>
          </w:r>
        </w:p>
        <w:p w:rsidRPr="000D09A4" w:rsidR="003F4CA9" w:rsidP="000E0E4B" w:rsidRDefault="009B3444" w14:paraId="348ACAD6" w14:textId="5730DA76">
          <w:pPr>
            <w:spacing w:after="0" w:line="260" w:lineRule="exact"/>
            <w:rPr>
              <w:rFonts w:cs="Arial"/>
              <w:szCs w:val="18"/>
            </w:rPr>
          </w:pPr>
        </w:p>
      </w:sdtContent>
    </w:sdt>
    <w:p w:rsidRPr="000D09A4" w:rsidR="00DE0AFD" w:rsidP="000E0E4B" w:rsidRDefault="00DE0AFD" w14:paraId="66BF7A49" w14:textId="77777777">
      <w:pPr>
        <w:widowControl w:val="0"/>
        <w:spacing w:after="0" w:line="260" w:lineRule="exact"/>
        <w:rPr>
          <w:rFonts w:cs="Arial"/>
          <w:b/>
          <w:color w:val="4F81BD" w:themeColor="accent1"/>
          <w:szCs w:val="18"/>
        </w:rPr>
      </w:pPr>
    </w:p>
    <w:p w:rsidRPr="000D09A4" w:rsidR="00DE0AFD" w:rsidRDefault="00DE0AFD" w14:paraId="43ED0AA8" w14:textId="77777777">
      <w:pPr>
        <w:rPr>
          <w:rFonts w:cs="Arial"/>
          <w:b/>
          <w:color w:val="4F81BD" w:themeColor="accent1"/>
          <w:szCs w:val="18"/>
        </w:rPr>
      </w:pPr>
      <w:r w:rsidRPr="000D09A4">
        <w:rPr>
          <w:rFonts w:cs="Arial"/>
          <w:b/>
          <w:color w:val="4F81BD" w:themeColor="accent1"/>
          <w:szCs w:val="18"/>
        </w:rPr>
        <w:br w:type="page"/>
      </w:r>
    </w:p>
    <w:p w:rsidRPr="000D09A4" w:rsidR="003F4CA9" w:rsidP="000E0E4B" w:rsidRDefault="003F4CA9" w14:paraId="4B94518D" w14:textId="6F3AF59A">
      <w:pPr>
        <w:widowControl w:val="0"/>
        <w:spacing w:after="0" w:line="260" w:lineRule="exact"/>
        <w:rPr>
          <w:rFonts w:cs="Arial"/>
          <w:b/>
          <w:color w:val="4F81BD" w:themeColor="accent1"/>
          <w:szCs w:val="18"/>
        </w:rPr>
      </w:pPr>
      <w:r w:rsidRPr="000D09A4">
        <w:rPr>
          <w:rFonts w:cs="Arial"/>
          <w:b/>
          <w:color w:val="4F81BD" w:themeColor="accent1"/>
          <w:szCs w:val="18"/>
        </w:rPr>
        <w:lastRenderedPageBreak/>
        <w:t>INHOUD</w:t>
      </w:r>
    </w:p>
    <w:sdt>
      <w:sdtPr>
        <w:rPr>
          <w:rFonts w:ascii="Verdana" w:hAnsi="Verdana" w:eastAsiaTheme="minorHAnsi" w:cstheme="minorBidi"/>
          <w:b w:val="0"/>
          <w:bCs w:val="0"/>
          <w:color w:val="auto"/>
          <w:sz w:val="18"/>
          <w:szCs w:val="22"/>
        </w:rPr>
        <w:id w:val="-210963443"/>
        <w:docPartObj>
          <w:docPartGallery w:val="Table of Contents"/>
          <w:docPartUnique/>
        </w:docPartObj>
      </w:sdtPr>
      <w:sdtEndPr/>
      <w:sdtContent>
        <w:p w:rsidRPr="000D09A4" w:rsidR="00F25FEB" w:rsidP="00F25FEB" w:rsidRDefault="00F25FEB" w14:paraId="140977F3" w14:textId="77777777">
          <w:pPr>
            <w:pStyle w:val="Kopvaninhoudsopgave"/>
            <w:spacing w:before="0"/>
            <w:contextualSpacing/>
            <w:rPr>
              <w:rFonts w:ascii="Verdana" w:hAnsi="Verdana"/>
              <w:sz w:val="18"/>
              <w:szCs w:val="18"/>
            </w:rPr>
          </w:pPr>
        </w:p>
        <w:p w:rsidRPr="000D09A4" w:rsidR="00F25FEB" w:rsidP="00F25FEB" w:rsidRDefault="00F25FEB" w14:paraId="4A4B6411" w14:textId="32711145">
          <w:pPr>
            <w:pStyle w:val="Inhopg1"/>
            <w:contextualSpacing/>
            <w:rPr>
              <w:rFonts w:asciiTheme="minorHAnsi" w:hAnsiTheme="minorHAnsi" w:eastAsiaTheme="minorEastAsia" w:cstheme="minorBidi"/>
              <w:sz w:val="22"/>
              <w:szCs w:val="22"/>
              <w:lang w:eastAsia="nl-NL"/>
            </w:rPr>
          </w:pPr>
          <w:r w:rsidRPr="000D09A4">
            <w:rPr>
              <w:b/>
              <w:bCs/>
            </w:rPr>
            <w:fldChar w:fldCharType="begin"/>
          </w:r>
          <w:r w:rsidRPr="000D09A4">
            <w:rPr>
              <w:b/>
              <w:bCs/>
            </w:rPr>
            <w:instrText xml:space="preserve"> TOC \o "1-3" \h \z \u </w:instrText>
          </w:r>
          <w:r w:rsidRPr="000D09A4">
            <w:rPr>
              <w:b/>
              <w:bCs/>
            </w:rPr>
            <w:fldChar w:fldCharType="separate"/>
          </w:r>
          <w:hyperlink w:history="1" w:anchor="_Toc6560020">
            <w:r w:rsidRPr="000D09A4">
              <w:rPr>
                <w:rStyle w:val="Hyperlink"/>
              </w:rPr>
              <w:t>1.</w:t>
            </w:r>
            <w:r w:rsidRPr="000D09A4">
              <w:rPr>
                <w:rFonts w:asciiTheme="minorHAnsi" w:hAnsiTheme="minorHAnsi" w:eastAsiaTheme="minorEastAsia" w:cstheme="minorBidi"/>
                <w:sz w:val="22"/>
                <w:szCs w:val="22"/>
                <w:lang w:eastAsia="nl-NL"/>
              </w:rPr>
              <w:tab/>
            </w:r>
            <w:r w:rsidRPr="000D09A4">
              <w:rPr>
                <w:rStyle w:val="Hyperlink"/>
              </w:rPr>
              <w:t>Inleiding</w:t>
            </w:r>
            <w:r w:rsidRPr="000D09A4">
              <w:rPr>
                <w:webHidden/>
              </w:rPr>
              <w:tab/>
            </w:r>
            <w:r w:rsidRPr="000D09A4">
              <w:rPr>
                <w:webHidden/>
              </w:rPr>
              <w:tab/>
            </w:r>
            <w:r w:rsidRPr="000D09A4">
              <w:rPr>
                <w:webHidden/>
              </w:rPr>
              <w:fldChar w:fldCharType="begin"/>
            </w:r>
            <w:r w:rsidRPr="000D09A4">
              <w:rPr>
                <w:webHidden/>
              </w:rPr>
              <w:instrText xml:space="preserve"> PAGEREF _Toc6560020 \h </w:instrText>
            </w:r>
            <w:r w:rsidRPr="000D09A4">
              <w:rPr>
                <w:webHidden/>
              </w:rPr>
            </w:r>
            <w:r w:rsidRPr="000D09A4">
              <w:rPr>
                <w:webHidden/>
              </w:rPr>
              <w:fldChar w:fldCharType="separate"/>
            </w:r>
            <w:r w:rsidRPr="000D09A4" w:rsidR="00C05EBA">
              <w:rPr>
                <w:webHidden/>
              </w:rPr>
              <w:t>3</w:t>
            </w:r>
            <w:r w:rsidRPr="000D09A4">
              <w:rPr>
                <w:webHidden/>
              </w:rPr>
              <w:fldChar w:fldCharType="end"/>
            </w:r>
          </w:hyperlink>
        </w:p>
        <w:p w:rsidRPr="000D09A4" w:rsidR="00F25FEB" w:rsidP="00F25FEB" w:rsidRDefault="009B3444" w14:paraId="494AC242" w14:textId="44DB5004">
          <w:pPr>
            <w:pStyle w:val="Inhopg1"/>
            <w:contextualSpacing/>
            <w:rPr>
              <w:rFonts w:asciiTheme="minorHAnsi" w:hAnsiTheme="minorHAnsi" w:eastAsiaTheme="minorEastAsia" w:cstheme="minorBidi"/>
              <w:sz w:val="22"/>
              <w:szCs w:val="22"/>
              <w:lang w:eastAsia="nl-NL"/>
            </w:rPr>
          </w:pPr>
          <w:hyperlink w:history="1" w:anchor="_Toc6560021">
            <w:r w:rsidRPr="000D09A4" w:rsidR="00F25FEB">
              <w:rPr>
                <w:rStyle w:val="Hyperlink"/>
              </w:rPr>
              <w:t>2.</w:t>
            </w:r>
            <w:r w:rsidRPr="000D09A4" w:rsidR="00F25FEB">
              <w:rPr>
                <w:rFonts w:asciiTheme="minorHAnsi" w:hAnsiTheme="minorHAnsi" w:eastAsiaTheme="minorEastAsia" w:cstheme="minorBidi"/>
                <w:sz w:val="22"/>
                <w:szCs w:val="22"/>
                <w:lang w:eastAsia="nl-NL"/>
              </w:rPr>
              <w:tab/>
            </w:r>
            <w:r w:rsidRPr="000D09A4" w:rsidR="00F25FEB">
              <w:rPr>
                <w:rStyle w:val="Hyperlink"/>
              </w:rPr>
              <w:t>Toezicht op DNB en de AFM</w:t>
            </w:r>
            <w:r w:rsidRPr="000D09A4" w:rsidR="00F25FEB">
              <w:rPr>
                <w:webHidden/>
              </w:rPr>
              <w:tab/>
            </w:r>
            <w:r w:rsidRPr="000D09A4" w:rsidR="00F25FEB">
              <w:rPr>
                <w:webHidden/>
              </w:rPr>
              <w:fldChar w:fldCharType="begin"/>
            </w:r>
            <w:r w:rsidRPr="000D09A4" w:rsidR="00F25FEB">
              <w:rPr>
                <w:webHidden/>
              </w:rPr>
              <w:instrText xml:space="preserve"> PAGEREF _Toc6560021 \h </w:instrText>
            </w:r>
            <w:r w:rsidRPr="000D09A4" w:rsidR="00F25FEB">
              <w:rPr>
                <w:webHidden/>
              </w:rPr>
            </w:r>
            <w:r w:rsidRPr="000D09A4" w:rsidR="00F25FEB">
              <w:rPr>
                <w:webHidden/>
              </w:rPr>
              <w:fldChar w:fldCharType="separate"/>
            </w:r>
            <w:r w:rsidRPr="000D09A4" w:rsidR="00C05EBA">
              <w:rPr>
                <w:webHidden/>
              </w:rPr>
              <w:t>5</w:t>
            </w:r>
            <w:r w:rsidRPr="000D09A4" w:rsidR="00F25FEB">
              <w:rPr>
                <w:webHidden/>
              </w:rPr>
              <w:fldChar w:fldCharType="end"/>
            </w:r>
          </w:hyperlink>
        </w:p>
        <w:p w:rsidRPr="000D09A4" w:rsidR="00F25FEB" w:rsidP="00F25FEB" w:rsidRDefault="009B3444" w14:paraId="540B2EE6" w14:textId="4D41A4A4">
          <w:pPr>
            <w:pStyle w:val="Inhopg1"/>
            <w:contextualSpacing/>
            <w:rPr>
              <w:rFonts w:asciiTheme="minorHAnsi" w:hAnsiTheme="minorHAnsi" w:eastAsiaTheme="minorEastAsia" w:cstheme="minorBidi"/>
              <w:sz w:val="22"/>
              <w:szCs w:val="22"/>
              <w:lang w:eastAsia="nl-NL"/>
            </w:rPr>
          </w:pPr>
          <w:hyperlink w:history="1" w:anchor="_Toc6560022">
            <w:r w:rsidRPr="000D09A4" w:rsidR="00F25FEB">
              <w:rPr>
                <w:rStyle w:val="Hyperlink"/>
              </w:rPr>
              <w:t>3.</w:t>
            </w:r>
            <w:r w:rsidRPr="000D09A4" w:rsidR="00F25FEB">
              <w:rPr>
                <w:rFonts w:asciiTheme="minorHAnsi" w:hAnsiTheme="minorHAnsi" w:eastAsiaTheme="minorEastAsia" w:cstheme="minorBidi"/>
                <w:sz w:val="22"/>
                <w:szCs w:val="22"/>
                <w:lang w:eastAsia="nl-NL"/>
              </w:rPr>
              <w:tab/>
            </w:r>
            <w:r w:rsidRPr="000D09A4" w:rsidR="00F25FEB">
              <w:rPr>
                <w:rStyle w:val="Hyperlink"/>
              </w:rPr>
              <w:t>Principes van goed toezicht</w:t>
            </w:r>
            <w:r w:rsidRPr="000D09A4" w:rsidR="00F25FEB">
              <w:rPr>
                <w:webHidden/>
              </w:rPr>
              <w:tab/>
            </w:r>
            <w:r w:rsidRPr="000D09A4" w:rsidR="00F25FEB">
              <w:rPr>
                <w:webHidden/>
              </w:rPr>
              <w:fldChar w:fldCharType="begin"/>
            </w:r>
            <w:r w:rsidRPr="000D09A4" w:rsidR="00F25FEB">
              <w:rPr>
                <w:webHidden/>
              </w:rPr>
              <w:instrText xml:space="preserve"> PAGEREF _Toc6560022 \h </w:instrText>
            </w:r>
            <w:r w:rsidRPr="000D09A4" w:rsidR="00F25FEB">
              <w:rPr>
                <w:webHidden/>
              </w:rPr>
            </w:r>
            <w:r w:rsidRPr="000D09A4" w:rsidR="00F25FEB">
              <w:rPr>
                <w:webHidden/>
              </w:rPr>
              <w:fldChar w:fldCharType="separate"/>
            </w:r>
            <w:r w:rsidRPr="000D09A4" w:rsidR="00C05EBA">
              <w:rPr>
                <w:webHidden/>
              </w:rPr>
              <w:t>7</w:t>
            </w:r>
            <w:r w:rsidRPr="000D09A4" w:rsidR="00F25FEB">
              <w:rPr>
                <w:webHidden/>
              </w:rPr>
              <w:fldChar w:fldCharType="end"/>
            </w:r>
          </w:hyperlink>
        </w:p>
        <w:p w:rsidRPr="000D09A4" w:rsidR="00F25FEB" w:rsidP="00F25FEB" w:rsidRDefault="00F25FEB" w14:paraId="4C130DFD" w14:textId="1BCEF237">
          <w:pPr>
            <w:pStyle w:val="Inhopg2"/>
            <w:contextualSpacing/>
            <w:rPr>
              <w:rFonts w:asciiTheme="minorHAnsi" w:hAnsiTheme="minorHAnsi" w:eastAsiaTheme="minorEastAsia"/>
              <w:noProof/>
              <w:sz w:val="22"/>
              <w:lang w:eastAsia="nl-NL"/>
            </w:rPr>
          </w:pPr>
          <w:r w:rsidRPr="000D09A4">
            <w:rPr>
              <w:rStyle w:val="Hyperlink"/>
              <w:noProof/>
              <w:u w:val="none"/>
            </w:rPr>
            <w:tab/>
          </w:r>
          <w:hyperlink w:history="1" w:anchor="_Toc6560023">
            <w:r w:rsidRPr="000D09A4">
              <w:rPr>
                <w:rStyle w:val="Hyperlink"/>
                <w:smallCaps/>
                <w:noProof/>
                <w:u w:val="none"/>
              </w:rPr>
              <w:t>3.1</w:t>
            </w:r>
            <w:r w:rsidRPr="000D09A4">
              <w:rPr>
                <w:rFonts w:asciiTheme="minorHAnsi" w:hAnsiTheme="minorHAnsi" w:eastAsiaTheme="minorEastAsia"/>
                <w:noProof/>
                <w:sz w:val="22"/>
                <w:lang w:eastAsia="nl-NL"/>
              </w:rPr>
              <w:t xml:space="preserve"> </w:t>
            </w:r>
            <w:r w:rsidRPr="000D09A4">
              <w:rPr>
                <w:rStyle w:val="Hyperlink"/>
                <w:smallCaps/>
                <w:noProof/>
                <w:u w:val="none"/>
              </w:rPr>
              <w:t>Selectief</w:t>
            </w:r>
            <w:r w:rsidRPr="000D09A4">
              <w:rPr>
                <w:noProof/>
                <w:webHidden/>
              </w:rPr>
              <w:tab/>
            </w:r>
            <w:r w:rsidRPr="000D09A4">
              <w:rPr>
                <w:noProof/>
                <w:webHidden/>
              </w:rPr>
              <w:fldChar w:fldCharType="begin"/>
            </w:r>
            <w:r w:rsidRPr="000D09A4">
              <w:rPr>
                <w:noProof/>
                <w:webHidden/>
              </w:rPr>
              <w:instrText xml:space="preserve"> PAGEREF _Toc6560023 \h </w:instrText>
            </w:r>
            <w:r w:rsidRPr="000D09A4">
              <w:rPr>
                <w:noProof/>
                <w:webHidden/>
              </w:rPr>
            </w:r>
            <w:r w:rsidRPr="000D09A4">
              <w:rPr>
                <w:noProof/>
                <w:webHidden/>
              </w:rPr>
              <w:fldChar w:fldCharType="separate"/>
            </w:r>
            <w:r w:rsidRPr="000D09A4" w:rsidR="00C05EBA">
              <w:rPr>
                <w:noProof/>
                <w:webHidden/>
              </w:rPr>
              <w:t>7</w:t>
            </w:r>
            <w:r w:rsidRPr="000D09A4">
              <w:rPr>
                <w:noProof/>
                <w:webHidden/>
              </w:rPr>
              <w:fldChar w:fldCharType="end"/>
            </w:r>
          </w:hyperlink>
        </w:p>
        <w:p w:rsidRPr="000D09A4" w:rsidR="00F25FEB" w:rsidP="00F25FEB" w:rsidRDefault="00F25FEB" w14:paraId="120C73FC" w14:textId="03892A44">
          <w:pPr>
            <w:pStyle w:val="Inhopg2"/>
            <w:contextualSpacing/>
            <w:rPr>
              <w:rFonts w:asciiTheme="minorHAnsi" w:hAnsiTheme="minorHAnsi" w:eastAsiaTheme="minorEastAsia"/>
              <w:noProof/>
              <w:sz w:val="22"/>
              <w:lang w:eastAsia="nl-NL"/>
            </w:rPr>
          </w:pPr>
          <w:r w:rsidRPr="000D09A4">
            <w:rPr>
              <w:rStyle w:val="Hyperlink"/>
              <w:noProof/>
              <w:u w:val="none"/>
            </w:rPr>
            <w:tab/>
          </w:r>
          <w:hyperlink w:history="1" w:anchor="_Toc6560024">
            <w:r w:rsidRPr="000D09A4">
              <w:rPr>
                <w:rStyle w:val="Hyperlink"/>
                <w:smallCaps/>
                <w:noProof/>
                <w:u w:val="none"/>
              </w:rPr>
              <w:t>3.2</w:t>
            </w:r>
            <w:r w:rsidRPr="000D09A4">
              <w:rPr>
                <w:rFonts w:asciiTheme="minorHAnsi" w:hAnsiTheme="minorHAnsi" w:eastAsiaTheme="minorEastAsia"/>
                <w:noProof/>
                <w:sz w:val="22"/>
                <w:lang w:eastAsia="nl-NL"/>
              </w:rPr>
              <w:t xml:space="preserve"> </w:t>
            </w:r>
            <w:r w:rsidRPr="000D09A4">
              <w:rPr>
                <w:rStyle w:val="Hyperlink"/>
                <w:smallCaps/>
                <w:noProof/>
                <w:u w:val="none"/>
              </w:rPr>
              <w:t>Slagvaardig</w:t>
            </w:r>
            <w:r w:rsidRPr="000D09A4">
              <w:rPr>
                <w:noProof/>
                <w:webHidden/>
              </w:rPr>
              <w:tab/>
            </w:r>
            <w:r w:rsidRPr="000D09A4">
              <w:rPr>
                <w:noProof/>
                <w:webHidden/>
              </w:rPr>
              <w:fldChar w:fldCharType="begin"/>
            </w:r>
            <w:r w:rsidRPr="000D09A4">
              <w:rPr>
                <w:noProof/>
                <w:webHidden/>
              </w:rPr>
              <w:instrText xml:space="preserve"> PAGEREF _Toc6560024 \h </w:instrText>
            </w:r>
            <w:r w:rsidRPr="000D09A4">
              <w:rPr>
                <w:noProof/>
                <w:webHidden/>
              </w:rPr>
            </w:r>
            <w:r w:rsidRPr="000D09A4">
              <w:rPr>
                <w:noProof/>
                <w:webHidden/>
              </w:rPr>
              <w:fldChar w:fldCharType="separate"/>
            </w:r>
            <w:r w:rsidRPr="000D09A4" w:rsidR="00C05EBA">
              <w:rPr>
                <w:noProof/>
                <w:webHidden/>
              </w:rPr>
              <w:t>8</w:t>
            </w:r>
            <w:r w:rsidRPr="000D09A4">
              <w:rPr>
                <w:noProof/>
                <w:webHidden/>
              </w:rPr>
              <w:fldChar w:fldCharType="end"/>
            </w:r>
          </w:hyperlink>
        </w:p>
        <w:p w:rsidRPr="000D09A4" w:rsidR="00F25FEB" w:rsidP="00F25FEB" w:rsidRDefault="00F25FEB" w14:paraId="02CA528F" w14:textId="099BF27C">
          <w:pPr>
            <w:pStyle w:val="Inhopg2"/>
            <w:contextualSpacing/>
            <w:rPr>
              <w:rFonts w:asciiTheme="minorHAnsi" w:hAnsiTheme="minorHAnsi" w:eastAsiaTheme="minorEastAsia"/>
              <w:noProof/>
              <w:sz w:val="22"/>
              <w:lang w:eastAsia="nl-NL"/>
            </w:rPr>
          </w:pPr>
          <w:r w:rsidRPr="000D09A4">
            <w:rPr>
              <w:rStyle w:val="Hyperlink"/>
              <w:noProof/>
              <w:u w:val="none"/>
            </w:rPr>
            <w:tab/>
          </w:r>
          <w:hyperlink w:history="1" w:anchor="_Toc6560025">
            <w:r w:rsidRPr="000D09A4">
              <w:rPr>
                <w:rStyle w:val="Hyperlink"/>
                <w:smallCaps/>
                <w:noProof/>
                <w:u w:val="none"/>
              </w:rPr>
              <w:t>3.3</w:t>
            </w:r>
            <w:r w:rsidRPr="000D09A4">
              <w:rPr>
                <w:rFonts w:asciiTheme="minorHAnsi" w:hAnsiTheme="minorHAnsi" w:eastAsiaTheme="minorEastAsia"/>
                <w:noProof/>
                <w:sz w:val="22"/>
                <w:lang w:eastAsia="nl-NL"/>
              </w:rPr>
              <w:t xml:space="preserve"> </w:t>
            </w:r>
            <w:r w:rsidRPr="000D09A4">
              <w:rPr>
                <w:rStyle w:val="Hyperlink"/>
                <w:smallCaps/>
                <w:noProof/>
                <w:u w:val="none"/>
              </w:rPr>
              <w:t>Samenwerkend</w:t>
            </w:r>
            <w:r w:rsidRPr="000D09A4">
              <w:rPr>
                <w:noProof/>
                <w:webHidden/>
              </w:rPr>
              <w:tab/>
            </w:r>
            <w:r w:rsidRPr="000D09A4">
              <w:rPr>
                <w:noProof/>
                <w:webHidden/>
              </w:rPr>
              <w:fldChar w:fldCharType="begin"/>
            </w:r>
            <w:r w:rsidRPr="000D09A4">
              <w:rPr>
                <w:noProof/>
                <w:webHidden/>
              </w:rPr>
              <w:instrText xml:space="preserve"> PAGEREF _Toc6560025 \h </w:instrText>
            </w:r>
            <w:r w:rsidRPr="000D09A4">
              <w:rPr>
                <w:noProof/>
                <w:webHidden/>
              </w:rPr>
            </w:r>
            <w:r w:rsidRPr="000D09A4">
              <w:rPr>
                <w:noProof/>
                <w:webHidden/>
              </w:rPr>
              <w:fldChar w:fldCharType="separate"/>
            </w:r>
            <w:r w:rsidRPr="000D09A4" w:rsidR="00C05EBA">
              <w:rPr>
                <w:noProof/>
                <w:webHidden/>
              </w:rPr>
              <w:t>9</w:t>
            </w:r>
            <w:r w:rsidRPr="000D09A4">
              <w:rPr>
                <w:noProof/>
                <w:webHidden/>
              </w:rPr>
              <w:fldChar w:fldCharType="end"/>
            </w:r>
          </w:hyperlink>
        </w:p>
        <w:p w:rsidRPr="000D09A4" w:rsidR="00F25FEB" w:rsidP="00F25FEB" w:rsidRDefault="00F25FEB" w14:paraId="26CDDA6B" w14:textId="57398C76">
          <w:pPr>
            <w:pStyle w:val="Inhopg2"/>
            <w:contextualSpacing/>
            <w:rPr>
              <w:rFonts w:asciiTheme="minorHAnsi" w:hAnsiTheme="minorHAnsi" w:eastAsiaTheme="minorEastAsia"/>
              <w:noProof/>
              <w:sz w:val="22"/>
              <w:lang w:eastAsia="nl-NL"/>
            </w:rPr>
          </w:pPr>
          <w:r w:rsidRPr="000D09A4">
            <w:rPr>
              <w:rStyle w:val="Hyperlink"/>
              <w:noProof/>
              <w:u w:val="none"/>
            </w:rPr>
            <w:tab/>
          </w:r>
          <w:hyperlink w:history="1" w:anchor="_Toc6560026">
            <w:r w:rsidRPr="000D09A4">
              <w:rPr>
                <w:rStyle w:val="Hyperlink"/>
                <w:smallCaps/>
                <w:noProof/>
                <w:u w:val="none"/>
              </w:rPr>
              <w:t>3.4</w:t>
            </w:r>
            <w:r w:rsidRPr="000D09A4">
              <w:rPr>
                <w:rFonts w:asciiTheme="minorHAnsi" w:hAnsiTheme="minorHAnsi" w:eastAsiaTheme="minorEastAsia"/>
                <w:noProof/>
                <w:sz w:val="22"/>
                <w:lang w:eastAsia="nl-NL"/>
              </w:rPr>
              <w:t xml:space="preserve"> </w:t>
            </w:r>
            <w:r w:rsidRPr="000D09A4">
              <w:rPr>
                <w:rStyle w:val="Hyperlink"/>
                <w:smallCaps/>
                <w:noProof/>
                <w:u w:val="none"/>
              </w:rPr>
              <w:t>Onafhankelijk</w:t>
            </w:r>
            <w:r w:rsidRPr="000D09A4">
              <w:rPr>
                <w:noProof/>
                <w:webHidden/>
              </w:rPr>
              <w:tab/>
            </w:r>
            <w:r w:rsidRPr="000D09A4">
              <w:rPr>
                <w:noProof/>
                <w:webHidden/>
              </w:rPr>
              <w:fldChar w:fldCharType="begin"/>
            </w:r>
            <w:r w:rsidRPr="000D09A4">
              <w:rPr>
                <w:noProof/>
                <w:webHidden/>
              </w:rPr>
              <w:instrText xml:space="preserve"> PAGEREF _Toc6560026 \h </w:instrText>
            </w:r>
            <w:r w:rsidRPr="000D09A4">
              <w:rPr>
                <w:noProof/>
                <w:webHidden/>
              </w:rPr>
            </w:r>
            <w:r w:rsidRPr="000D09A4">
              <w:rPr>
                <w:noProof/>
                <w:webHidden/>
              </w:rPr>
              <w:fldChar w:fldCharType="separate"/>
            </w:r>
            <w:r w:rsidRPr="000D09A4" w:rsidR="00C05EBA">
              <w:rPr>
                <w:noProof/>
                <w:webHidden/>
              </w:rPr>
              <w:t>10</w:t>
            </w:r>
            <w:r w:rsidRPr="000D09A4">
              <w:rPr>
                <w:noProof/>
                <w:webHidden/>
              </w:rPr>
              <w:fldChar w:fldCharType="end"/>
            </w:r>
          </w:hyperlink>
        </w:p>
        <w:p w:rsidRPr="000D09A4" w:rsidR="00F25FEB" w:rsidP="00F25FEB" w:rsidRDefault="00F25FEB" w14:paraId="424103A1" w14:textId="05AA22D4">
          <w:pPr>
            <w:pStyle w:val="Inhopg2"/>
            <w:contextualSpacing/>
            <w:rPr>
              <w:rFonts w:asciiTheme="minorHAnsi" w:hAnsiTheme="minorHAnsi" w:eastAsiaTheme="minorEastAsia"/>
              <w:noProof/>
              <w:sz w:val="22"/>
              <w:lang w:eastAsia="nl-NL"/>
            </w:rPr>
          </w:pPr>
          <w:r w:rsidRPr="000D09A4">
            <w:rPr>
              <w:rStyle w:val="Hyperlink"/>
              <w:noProof/>
              <w:u w:val="none"/>
            </w:rPr>
            <w:tab/>
          </w:r>
          <w:hyperlink w:history="1" w:anchor="_Toc6560027">
            <w:r w:rsidRPr="000D09A4">
              <w:rPr>
                <w:rStyle w:val="Hyperlink"/>
                <w:smallCaps/>
                <w:noProof/>
                <w:u w:val="none"/>
              </w:rPr>
              <w:t>3.5</w:t>
            </w:r>
            <w:r w:rsidRPr="000D09A4">
              <w:rPr>
                <w:rFonts w:asciiTheme="minorHAnsi" w:hAnsiTheme="minorHAnsi" w:eastAsiaTheme="minorEastAsia"/>
                <w:noProof/>
                <w:sz w:val="22"/>
                <w:lang w:eastAsia="nl-NL"/>
              </w:rPr>
              <w:t xml:space="preserve"> </w:t>
            </w:r>
            <w:r w:rsidRPr="000D09A4">
              <w:rPr>
                <w:rStyle w:val="Hyperlink"/>
                <w:smallCaps/>
                <w:noProof/>
                <w:u w:val="none"/>
              </w:rPr>
              <w:t>Transparant</w:t>
            </w:r>
            <w:r w:rsidRPr="000D09A4">
              <w:rPr>
                <w:noProof/>
                <w:webHidden/>
              </w:rPr>
              <w:tab/>
            </w:r>
            <w:r w:rsidRPr="000D09A4">
              <w:rPr>
                <w:noProof/>
                <w:webHidden/>
              </w:rPr>
              <w:fldChar w:fldCharType="begin"/>
            </w:r>
            <w:r w:rsidRPr="000D09A4">
              <w:rPr>
                <w:noProof/>
                <w:webHidden/>
              </w:rPr>
              <w:instrText xml:space="preserve"> PAGEREF _Toc6560027 \h </w:instrText>
            </w:r>
            <w:r w:rsidRPr="000D09A4">
              <w:rPr>
                <w:noProof/>
                <w:webHidden/>
              </w:rPr>
            </w:r>
            <w:r w:rsidRPr="000D09A4">
              <w:rPr>
                <w:noProof/>
                <w:webHidden/>
              </w:rPr>
              <w:fldChar w:fldCharType="separate"/>
            </w:r>
            <w:r w:rsidRPr="000D09A4" w:rsidR="00C05EBA">
              <w:rPr>
                <w:noProof/>
                <w:webHidden/>
              </w:rPr>
              <w:t>11</w:t>
            </w:r>
            <w:r w:rsidRPr="000D09A4">
              <w:rPr>
                <w:noProof/>
                <w:webHidden/>
              </w:rPr>
              <w:fldChar w:fldCharType="end"/>
            </w:r>
          </w:hyperlink>
        </w:p>
        <w:p w:rsidRPr="000D09A4" w:rsidR="00F25FEB" w:rsidP="00F25FEB" w:rsidRDefault="00F25FEB" w14:paraId="53351047" w14:textId="3DCF6CD7">
          <w:pPr>
            <w:pStyle w:val="Inhopg2"/>
            <w:contextualSpacing/>
            <w:rPr>
              <w:rFonts w:asciiTheme="minorHAnsi" w:hAnsiTheme="minorHAnsi" w:eastAsiaTheme="minorEastAsia"/>
              <w:noProof/>
              <w:sz w:val="22"/>
              <w:lang w:eastAsia="nl-NL"/>
            </w:rPr>
          </w:pPr>
          <w:r w:rsidRPr="000D09A4">
            <w:rPr>
              <w:rStyle w:val="Hyperlink"/>
              <w:noProof/>
              <w:u w:val="none"/>
            </w:rPr>
            <w:tab/>
          </w:r>
          <w:hyperlink w:history="1" w:anchor="_Toc6560028">
            <w:r w:rsidRPr="000D09A4">
              <w:rPr>
                <w:rStyle w:val="Hyperlink"/>
                <w:smallCaps/>
                <w:noProof/>
                <w:u w:val="none"/>
              </w:rPr>
              <w:t>3.6</w:t>
            </w:r>
            <w:r w:rsidRPr="000D09A4">
              <w:rPr>
                <w:rFonts w:asciiTheme="minorHAnsi" w:hAnsiTheme="minorHAnsi" w:eastAsiaTheme="minorEastAsia"/>
                <w:noProof/>
                <w:sz w:val="22"/>
                <w:lang w:eastAsia="nl-NL"/>
              </w:rPr>
              <w:t xml:space="preserve"> </w:t>
            </w:r>
            <w:r w:rsidRPr="000D09A4">
              <w:rPr>
                <w:rStyle w:val="Hyperlink"/>
                <w:smallCaps/>
                <w:noProof/>
                <w:u w:val="none"/>
              </w:rPr>
              <w:t>Professioneel</w:t>
            </w:r>
            <w:r w:rsidRPr="000D09A4">
              <w:rPr>
                <w:noProof/>
                <w:webHidden/>
              </w:rPr>
              <w:tab/>
            </w:r>
            <w:r w:rsidRPr="000D09A4">
              <w:rPr>
                <w:noProof/>
                <w:webHidden/>
              </w:rPr>
              <w:fldChar w:fldCharType="begin"/>
            </w:r>
            <w:r w:rsidRPr="000D09A4">
              <w:rPr>
                <w:noProof/>
                <w:webHidden/>
              </w:rPr>
              <w:instrText xml:space="preserve"> PAGEREF _Toc6560028 \h </w:instrText>
            </w:r>
            <w:r w:rsidRPr="000D09A4">
              <w:rPr>
                <w:noProof/>
                <w:webHidden/>
              </w:rPr>
            </w:r>
            <w:r w:rsidRPr="000D09A4">
              <w:rPr>
                <w:noProof/>
                <w:webHidden/>
              </w:rPr>
              <w:fldChar w:fldCharType="separate"/>
            </w:r>
            <w:r w:rsidRPr="000D09A4" w:rsidR="00C05EBA">
              <w:rPr>
                <w:noProof/>
                <w:webHidden/>
              </w:rPr>
              <w:t>11</w:t>
            </w:r>
            <w:r w:rsidRPr="000D09A4">
              <w:rPr>
                <w:noProof/>
                <w:webHidden/>
              </w:rPr>
              <w:fldChar w:fldCharType="end"/>
            </w:r>
          </w:hyperlink>
        </w:p>
        <w:p w:rsidRPr="000D09A4" w:rsidR="00F25FEB" w:rsidP="00F25FEB" w:rsidRDefault="00F25FEB" w14:paraId="35BE5700" w14:textId="77777777">
          <w:pPr>
            <w:spacing w:after="0"/>
            <w:contextualSpacing/>
            <w:rPr>
              <w:b/>
              <w:bCs/>
            </w:rPr>
          </w:pPr>
          <w:r w:rsidRPr="000D09A4">
            <w:rPr>
              <w:b/>
              <w:bCs/>
            </w:rPr>
            <w:fldChar w:fldCharType="end"/>
          </w:r>
        </w:p>
      </w:sdtContent>
    </w:sdt>
    <w:p w:rsidRPr="000D09A4" w:rsidR="00F25FEB" w:rsidP="00F25FEB" w:rsidRDefault="00663C5C" w14:paraId="621C615B" w14:textId="77777777">
      <w:pPr>
        <w:spacing w:after="0"/>
        <w:contextualSpacing/>
      </w:pPr>
      <w:r w:rsidRPr="000D09A4">
        <w:t>Bijlage 1</w:t>
      </w:r>
    </w:p>
    <w:p w:rsidRPr="000D09A4" w:rsidR="00A9392C" w:rsidP="00F25FEB" w:rsidRDefault="00AD1802" w14:paraId="75CFCF66" w14:textId="77777777">
      <w:pPr>
        <w:spacing w:after="0"/>
        <w:contextualSpacing/>
      </w:pPr>
      <w:r w:rsidRPr="000D09A4">
        <w:t>Toezichtarrangement</w:t>
      </w:r>
      <w:r w:rsidRPr="000D09A4" w:rsidR="00055D3D">
        <w:t xml:space="preserve"> DNB en de AFM</w:t>
      </w:r>
    </w:p>
    <w:p w:rsidRPr="000D09A4" w:rsidR="00AD1802" w:rsidP="00A9392C" w:rsidRDefault="00AD1802" w14:paraId="4054791C" w14:textId="77777777">
      <w:pPr>
        <w:spacing w:after="0"/>
        <w:contextualSpacing/>
      </w:pPr>
    </w:p>
    <w:p w:rsidRPr="000D09A4" w:rsidR="00A9392C" w:rsidP="00A9392C" w:rsidRDefault="00663C5C" w14:paraId="03B70729" w14:textId="77777777">
      <w:pPr>
        <w:spacing w:after="0"/>
        <w:contextualSpacing/>
      </w:pPr>
      <w:r w:rsidRPr="000D09A4">
        <w:t>Bijlage 2</w:t>
      </w:r>
    </w:p>
    <w:p w:rsidRPr="000D09A4" w:rsidR="00A9392C" w:rsidP="00A9392C" w:rsidRDefault="00A9392C" w14:paraId="1F9A5729" w14:textId="563E60EF">
      <w:pPr>
        <w:spacing w:after="0"/>
        <w:contextualSpacing/>
      </w:pPr>
      <w:r w:rsidRPr="000D09A4">
        <w:t>Controleprotocol financiële verantwoording De Nederlandsche Bank</w:t>
      </w:r>
      <w:r w:rsidRPr="000D09A4" w:rsidR="002F6BF3">
        <w:t xml:space="preserve"> en de Autoriteit Financiële Markten</w:t>
      </w:r>
    </w:p>
    <w:p w:rsidRPr="000D09A4" w:rsidR="00A9392C" w:rsidP="000822D5" w:rsidRDefault="00F963CD" w14:paraId="7F0E7A43" w14:textId="0DA3AD93">
      <w:pPr>
        <w:tabs>
          <w:tab w:val="left" w:pos="5430"/>
        </w:tabs>
        <w:spacing w:after="0"/>
        <w:contextualSpacing/>
      </w:pPr>
      <w:r w:rsidRPr="000D09A4">
        <w:tab/>
      </w:r>
    </w:p>
    <w:p w:rsidRPr="000D09A4" w:rsidR="00A9392C" w:rsidP="00A9392C" w:rsidRDefault="00663C5C" w14:paraId="69754949" w14:textId="77777777">
      <w:pPr>
        <w:spacing w:after="0"/>
        <w:contextualSpacing/>
      </w:pPr>
      <w:r w:rsidRPr="000D09A4">
        <w:t>Bijlage 3</w:t>
      </w:r>
    </w:p>
    <w:p w:rsidRPr="000D09A4" w:rsidR="00A9392C" w:rsidP="00A9392C" w:rsidRDefault="00A9392C" w14:paraId="5389538E" w14:textId="6CFEC105">
      <w:pPr>
        <w:spacing w:after="0"/>
        <w:contextualSpacing/>
      </w:pPr>
      <w:r w:rsidRPr="000D09A4">
        <w:t xml:space="preserve">Protocol </w:t>
      </w:r>
      <w:r w:rsidRPr="000D09A4" w:rsidR="00EA5B73">
        <w:t xml:space="preserve">inzake de afstemming tussen de </w:t>
      </w:r>
      <w:r w:rsidRPr="000D09A4" w:rsidR="00CD45A6">
        <w:t xml:space="preserve">minister </w:t>
      </w:r>
      <w:r w:rsidRPr="000D09A4" w:rsidR="00EA5B73">
        <w:t xml:space="preserve">van Financiën en de </w:t>
      </w:r>
      <w:r w:rsidRPr="000D09A4" w:rsidR="00CD45A6">
        <w:t xml:space="preserve">minister </w:t>
      </w:r>
      <w:r w:rsidRPr="000D09A4">
        <w:t>van Sociale Zaken en Werkgelegenheid betreffende de uitvoering van de Wet bekostiging financieel toezicht 2019</w:t>
      </w:r>
    </w:p>
    <w:p w:rsidRPr="000D09A4" w:rsidR="00A9392C" w:rsidP="000E0E4B" w:rsidRDefault="00A9392C" w14:paraId="565746DA" w14:textId="77777777">
      <w:pPr>
        <w:widowControl w:val="0"/>
        <w:spacing w:after="0" w:line="260" w:lineRule="exact"/>
        <w:rPr>
          <w:rFonts w:cs="Arial"/>
          <w:szCs w:val="18"/>
        </w:rPr>
      </w:pPr>
    </w:p>
    <w:p w:rsidRPr="000D09A4" w:rsidR="003F4CA9" w:rsidP="000E0E4B" w:rsidRDefault="003F4CA9" w14:paraId="6D45F1FC" w14:textId="77777777">
      <w:pPr>
        <w:spacing w:after="0" w:line="260" w:lineRule="exact"/>
        <w:rPr>
          <w:rFonts w:cs="Arial"/>
          <w:szCs w:val="18"/>
        </w:rPr>
      </w:pPr>
      <w:r w:rsidRPr="000D09A4">
        <w:rPr>
          <w:rFonts w:cs="Arial"/>
          <w:szCs w:val="18"/>
        </w:rPr>
        <w:br w:type="page"/>
      </w:r>
    </w:p>
    <w:p w:rsidRPr="000D09A4" w:rsidR="000E0E4B" w:rsidP="00AB37CF" w:rsidRDefault="000E0E4B" w14:paraId="2F6133C1" w14:textId="77777777">
      <w:pPr>
        <w:pStyle w:val="Kop01"/>
      </w:pPr>
      <w:bookmarkStart w:name="_1._Inleiding" w:id="0"/>
      <w:bookmarkStart w:name="_Toc6298687" w:id="1"/>
      <w:bookmarkStart w:name="_Toc6560020" w:id="2"/>
      <w:bookmarkEnd w:id="0"/>
      <w:r w:rsidRPr="000D09A4">
        <w:lastRenderedPageBreak/>
        <w:t>1.</w:t>
      </w:r>
      <w:r w:rsidRPr="000D09A4">
        <w:tab/>
        <w:t>Inleiding</w:t>
      </w:r>
      <w:bookmarkEnd w:id="1"/>
      <w:bookmarkEnd w:id="2"/>
    </w:p>
    <w:p w:rsidRPr="000D09A4" w:rsidR="003F4CA9" w:rsidP="00F452A2" w:rsidRDefault="003F4CA9" w14:paraId="3F0B3979" w14:textId="77777777">
      <w:pPr>
        <w:spacing w:after="0" w:line="260" w:lineRule="exact"/>
        <w:rPr>
          <w:rFonts w:cs="Arial" w:asciiTheme="majorHAnsi" w:hAnsiTheme="majorHAnsi"/>
          <w:szCs w:val="18"/>
        </w:rPr>
      </w:pPr>
    </w:p>
    <w:p w:rsidRPr="000D09A4" w:rsidR="00164058" w:rsidP="00120629" w:rsidRDefault="00982AFE" w14:paraId="2CA89FF0" w14:textId="6C6555E5">
      <w:pPr>
        <w:spacing w:after="0" w:line="260" w:lineRule="exact"/>
        <w:rPr>
          <w:szCs w:val="18"/>
        </w:rPr>
      </w:pPr>
      <w:r w:rsidRPr="000D09A4">
        <w:rPr>
          <w:szCs w:val="18"/>
        </w:rPr>
        <w:t xml:space="preserve">Financiële </w:t>
      </w:r>
      <w:r w:rsidRPr="000D09A4" w:rsidR="009F0940">
        <w:rPr>
          <w:szCs w:val="18"/>
        </w:rPr>
        <w:t>ondernemingen</w:t>
      </w:r>
      <w:r w:rsidRPr="000D09A4">
        <w:rPr>
          <w:szCs w:val="18"/>
        </w:rPr>
        <w:t xml:space="preserve"> en markten vormen een onmisbare bouwsteen in het maatschappelijk verkeer. Een stabiel</w:t>
      </w:r>
      <w:r w:rsidRPr="000D09A4" w:rsidR="009F7BA6">
        <w:rPr>
          <w:szCs w:val="18"/>
        </w:rPr>
        <w:t xml:space="preserve">e en </w:t>
      </w:r>
      <w:r w:rsidRPr="000D09A4" w:rsidR="00BD5197">
        <w:rPr>
          <w:szCs w:val="18"/>
        </w:rPr>
        <w:t>integer</w:t>
      </w:r>
      <w:r w:rsidRPr="000D09A4" w:rsidR="009F7BA6">
        <w:rPr>
          <w:szCs w:val="18"/>
        </w:rPr>
        <w:t>e</w:t>
      </w:r>
      <w:r w:rsidRPr="000D09A4">
        <w:rPr>
          <w:szCs w:val="18"/>
        </w:rPr>
        <w:t xml:space="preserve"> </w:t>
      </w:r>
      <w:r w:rsidRPr="000D09A4" w:rsidR="009F7BA6">
        <w:rPr>
          <w:szCs w:val="18"/>
        </w:rPr>
        <w:t>werking van financiële markten, met betrouwbare dienstverlening van financiële instellingen aan burgers en bedrijven</w:t>
      </w:r>
      <w:r w:rsidRPr="000D09A4">
        <w:rPr>
          <w:szCs w:val="18"/>
        </w:rPr>
        <w:t xml:space="preserve"> </w:t>
      </w:r>
      <w:r w:rsidRPr="000D09A4" w:rsidR="002008D0">
        <w:rPr>
          <w:szCs w:val="18"/>
        </w:rPr>
        <w:t>draagt bij aan</w:t>
      </w:r>
      <w:r w:rsidRPr="000D09A4">
        <w:rPr>
          <w:szCs w:val="18"/>
        </w:rPr>
        <w:t xml:space="preserve"> de Nederlandse economie, en daarmee </w:t>
      </w:r>
      <w:r w:rsidRPr="000D09A4" w:rsidR="00A74495">
        <w:rPr>
          <w:szCs w:val="18"/>
        </w:rPr>
        <w:t xml:space="preserve">aan </w:t>
      </w:r>
      <w:r w:rsidRPr="000D09A4">
        <w:rPr>
          <w:szCs w:val="18"/>
        </w:rPr>
        <w:t xml:space="preserve">onze </w:t>
      </w:r>
      <w:r w:rsidRPr="000D09A4" w:rsidR="002008D0">
        <w:rPr>
          <w:szCs w:val="18"/>
        </w:rPr>
        <w:t xml:space="preserve">duurzame </w:t>
      </w:r>
      <w:r w:rsidRPr="000D09A4">
        <w:rPr>
          <w:szCs w:val="18"/>
        </w:rPr>
        <w:t xml:space="preserve">welvaart en economische </w:t>
      </w:r>
      <w:r w:rsidRPr="000D09A4" w:rsidR="002008D0">
        <w:rPr>
          <w:szCs w:val="18"/>
        </w:rPr>
        <w:t>groei</w:t>
      </w:r>
      <w:r w:rsidRPr="000D09A4">
        <w:rPr>
          <w:szCs w:val="18"/>
        </w:rPr>
        <w:t xml:space="preserve">. Publiek vertrouwen is </w:t>
      </w:r>
      <w:r w:rsidRPr="000D09A4" w:rsidR="0062484F">
        <w:rPr>
          <w:szCs w:val="18"/>
        </w:rPr>
        <w:t xml:space="preserve">hiervoor </w:t>
      </w:r>
      <w:r w:rsidRPr="000D09A4" w:rsidR="00BC2720">
        <w:rPr>
          <w:szCs w:val="18"/>
        </w:rPr>
        <w:t xml:space="preserve">een </w:t>
      </w:r>
      <w:r w:rsidRPr="000D09A4">
        <w:rPr>
          <w:szCs w:val="18"/>
        </w:rPr>
        <w:t xml:space="preserve">belangrijke randvoorwaarde. Financiële </w:t>
      </w:r>
      <w:r w:rsidRPr="000D09A4" w:rsidR="009F0940">
        <w:rPr>
          <w:szCs w:val="18"/>
        </w:rPr>
        <w:t>ondernemingen</w:t>
      </w:r>
      <w:r w:rsidRPr="000D09A4">
        <w:rPr>
          <w:szCs w:val="18"/>
        </w:rPr>
        <w:t xml:space="preserve"> in Nederland opereren en ontplooien activiteiten onder het toeziend oog van de</w:t>
      </w:r>
      <w:r w:rsidRPr="000D09A4" w:rsidR="002008D0">
        <w:rPr>
          <w:szCs w:val="18"/>
        </w:rPr>
        <w:t xml:space="preserve"> financiële toezichthouders De</w:t>
      </w:r>
      <w:r w:rsidRPr="000D09A4">
        <w:rPr>
          <w:szCs w:val="18"/>
        </w:rPr>
        <w:t xml:space="preserve"> Nederlandsche Bank (DNB</w:t>
      </w:r>
      <w:r w:rsidRPr="000D09A4">
        <w:rPr>
          <w:i/>
          <w:szCs w:val="18"/>
        </w:rPr>
        <w:t xml:space="preserve">) </w:t>
      </w:r>
      <w:r w:rsidRPr="000D09A4">
        <w:rPr>
          <w:szCs w:val="18"/>
        </w:rPr>
        <w:t xml:space="preserve">en de Autoriteit Financiële Markten </w:t>
      </w:r>
      <w:r w:rsidRPr="000D09A4" w:rsidR="00E96660">
        <w:rPr>
          <w:szCs w:val="18"/>
        </w:rPr>
        <w:t>(</w:t>
      </w:r>
      <w:r w:rsidRPr="000D09A4">
        <w:rPr>
          <w:szCs w:val="18"/>
        </w:rPr>
        <w:t>AFM)</w:t>
      </w:r>
      <w:r w:rsidRPr="000D09A4" w:rsidR="007663C2">
        <w:rPr>
          <w:szCs w:val="18"/>
        </w:rPr>
        <w:t>.</w:t>
      </w:r>
      <w:r w:rsidRPr="000D09A4" w:rsidR="00A74495">
        <w:rPr>
          <w:szCs w:val="18"/>
        </w:rPr>
        <w:t xml:space="preserve"> DNB is</w:t>
      </w:r>
      <w:r w:rsidRPr="000D09A4" w:rsidR="00EE7996">
        <w:rPr>
          <w:szCs w:val="18"/>
        </w:rPr>
        <w:t xml:space="preserve"> </w:t>
      </w:r>
      <w:r w:rsidRPr="000D09A4" w:rsidR="007663C2">
        <w:rPr>
          <w:szCs w:val="18"/>
        </w:rPr>
        <w:t>tevens</w:t>
      </w:r>
      <w:r w:rsidRPr="000D09A4" w:rsidR="00EE7996">
        <w:rPr>
          <w:szCs w:val="18"/>
        </w:rPr>
        <w:t xml:space="preserve"> </w:t>
      </w:r>
      <w:r w:rsidRPr="000D09A4" w:rsidR="00A74495">
        <w:rPr>
          <w:szCs w:val="18"/>
        </w:rPr>
        <w:t xml:space="preserve">de nationale resolutie- en DGS-autoriteit. </w:t>
      </w:r>
      <w:r w:rsidRPr="000D09A4" w:rsidR="007663C2">
        <w:rPr>
          <w:szCs w:val="18"/>
        </w:rPr>
        <w:t xml:space="preserve">DNB en de AFM </w:t>
      </w:r>
      <w:r w:rsidRPr="000D09A4" w:rsidR="00954C67">
        <w:rPr>
          <w:szCs w:val="18"/>
        </w:rPr>
        <w:t xml:space="preserve">oefenen deze taken uit als </w:t>
      </w:r>
      <w:r w:rsidRPr="000D09A4" w:rsidR="00E51AE7">
        <w:rPr>
          <w:szCs w:val="18"/>
        </w:rPr>
        <w:t>zelfstandige bestuursorganen (</w:t>
      </w:r>
      <w:proofErr w:type="spellStart"/>
      <w:r w:rsidRPr="000D09A4" w:rsidR="00E51AE7">
        <w:rPr>
          <w:szCs w:val="18"/>
        </w:rPr>
        <w:t>zbo’s</w:t>
      </w:r>
      <w:proofErr w:type="spellEnd"/>
      <w:r w:rsidRPr="000D09A4" w:rsidR="00E51AE7">
        <w:rPr>
          <w:szCs w:val="18"/>
        </w:rPr>
        <w:t xml:space="preserve">). </w:t>
      </w:r>
      <w:r w:rsidRPr="000D09A4" w:rsidR="00EE7996">
        <w:rPr>
          <w:szCs w:val="18"/>
        </w:rPr>
        <w:t xml:space="preserve">Naast haar </w:t>
      </w:r>
      <w:proofErr w:type="spellStart"/>
      <w:r w:rsidRPr="000D09A4" w:rsidR="00EE7996">
        <w:rPr>
          <w:szCs w:val="18"/>
        </w:rPr>
        <w:t>zbo</w:t>
      </w:r>
      <w:proofErr w:type="spellEnd"/>
      <w:r w:rsidRPr="000D09A4" w:rsidR="00EE7996">
        <w:rPr>
          <w:szCs w:val="18"/>
        </w:rPr>
        <w:t xml:space="preserve">-taken is DNB, als </w:t>
      </w:r>
      <w:r w:rsidRPr="000D09A4" w:rsidR="007663C2">
        <w:rPr>
          <w:szCs w:val="18"/>
        </w:rPr>
        <w:t xml:space="preserve">de </w:t>
      </w:r>
      <w:r w:rsidRPr="000D09A4" w:rsidR="00EE7996">
        <w:rPr>
          <w:szCs w:val="18"/>
        </w:rPr>
        <w:t>onafhankelijke centrale bank</w:t>
      </w:r>
      <w:r w:rsidRPr="000D09A4" w:rsidR="00BD5197">
        <w:rPr>
          <w:szCs w:val="18"/>
        </w:rPr>
        <w:t xml:space="preserve"> van Nederland</w:t>
      </w:r>
      <w:r w:rsidRPr="000D09A4" w:rsidR="00EE7996">
        <w:rPr>
          <w:szCs w:val="18"/>
        </w:rPr>
        <w:t xml:space="preserve">, </w:t>
      </w:r>
      <w:r w:rsidRPr="000D09A4" w:rsidR="00954C67">
        <w:rPr>
          <w:szCs w:val="18"/>
        </w:rPr>
        <w:t xml:space="preserve">belast </w:t>
      </w:r>
      <w:r w:rsidRPr="000D09A4" w:rsidR="00E51AE7">
        <w:rPr>
          <w:szCs w:val="18"/>
        </w:rPr>
        <w:t xml:space="preserve">met </w:t>
      </w:r>
      <w:r w:rsidRPr="000D09A4" w:rsidR="00954C67">
        <w:rPr>
          <w:szCs w:val="18"/>
        </w:rPr>
        <w:t xml:space="preserve">taken op het gebied van </w:t>
      </w:r>
      <w:r w:rsidRPr="000D09A4" w:rsidR="00BD5197">
        <w:rPr>
          <w:szCs w:val="18"/>
        </w:rPr>
        <w:t xml:space="preserve">onder meer </w:t>
      </w:r>
      <w:r w:rsidRPr="000D09A4" w:rsidR="00954C67">
        <w:rPr>
          <w:szCs w:val="18"/>
        </w:rPr>
        <w:t xml:space="preserve">monetair beleid </w:t>
      </w:r>
      <w:r w:rsidRPr="000D09A4" w:rsidR="00E51AE7">
        <w:rPr>
          <w:szCs w:val="18"/>
        </w:rPr>
        <w:t xml:space="preserve">en betalingsverkeer. </w:t>
      </w:r>
      <w:r w:rsidRPr="000D09A4" w:rsidR="009B3EEF">
        <w:rPr>
          <w:szCs w:val="18"/>
        </w:rPr>
        <w:t xml:space="preserve">Dit document </w:t>
      </w:r>
      <w:r w:rsidRPr="000D09A4" w:rsidR="00716614">
        <w:rPr>
          <w:szCs w:val="18"/>
        </w:rPr>
        <w:t xml:space="preserve">heeft slechts betrekking op </w:t>
      </w:r>
      <w:r w:rsidRPr="000D09A4" w:rsidR="009B3EEF">
        <w:rPr>
          <w:szCs w:val="18"/>
        </w:rPr>
        <w:t xml:space="preserve">de taken die DNB en AFM als </w:t>
      </w:r>
      <w:proofErr w:type="spellStart"/>
      <w:r w:rsidRPr="000D09A4" w:rsidR="009B3EEF">
        <w:rPr>
          <w:szCs w:val="18"/>
        </w:rPr>
        <w:t>zbo</w:t>
      </w:r>
      <w:proofErr w:type="spellEnd"/>
      <w:r w:rsidRPr="000D09A4" w:rsidR="009B3EEF">
        <w:rPr>
          <w:szCs w:val="18"/>
        </w:rPr>
        <w:t xml:space="preserve"> verrichten.</w:t>
      </w:r>
      <w:r w:rsidRPr="000D09A4" w:rsidR="009B3EEF">
        <w:rPr>
          <w:szCs w:val="18"/>
          <w:vertAlign w:val="superscript"/>
        </w:rPr>
        <w:footnoteReference w:id="2"/>
      </w:r>
    </w:p>
    <w:p w:rsidRPr="000D09A4" w:rsidR="00DF641C" w:rsidP="00120629" w:rsidRDefault="00DF641C" w14:paraId="5C0C90E1" w14:textId="77777777">
      <w:pPr>
        <w:spacing w:after="0" w:line="260" w:lineRule="exact"/>
        <w:rPr>
          <w:szCs w:val="18"/>
        </w:rPr>
      </w:pPr>
    </w:p>
    <w:p w:rsidRPr="000D09A4" w:rsidR="00D504B3" w:rsidP="00666DDC" w:rsidRDefault="00DF641C" w14:paraId="691EE7A5" w14:textId="04B582CE">
      <w:pPr>
        <w:spacing w:after="0" w:line="260" w:lineRule="exact"/>
        <w:rPr>
          <w:rFonts w:eastAsia="Arial Unicode MS" w:cs="Arial"/>
          <w:szCs w:val="18"/>
        </w:rPr>
      </w:pPr>
      <w:r w:rsidRPr="000D09A4">
        <w:rPr>
          <w:szCs w:val="18"/>
        </w:rPr>
        <w:t xml:space="preserve">DNB en de AFM </w:t>
      </w:r>
      <w:r w:rsidRPr="000D09A4" w:rsidR="00E31F1A">
        <w:rPr>
          <w:rFonts w:eastAsia="Arial Unicode MS" w:cs="Arial"/>
          <w:szCs w:val="18"/>
        </w:rPr>
        <w:t xml:space="preserve">maken </w:t>
      </w:r>
      <w:r w:rsidRPr="000D09A4" w:rsidR="00954C67">
        <w:rPr>
          <w:rFonts w:eastAsia="Arial Unicode MS" w:cs="Arial"/>
          <w:szCs w:val="18"/>
        </w:rPr>
        <w:t xml:space="preserve">als </w:t>
      </w:r>
      <w:proofErr w:type="spellStart"/>
      <w:r w:rsidRPr="000D09A4" w:rsidR="00954C67">
        <w:rPr>
          <w:rFonts w:eastAsia="Arial Unicode MS" w:cs="Arial"/>
          <w:szCs w:val="18"/>
        </w:rPr>
        <w:t>zbo’s</w:t>
      </w:r>
      <w:proofErr w:type="spellEnd"/>
      <w:r w:rsidRPr="000D09A4" w:rsidR="00954C67">
        <w:rPr>
          <w:rFonts w:eastAsia="Arial Unicode MS" w:cs="Arial"/>
          <w:szCs w:val="18"/>
        </w:rPr>
        <w:t xml:space="preserve"> </w:t>
      </w:r>
      <w:r w:rsidRPr="000D09A4" w:rsidR="00E31F1A">
        <w:rPr>
          <w:rFonts w:eastAsia="Arial Unicode MS" w:cs="Arial"/>
          <w:szCs w:val="18"/>
        </w:rPr>
        <w:t xml:space="preserve">geen onderdeel uit van een ministerie en ontlenen hun taken en bevoegdheden </w:t>
      </w:r>
      <w:r w:rsidRPr="000D09A4" w:rsidR="00EE7996">
        <w:rPr>
          <w:rFonts w:eastAsia="Arial Unicode MS" w:cs="Arial"/>
          <w:szCs w:val="18"/>
        </w:rPr>
        <w:t xml:space="preserve">rechtstreeks </w:t>
      </w:r>
      <w:r w:rsidRPr="000D09A4" w:rsidR="00E31F1A">
        <w:rPr>
          <w:rFonts w:eastAsia="Arial Unicode MS" w:cs="Arial"/>
          <w:szCs w:val="18"/>
        </w:rPr>
        <w:t>aan de wet.</w:t>
      </w:r>
      <w:r w:rsidRPr="000D09A4" w:rsidR="00E31F1A">
        <w:rPr>
          <w:rStyle w:val="Voetnootmarkering"/>
          <w:rFonts w:eastAsia="Arial Unicode MS" w:cs="Arial"/>
          <w:szCs w:val="18"/>
        </w:rPr>
        <w:footnoteReference w:id="3"/>
      </w:r>
      <w:r w:rsidRPr="000D09A4" w:rsidR="00E31F1A">
        <w:rPr>
          <w:rFonts w:eastAsia="Arial Unicode MS" w:cs="Arial"/>
          <w:szCs w:val="18"/>
        </w:rPr>
        <w:t xml:space="preserve"> Zij zijn</w:t>
      </w:r>
      <w:r w:rsidRPr="000D09A4" w:rsidR="00E31F1A">
        <w:rPr>
          <w:szCs w:val="18"/>
        </w:rPr>
        <w:t xml:space="preserve"> </w:t>
      </w:r>
      <w:r w:rsidRPr="000D09A4">
        <w:rPr>
          <w:szCs w:val="18"/>
        </w:rPr>
        <w:t xml:space="preserve">hiermee </w:t>
      </w:r>
      <w:r w:rsidRPr="000D09A4" w:rsidR="00DF5BB5">
        <w:rPr>
          <w:szCs w:val="18"/>
        </w:rPr>
        <w:t xml:space="preserve">op afstand van de </w:t>
      </w:r>
      <w:r w:rsidRPr="000D09A4" w:rsidR="004D6BA0">
        <w:rPr>
          <w:szCs w:val="18"/>
        </w:rPr>
        <w:t xml:space="preserve">minister </w:t>
      </w:r>
      <w:r w:rsidRPr="000D09A4" w:rsidR="00FF1AB0">
        <w:rPr>
          <w:szCs w:val="18"/>
        </w:rPr>
        <w:t xml:space="preserve">van </w:t>
      </w:r>
      <w:r w:rsidRPr="000D09A4" w:rsidR="00CC62B1">
        <w:rPr>
          <w:szCs w:val="18"/>
        </w:rPr>
        <w:t>Financiën</w:t>
      </w:r>
      <w:r w:rsidRPr="000D09A4" w:rsidR="00FF1AB0">
        <w:rPr>
          <w:szCs w:val="18"/>
        </w:rPr>
        <w:t xml:space="preserve"> en het parlement geplaatst. </w:t>
      </w:r>
      <w:r w:rsidRPr="000D09A4">
        <w:rPr>
          <w:szCs w:val="18"/>
        </w:rPr>
        <w:t xml:space="preserve">Vanwege de </w:t>
      </w:r>
      <w:proofErr w:type="spellStart"/>
      <w:r w:rsidRPr="000D09A4" w:rsidR="00395087">
        <w:rPr>
          <w:szCs w:val="18"/>
        </w:rPr>
        <w:t>zbo</w:t>
      </w:r>
      <w:proofErr w:type="spellEnd"/>
      <w:r w:rsidRPr="000D09A4">
        <w:rPr>
          <w:szCs w:val="18"/>
        </w:rPr>
        <w:t xml:space="preserve">-status zijn DNB en de AFM onafhankelijk in de uitvoering van </w:t>
      </w:r>
      <w:r w:rsidRPr="000D09A4" w:rsidR="00E31F1A">
        <w:rPr>
          <w:szCs w:val="18"/>
        </w:rPr>
        <w:t>de aan hen opgedragen</w:t>
      </w:r>
      <w:r w:rsidRPr="000D09A4">
        <w:rPr>
          <w:szCs w:val="18"/>
        </w:rPr>
        <w:t xml:space="preserve"> taken: zij oordelen zelfstandig over individuele gevallen en zijn </w:t>
      </w:r>
      <w:r w:rsidRPr="000D09A4" w:rsidR="00285D5D">
        <w:rPr>
          <w:szCs w:val="18"/>
        </w:rPr>
        <w:t xml:space="preserve">niet ondergeschikt aan de minister. </w:t>
      </w:r>
      <w:r w:rsidRPr="000D09A4" w:rsidR="0009498C">
        <w:rPr>
          <w:szCs w:val="18"/>
        </w:rPr>
        <w:t>De minister heeft</w:t>
      </w:r>
      <w:r w:rsidRPr="000D09A4" w:rsidR="00065AFA">
        <w:rPr>
          <w:szCs w:val="18"/>
        </w:rPr>
        <w:t xml:space="preserve">, met andere woorden, </w:t>
      </w:r>
      <w:r w:rsidRPr="000D09A4" w:rsidR="0009498C">
        <w:rPr>
          <w:szCs w:val="18"/>
        </w:rPr>
        <w:t xml:space="preserve">geen directe of allesomvattende zeggenschap over DNB en AFM. </w:t>
      </w:r>
    </w:p>
    <w:p w:rsidRPr="000D09A4" w:rsidR="00D504B3" w:rsidP="006A7B0A" w:rsidRDefault="006A7B0A" w14:paraId="61A991F6" w14:textId="77777777">
      <w:pPr>
        <w:tabs>
          <w:tab w:val="left" w:pos="3765"/>
        </w:tabs>
        <w:spacing w:after="0" w:line="260" w:lineRule="exact"/>
        <w:rPr>
          <w:rFonts w:eastAsia="Arial Unicode MS" w:cs="Arial"/>
          <w:szCs w:val="18"/>
        </w:rPr>
      </w:pPr>
      <w:r w:rsidRPr="000D09A4">
        <w:rPr>
          <w:rFonts w:eastAsia="Arial Unicode MS" w:cs="Arial"/>
          <w:szCs w:val="18"/>
        </w:rPr>
        <w:tab/>
      </w:r>
    </w:p>
    <w:p w:rsidRPr="000D09A4" w:rsidR="00666DDC" w:rsidP="0062484F" w:rsidRDefault="00D504B3" w14:paraId="41516F39" w14:textId="419FF945">
      <w:pPr>
        <w:spacing w:after="0" w:line="260" w:lineRule="exact"/>
      </w:pPr>
      <w:r w:rsidRPr="000D09A4">
        <w:rPr>
          <w:rFonts w:eastAsia="Arial Unicode MS" w:cs="Arial"/>
          <w:szCs w:val="18"/>
        </w:rPr>
        <w:t xml:space="preserve">De onafhankelijke taakuitvoering door DNB en de AFM laat onverlet dat de </w:t>
      </w:r>
      <w:r w:rsidRPr="000D09A4" w:rsidR="00954C67">
        <w:rPr>
          <w:rFonts w:eastAsia="Arial Unicode MS" w:cs="Arial"/>
          <w:szCs w:val="18"/>
        </w:rPr>
        <w:t xml:space="preserve">minister </w:t>
      </w:r>
      <w:r w:rsidRPr="000D09A4">
        <w:rPr>
          <w:rFonts w:eastAsia="Arial Unicode MS" w:cs="Arial"/>
          <w:szCs w:val="18"/>
        </w:rPr>
        <w:t>van Financiën</w:t>
      </w:r>
      <w:r w:rsidRPr="000D09A4" w:rsidR="00FA6561">
        <w:rPr>
          <w:rStyle w:val="Voetnootmarkering"/>
          <w:rFonts w:eastAsia="Arial Unicode MS" w:cs="Arial"/>
          <w:szCs w:val="18"/>
        </w:rPr>
        <w:footnoteReference w:id="4"/>
      </w:r>
      <w:r w:rsidRPr="000D09A4">
        <w:rPr>
          <w:rFonts w:eastAsia="Arial Unicode MS" w:cs="Arial"/>
          <w:szCs w:val="18"/>
        </w:rPr>
        <w:t xml:space="preserve"> de verantwoordelijkheid draagt voor de vervulling van de publieke taak. We spreken in dit verband van </w:t>
      </w:r>
      <w:r w:rsidRPr="000D09A4" w:rsidR="00FA6561">
        <w:rPr>
          <w:rFonts w:eastAsia="Arial Unicode MS" w:cs="Arial"/>
          <w:szCs w:val="18"/>
        </w:rPr>
        <w:t xml:space="preserve">een </w:t>
      </w:r>
      <w:r w:rsidRPr="000D09A4">
        <w:rPr>
          <w:rFonts w:eastAsia="Arial Unicode MS" w:cs="Arial"/>
          <w:szCs w:val="18"/>
        </w:rPr>
        <w:t xml:space="preserve">systeemverantwoordelijkheid: </w:t>
      </w:r>
      <w:r w:rsidRPr="000D09A4" w:rsidR="00C92AAC">
        <w:rPr>
          <w:rFonts w:eastAsia="Arial Unicode MS" w:cs="Arial"/>
          <w:szCs w:val="18"/>
        </w:rPr>
        <w:t xml:space="preserve">een brede politiek-bestuurlijke verantwoordelijkheid voor de inrichting en ordening (sturing door kaderstelling) van het systeem van </w:t>
      </w:r>
      <w:r w:rsidRPr="000D09A4" w:rsidR="00716614">
        <w:rPr>
          <w:rFonts w:eastAsia="Arial Unicode MS" w:cs="Arial"/>
          <w:szCs w:val="18"/>
        </w:rPr>
        <w:t>het toezicht op de financiële sector</w:t>
      </w:r>
      <w:r w:rsidRPr="000D09A4" w:rsidR="00C92AAC">
        <w:rPr>
          <w:rFonts w:eastAsia="Arial Unicode MS" w:cs="Arial"/>
          <w:szCs w:val="18"/>
        </w:rPr>
        <w:t xml:space="preserve"> en voor het behoorlijk</w:t>
      </w:r>
      <w:r w:rsidRPr="000D09A4" w:rsidR="00DA70FB">
        <w:rPr>
          <w:rFonts w:eastAsia="Arial Unicode MS" w:cs="Arial"/>
          <w:szCs w:val="18"/>
        </w:rPr>
        <w:t xml:space="preserve"> functioneren van dit systeem.</w:t>
      </w:r>
      <w:r w:rsidRPr="000D09A4" w:rsidR="00285D5D">
        <w:rPr>
          <w:szCs w:val="18"/>
        </w:rPr>
        <w:t xml:space="preserve"> Om </w:t>
      </w:r>
      <w:r w:rsidRPr="000D09A4">
        <w:rPr>
          <w:szCs w:val="18"/>
        </w:rPr>
        <w:t xml:space="preserve">deze </w:t>
      </w:r>
      <w:r w:rsidRPr="000D09A4" w:rsidR="00285D5D">
        <w:rPr>
          <w:szCs w:val="18"/>
        </w:rPr>
        <w:t xml:space="preserve">verantwoordelijkheid </w:t>
      </w:r>
      <w:r w:rsidRPr="000D09A4" w:rsidR="00817B9F">
        <w:rPr>
          <w:szCs w:val="18"/>
        </w:rPr>
        <w:t xml:space="preserve">te kunnen dragen moet </w:t>
      </w:r>
      <w:r w:rsidRPr="000D09A4" w:rsidR="00285D5D">
        <w:rPr>
          <w:szCs w:val="18"/>
        </w:rPr>
        <w:t>de minister</w:t>
      </w:r>
      <w:r w:rsidRPr="000D09A4" w:rsidR="00706862">
        <w:rPr>
          <w:szCs w:val="18"/>
        </w:rPr>
        <w:t xml:space="preserve"> </w:t>
      </w:r>
      <w:r w:rsidRPr="000D09A4" w:rsidR="00817B9F">
        <w:rPr>
          <w:szCs w:val="18"/>
        </w:rPr>
        <w:t xml:space="preserve">in de positie zijn om zich een oordeel te kunnen vormen over de wijze waarop de </w:t>
      </w:r>
      <w:proofErr w:type="spellStart"/>
      <w:r w:rsidRPr="000D09A4" w:rsidR="00817B9F">
        <w:rPr>
          <w:szCs w:val="18"/>
        </w:rPr>
        <w:t>zbo’s</w:t>
      </w:r>
      <w:proofErr w:type="spellEnd"/>
      <w:r w:rsidRPr="000D09A4" w:rsidR="00817B9F">
        <w:rPr>
          <w:szCs w:val="18"/>
        </w:rPr>
        <w:t xml:space="preserve"> hun taken vervullen en of zij dit op effectieve en efficiënte wijze doen. De minister oefent </w:t>
      </w:r>
      <w:r w:rsidRPr="000D09A4" w:rsidR="00AE6C9B">
        <w:rPr>
          <w:szCs w:val="18"/>
        </w:rPr>
        <w:t>hiertoe</w:t>
      </w:r>
      <w:r w:rsidRPr="000D09A4" w:rsidR="00817B9F">
        <w:rPr>
          <w:szCs w:val="18"/>
        </w:rPr>
        <w:t xml:space="preserve"> </w:t>
      </w:r>
      <w:r w:rsidRPr="000D09A4" w:rsidR="00706862">
        <w:rPr>
          <w:szCs w:val="18"/>
        </w:rPr>
        <w:t>toezicht uit op DNB en de AFM.</w:t>
      </w:r>
      <w:r w:rsidRPr="000D09A4" w:rsidR="00666DDC">
        <w:rPr>
          <w:szCs w:val="18"/>
        </w:rPr>
        <w:t xml:space="preserve"> </w:t>
      </w:r>
      <w:r w:rsidRPr="000D09A4" w:rsidR="00DA70FB">
        <w:rPr>
          <w:szCs w:val="18"/>
        </w:rPr>
        <w:t xml:space="preserve">De minister heeft hierbij een regisserende en voorwaardenscheppende rol; voor </w:t>
      </w:r>
      <w:r w:rsidRPr="000D09A4" w:rsidR="005B2B4E">
        <w:rPr>
          <w:szCs w:val="18"/>
        </w:rPr>
        <w:t xml:space="preserve">een doelmatige en doeltreffende uitoefening van de </w:t>
      </w:r>
      <w:r w:rsidRPr="000D09A4" w:rsidR="00A32287">
        <w:rPr>
          <w:szCs w:val="18"/>
        </w:rPr>
        <w:t>toezicht</w:t>
      </w:r>
      <w:r w:rsidRPr="000D09A4" w:rsidR="005B2B4E">
        <w:rPr>
          <w:szCs w:val="18"/>
        </w:rPr>
        <w:t>taken</w:t>
      </w:r>
      <w:r w:rsidRPr="000D09A4" w:rsidR="00DA70FB">
        <w:rPr>
          <w:szCs w:val="18"/>
        </w:rPr>
        <w:t xml:space="preserve"> zijn DNB en de AFM verantwoordelijk. De minister houdt wel een toezichthoudende (toetsende) verantwoordelijkheid voor de resultaten </w:t>
      </w:r>
      <w:r w:rsidRPr="000D09A4" w:rsidR="00A32287">
        <w:rPr>
          <w:szCs w:val="18"/>
        </w:rPr>
        <w:t>van het toezichtsysteem</w:t>
      </w:r>
      <w:r w:rsidRPr="000D09A4" w:rsidR="00066E2C">
        <w:rPr>
          <w:szCs w:val="18"/>
        </w:rPr>
        <w:t xml:space="preserve"> (dus ‘toezicht op afstand’)</w:t>
      </w:r>
      <w:r w:rsidRPr="000D09A4" w:rsidR="00DA70FB">
        <w:rPr>
          <w:szCs w:val="18"/>
        </w:rPr>
        <w:t>.</w:t>
      </w:r>
      <w:r w:rsidRPr="000D09A4" w:rsidR="00DA70FB">
        <w:t xml:space="preserve"> </w:t>
      </w:r>
      <w:r w:rsidRPr="000D09A4" w:rsidR="00CF684A">
        <w:t>Kort gezegd komt de systeemverantwoordelijkheid van de minister van Financiën richting DNB en de AFM dus neer op sturing door kaderstelling en toezicht.</w:t>
      </w:r>
    </w:p>
    <w:p w:rsidRPr="000D09A4" w:rsidR="0062484F" w:rsidP="00D33DA6" w:rsidRDefault="0062484F" w14:paraId="6C24A3EA" w14:textId="6CBD3E73">
      <w:pPr>
        <w:spacing w:after="0" w:line="260" w:lineRule="exact"/>
        <w:rPr>
          <w:szCs w:val="18"/>
        </w:rPr>
      </w:pPr>
    </w:p>
    <w:p w:rsidRPr="000D09A4" w:rsidR="00521B3E" w:rsidP="00A936F4" w:rsidRDefault="009F0940" w14:paraId="54B1296A" w14:textId="2397A912">
      <w:pPr>
        <w:spacing w:after="0" w:line="260" w:lineRule="exact"/>
        <w:rPr>
          <w:rStyle w:val="Hyperlink"/>
          <w:rFonts w:cs="Arial"/>
          <w:color w:val="auto"/>
          <w:szCs w:val="18"/>
          <w:u w:val="none"/>
        </w:rPr>
      </w:pPr>
      <w:r w:rsidRPr="000D09A4">
        <w:rPr>
          <w:szCs w:val="18"/>
        </w:rPr>
        <w:t xml:space="preserve">In dit visiedocument </w:t>
      </w:r>
      <w:r w:rsidRPr="000D09A4" w:rsidR="00D33DA6">
        <w:rPr>
          <w:szCs w:val="18"/>
        </w:rPr>
        <w:t>wordt</w:t>
      </w:r>
      <w:r w:rsidRPr="000D09A4" w:rsidR="00D33DA6">
        <w:rPr>
          <w:rFonts w:cs="Arial"/>
          <w:szCs w:val="18"/>
        </w:rPr>
        <w:t xml:space="preserve"> uiteengezet waartoe het toezicht op </w:t>
      </w:r>
      <w:r w:rsidRPr="000D09A4" w:rsidR="00D33DA6">
        <w:rPr>
          <w:szCs w:val="18"/>
        </w:rPr>
        <w:t>DNB en de AFM</w:t>
      </w:r>
      <w:r w:rsidRPr="000D09A4" w:rsidR="00D33DA6">
        <w:rPr>
          <w:rFonts w:cs="Arial"/>
          <w:szCs w:val="18"/>
        </w:rPr>
        <w:t xml:space="preserve"> dient, en welke algemene uitgangspunten </w:t>
      </w:r>
      <w:r w:rsidRPr="000D09A4" w:rsidR="00EA5B73">
        <w:rPr>
          <w:rFonts w:cs="Arial"/>
          <w:szCs w:val="18"/>
        </w:rPr>
        <w:t xml:space="preserve">de </w:t>
      </w:r>
      <w:r w:rsidRPr="000D09A4" w:rsidR="004D6BA0">
        <w:rPr>
          <w:rFonts w:cs="Arial"/>
          <w:szCs w:val="18"/>
        </w:rPr>
        <w:t xml:space="preserve">minister </w:t>
      </w:r>
      <w:r w:rsidRPr="000D09A4" w:rsidR="0055596B">
        <w:rPr>
          <w:rFonts w:cs="Arial"/>
          <w:szCs w:val="18"/>
        </w:rPr>
        <w:t>van Financiën</w:t>
      </w:r>
      <w:r w:rsidRPr="000D09A4" w:rsidR="00325A20">
        <w:rPr>
          <w:rFonts w:cs="Arial"/>
          <w:szCs w:val="18"/>
        </w:rPr>
        <w:t xml:space="preserve"> </w:t>
      </w:r>
      <w:r w:rsidRPr="000D09A4" w:rsidR="00D33DA6">
        <w:rPr>
          <w:rFonts w:cs="Arial"/>
          <w:szCs w:val="18"/>
        </w:rPr>
        <w:t xml:space="preserve">hanteert in de </w:t>
      </w:r>
      <w:r w:rsidRPr="000D09A4" w:rsidR="00145690">
        <w:rPr>
          <w:rFonts w:cs="Arial"/>
          <w:szCs w:val="18"/>
        </w:rPr>
        <w:t xml:space="preserve">vormgeving </w:t>
      </w:r>
      <w:r w:rsidRPr="000D09A4" w:rsidR="000116CD">
        <w:rPr>
          <w:rFonts w:cs="Arial"/>
          <w:szCs w:val="18"/>
        </w:rPr>
        <w:t xml:space="preserve">en uitvoering </w:t>
      </w:r>
      <w:r w:rsidRPr="000D09A4" w:rsidR="00D33DA6">
        <w:rPr>
          <w:rFonts w:cs="Arial"/>
          <w:szCs w:val="18"/>
        </w:rPr>
        <w:t>van dat toezicht.</w:t>
      </w:r>
      <w:r w:rsidRPr="000D09A4" w:rsidR="008B7E57">
        <w:rPr>
          <w:rFonts w:cs="Arial"/>
          <w:szCs w:val="18"/>
        </w:rPr>
        <w:t xml:space="preserve"> Deze uitgangspunten worden </w:t>
      </w:r>
      <w:r w:rsidRPr="000D09A4" w:rsidR="007835E1">
        <w:rPr>
          <w:rFonts w:cs="Arial"/>
          <w:szCs w:val="18"/>
        </w:rPr>
        <w:t xml:space="preserve">nader </w:t>
      </w:r>
      <w:r w:rsidRPr="000D09A4" w:rsidR="008B7E57">
        <w:rPr>
          <w:rFonts w:cs="Arial"/>
          <w:szCs w:val="18"/>
        </w:rPr>
        <w:t xml:space="preserve">uitgewerkt in het </w:t>
      </w:r>
      <w:r w:rsidRPr="000D09A4" w:rsidR="00663C5C">
        <w:rPr>
          <w:rFonts w:cs="Arial"/>
          <w:i/>
          <w:szCs w:val="18"/>
        </w:rPr>
        <w:t>Toezichtarrangement DNB en de AFM</w:t>
      </w:r>
      <w:r w:rsidRPr="000D09A4" w:rsidR="000D1ACE">
        <w:rPr>
          <w:i/>
          <w:szCs w:val="18"/>
        </w:rPr>
        <w:t xml:space="preserve"> </w:t>
      </w:r>
      <w:r w:rsidRPr="000D09A4" w:rsidR="008B7E57">
        <w:rPr>
          <w:szCs w:val="18"/>
        </w:rPr>
        <w:t xml:space="preserve">(hierna: toezichtarrangement) dat is opgenomen in </w:t>
      </w:r>
      <w:r w:rsidRPr="000D09A4" w:rsidR="007835E1">
        <w:rPr>
          <w:szCs w:val="18"/>
        </w:rPr>
        <w:t xml:space="preserve">bijlage </w:t>
      </w:r>
      <w:hyperlink w:history="1" w:anchor="_Bijlage_I_–">
        <w:r w:rsidRPr="000D09A4" w:rsidR="00663C5C">
          <w:rPr>
            <w:rStyle w:val="Hyperlink"/>
            <w:color w:val="auto"/>
            <w:szCs w:val="18"/>
            <w:u w:val="none"/>
          </w:rPr>
          <w:t>1</w:t>
        </w:r>
      </w:hyperlink>
      <w:r w:rsidRPr="000D09A4" w:rsidR="007835E1">
        <w:rPr>
          <w:rStyle w:val="Hyperlink"/>
          <w:color w:val="auto"/>
          <w:szCs w:val="18"/>
          <w:u w:val="none"/>
        </w:rPr>
        <w:t>. Daarnaast</w:t>
      </w:r>
      <w:r w:rsidRPr="000D09A4" w:rsidR="00130577">
        <w:rPr>
          <w:rStyle w:val="Hyperlink"/>
          <w:color w:val="auto"/>
          <w:szCs w:val="18"/>
          <w:u w:val="none"/>
        </w:rPr>
        <w:t xml:space="preserve"> </w:t>
      </w:r>
      <w:r w:rsidRPr="000D09A4" w:rsidR="00735C81">
        <w:rPr>
          <w:rStyle w:val="Hyperlink"/>
          <w:color w:val="auto"/>
          <w:szCs w:val="18"/>
          <w:u w:val="none"/>
        </w:rPr>
        <w:t>vindt</w:t>
      </w:r>
      <w:r w:rsidRPr="000D09A4" w:rsidR="00130577">
        <w:rPr>
          <w:rStyle w:val="Hyperlink"/>
          <w:color w:val="auto"/>
          <w:szCs w:val="18"/>
          <w:u w:val="none"/>
        </w:rPr>
        <w:t xml:space="preserve"> </w:t>
      </w:r>
      <w:r w:rsidRPr="000D09A4" w:rsidR="00735C81">
        <w:rPr>
          <w:rStyle w:val="Hyperlink"/>
          <w:color w:val="auto"/>
          <w:szCs w:val="18"/>
          <w:u w:val="none"/>
        </w:rPr>
        <w:t>o</w:t>
      </w:r>
      <w:r w:rsidRPr="000D09A4" w:rsidR="00130577">
        <w:rPr>
          <w:rStyle w:val="Hyperlink"/>
          <w:color w:val="auto"/>
          <w:szCs w:val="18"/>
          <w:u w:val="none"/>
        </w:rPr>
        <w:t>p een aantal specifieke punten nader</w:t>
      </w:r>
      <w:r w:rsidRPr="000D09A4" w:rsidR="00735C81">
        <w:rPr>
          <w:rStyle w:val="Hyperlink"/>
          <w:color w:val="auto"/>
          <w:szCs w:val="18"/>
          <w:u w:val="none"/>
        </w:rPr>
        <w:t>e</w:t>
      </w:r>
      <w:r w:rsidRPr="000D09A4" w:rsidR="00130577">
        <w:rPr>
          <w:rStyle w:val="Hyperlink"/>
          <w:color w:val="auto"/>
          <w:szCs w:val="18"/>
          <w:u w:val="none"/>
        </w:rPr>
        <w:t xml:space="preserve"> uitwerk</w:t>
      </w:r>
      <w:r w:rsidRPr="000D09A4" w:rsidR="00735C81">
        <w:rPr>
          <w:rStyle w:val="Hyperlink"/>
          <w:color w:val="auto"/>
          <w:szCs w:val="18"/>
          <w:u w:val="none"/>
        </w:rPr>
        <w:t>ing plaats</w:t>
      </w:r>
      <w:r w:rsidRPr="000D09A4" w:rsidR="00130577">
        <w:rPr>
          <w:rStyle w:val="Hyperlink"/>
          <w:color w:val="auto"/>
          <w:szCs w:val="18"/>
          <w:u w:val="none"/>
        </w:rPr>
        <w:t xml:space="preserve"> in </w:t>
      </w:r>
      <w:r w:rsidRPr="000D09A4" w:rsidR="008B7E57">
        <w:rPr>
          <w:szCs w:val="18"/>
        </w:rPr>
        <w:t xml:space="preserve">het </w:t>
      </w:r>
      <w:r w:rsidRPr="000D09A4" w:rsidR="008B7E57">
        <w:rPr>
          <w:rFonts w:cs="Arial"/>
          <w:i/>
          <w:szCs w:val="18"/>
        </w:rPr>
        <w:t>Controleprotocol financiële verantwoording Autoriteit Financiële Markten en De Nederlandsche Bank</w:t>
      </w:r>
      <w:r w:rsidRPr="000D09A4" w:rsidR="00521756">
        <w:rPr>
          <w:rFonts w:cs="Arial"/>
          <w:szCs w:val="18"/>
        </w:rPr>
        <w:t xml:space="preserve"> (hierna: controleprotocol)</w:t>
      </w:r>
      <w:r w:rsidRPr="000D09A4" w:rsidR="008B7E57">
        <w:rPr>
          <w:rFonts w:cs="Arial"/>
          <w:szCs w:val="18"/>
        </w:rPr>
        <w:t xml:space="preserve">, welk document ertoe dient </w:t>
      </w:r>
      <w:r w:rsidRPr="000D09A4" w:rsidR="00B834A9">
        <w:rPr>
          <w:rFonts w:cs="Arial"/>
          <w:szCs w:val="18"/>
        </w:rPr>
        <w:t xml:space="preserve">om </w:t>
      </w:r>
      <w:r w:rsidRPr="000D09A4" w:rsidR="008B7E57">
        <w:rPr>
          <w:rFonts w:cs="Arial"/>
          <w:szCs w:val="18"/>
        </w:rPr>
        <w:t xml:space="preserve">de externe accountant van </w:t>
      </w:r>
      <w:r w:rsidRPr="000D09A4" w:rsidR="000116CD">
        <w:rPr>
          <w:rFonts w:cs="Arial"/>
          <w:szCs w:val="18"/>
        </w:rPr>
        <w:t xml:space="preserve">de </w:t>
      </w:r>
      <w:r w:rsidRPr="000D09A4" w:rsidR="00B834A9">
        <w:rPr>
          <w:rFonts w:cs="Arial"/>
          <w:szCs w:val="18"/>
        </w:rPr>
        <w:t xml:space="preserve">beide </w:t>
      </w:r>
      <w:proofErr w:type="spellStart"/>
      <w:r w:rsidRPr="000D09A4" w:rsidR="00395087">
        <w:rPr>
          <w:rFonts w:cs="Arial"/>
          <w:szCs w:val="18"/>
        </w:rPr>
        <w:t>zbo</w:t>
      </w:r>
      <w:r w:rsidRPr="000D09A4" w:rsidR="000116CD">
        <w:rPr>
          <w:rFonts w:cs="Arial"/>
          <w:szCs w:val="18"/>
        </w:rPr>
        <w:t>’s</w:t>
      </w:r>
      <w:proofErr w:type="spellEnd"/>
      <w:r w:rsidRPr="000D09A4" w:rsidR="000116CD">
        <w:rPr>
          <w:rFonts w:cs="Arial"/>
          <w:szCs w:val="18"/>
        </w:rPr>
        <w:t xml:space="preserve"> </w:t>
      </w:r>
      <w:r w:rsidRPr="000D09A4" w:rsidR="008B7E57">
        <w:rPr>
          <w:rFonts w:cs="Arial"/>
          <w:szCs w:val="18"/>
        </w:rPr>
        <w:t xml:space="preserve">nadere aanwijzingen te geven bij de accountantscontrole van de jaarrekening c.q. verantwoording, </w:t>
      </w:r>
      <w:r w:rsidRPr="000D09A4" w:rsidR="00130577">
        <w:rPr>
          <w:rFonts w:cs="Arial"/>
          <w:szCs w:val="18"/>
        </w:rPr>
        <w:t xml:space="preserve">alsmede in </w:t>
      </w:r>
      <w:r w:rsidRPr="000D09A4" w:rsidR="00735C81">
        <w:rPr>
          <w:rFonts w:cs="Arial"/>
          <w:szCs w:val="18"/>
        </w:rPr>
        <w:t>het</w:t>
      </w:r>
      <w:r w:rsidRPr="000D09A4" w:rsidR="00130577">
        <w:rPr>
          <w:rFonts w:cs="Arial"/>
          <w:szCs w:val="18"/>
        </w:rPr>
        <w:t xml:space="preserve"> protocol tussen </w:t>
      </w:r>
      <w:r w:rsidRPr="000D09A4" w:rsidR="0016628B">
        <w:rPr>
          <w:rFonts w:cs="Arial"/>
          <w:szCs w:val="18"/>
        </w:rPr>
        <w:t>de</w:t>
      </w:r>
      <w:r w:rsidRPr="000D09A4" w:rsidR="00130577">
        <w:rPr>
          <w:rFonts w:cs="Arial"/>
          <w:szCs w:val="18"/>
        </w:rPr>
        <w:t xml:space="preserve"> </w:t>
      </w:r>
      <w:r w:rsidRPr="000D09A4" w:rsidR="004D6BA0">
        <w:rPr>
          <w:rFonts w:cs="Arial"/>
          <w:szCs w:val="18"/>
        </w:rPr>
        <w:t xml:space="preserve">minister </w:t>
      </w:r>
      <w:r w:rsidRPr="000D09A4" w:rsidR="00130577">
        <w:rPr>
          <w:rFonts w:cs="Arial"/>
          <w:szCs w:val="18"/>
        </w:rPr>
        <w:t xml:space="preserve">van Financiën en de </w:t>
      </w:r>
      <w:r w:rsidRPr="000D09A4" w:rsidR="006D076B">
        <w:rPr>
          <w:rFonts w:cs="Arial"/>
          <w:szCs w:val="18"/>
        </w:rPr>
        <w:t xml:space="preserve">minister </w:t>
      </w:r>
      <w:r w:rsidRPr="000D09A4" w:rsidR="00130577">
        <w:rPr>
          <w:rFonts w:cs="Arial"/>
          <w:szCs w:val="18"/>
        </w:rPr>
        <w:t>van Sociale Zaken en Werkgelegenheid inzake de onderlinge samenwerking in het kader van hun verantwoordelijkheden bij de begroting en verantwoording van de</w:t>
      </w:r>
      <w:r w:rsidRPr="000D09A4" w:rsidR="000116CD">
        <w:rPr>
          <w:rFonts w:cs="Arial"/>
          <w:szCs w:val="18"/>
        </w:rPr>
        <w:t xml:space="preserve"> </w:t>
      </w:r>
      <w:proofErr w:type="spellStart"/>
      <w:r w:rsidRPr="000D09A4" w:rsidR="00395087">
        <w:rPr>
          <w:rFonts w:cs="Arial"/>
          <w:szCs w:val="18"/>
        </w:rPr>
        <w:t>zbo</w:t>
      </w:r>
      <w:r w:rsidRPr="000D09A4" w:rsidR="000116CD">
        <w:rPr>
          <w:rFonts w:cs="Arial"/>
          <w:szCs w:val="18"/>
        </w:rPr>
        <w:t>’s</w:t>
      </w:r>
      <w:proofErr w:type="spellEnd"/>
      <w:r w:rsidRPr="000D09A4" w:rsidR="00735C81">
        <w:rPr>
          <w:rFonts w:cs="Arial"/>
          <w:szCs w:val="18"/>
        </w:rPr>
        <w:t xml:space="preserve">. Deze protocollen zijn </w:t>
      </w:r>
      <w:r w:rsidRPr="000D09A4" w:rsidR="008B7E57">
        <w:rPr>
          <w:rFonts w:cs="Arial"/>
          <w:szCs w:val="18"/>
        </w:rPr>
        <w:t>opgenomen in bijlage</w:t>
      </w:r>
      <w:r w:rsidRPr="000D09A4" w:rsidR="00735C81">
        <w:rPr>
          <w:rFonts w:cs="Arial"/>
          <w:szCs w:val="18"/>
        </w:rPr>
        <w:t>n</w:t>
      </w:r>
      <w:r w:rsidRPr="000D09A4" w:rsidR="008B7E57">
        <w:rPr>
          <w:rFonts w:cs="Arial"/>
          <w:szCs w:val="18"/>
        </w:rPr>
        <w:t xml:space="preserve"> </w:t>
      </w:r>
      <w:r w:rsidRPr="000D09A4" w:rsidR="0055596B">
        <w:rPr>
          <w:rFonts w:cs="Arial"/>
          <w:szCs w:val="18"/>
        </w:rPr>
        <w:t>2</w:t>
      </w:r>
      <w:r w:rsidRPr="000D09A4" w:rsidR="00E03AE7">
        <w:rPr>
          <w:rFonts w:cs="Arial"/>
          <w:szCs w:val="18"/>
        </w:rPr>
        <w:t xml:space="preserve"> </w:t>
      </w:r>
      <w:r w:rsidRPr="000D09A4" w:rsidR="00735C81">
        <w:rPr>
          <w:rStyle w:val="Hyperlink"/>
          <w:rFonts w:cs="Arial"/>
          <w:color w:val="auto"/>
          <w:szCs w:val="18"/>
          <w:u w:val="none"/>
        </w:rPr>
        <w:t xml:space="preserve">en </w:t>
      </w:r>
      <w:hyperlink w:history="1" w:anchor="_Bijlage_III_–">
        <w:r w:rsidRPr="000D09A4" w:rsidR="0055596B">
          <w:rPr>
            <w:rStyle w:val="Hyperlink"/>
            <w:rFonts w:cs="Arial"/>
            <w:color w:val="auto"/>
            <w:szCs w:val="18"/>
            <w:u w:val="none"/>
          </w:rPr>
          <w:t>3</w:t>
        </w:r>
      </w:hyperlink>
      <w:r w:rsidRPr="000D09A4" w:rsidR="005E020F">
        <w:rPr>
          <w:rStyle w:val="Hyperlink"/>
          <w:rFonts w:cs="Arial"/>
          <w:color w:val="auto"/>
          <w:szCs w:val="18"/>
          <w:u w:val="none"/>
        </w:rPr>
        <w:t>.</w:t>
      </w:r>
    </w:p>
    <w:p w:rsidRPr="000D09A4" w:rsidR="00A936F4" w:rsidP="00A936F4" w:rsidRDefault="00A936F4" w14:paraId="2B8EA672" w14:textId="77777777">
      <w:pPr>
        <w:spacing w:after="0" w:line="260" w:lineRule="exact"/>
        <w:rPr>
          <w:rFonts w:cs="Arial"/>
          <w:szCs w:val="18"/>
        </w:rPr>
      </w:pPr>
    </w:p>
    <w:p w:rsidRPr="000D09A4" w:rsidR="006B7B69" w:rsidP="00E57126" w:rsidRDefault="006B7B69" w14:paraId="2220679A" w14:textId="77777777">
      <w:pPr>
        <w:pStyle w:val="Geenafstand"/>
        <w:spacing w:line="260" w:lineRule="atLeast"/>
        <w:rPr>
          <w:i/>
        </w:rPr>
      </w:pPr>
      <w:bookmarkStart w:name="_Toc6252079" w:id="4"/>
    </w:p>
    <w:p w:rsidRPr="000D09A4" w:rsidR="00077AF4" w:rsidP="00E57126" w:rsidRDefault="00077AF4" w14:paraId="1A941C36" w14:textId="33DF8C91">
      <w:pPr>
        <w:pStyle w:val="Geenafstand"/>
        <w:spacing w:line="260" w:lineRule="atLeast"/>
        <w:rPr>
          <w:i/>
        </w:rPr>
      </w:pPr>
      <w:r w:rsidRPr="000D09A4">
        <w:rPr>
          <w:i/>
        </w:rPr>
        <w:t>Voorgeschiedenis</w:t>
      </w:r>
      <w:bookmarkEnd w:id="4"/>
    </w:p>
    <w:p w:rsidRPr="000D09A4" w:rsidR="009F04B2" w:rsidP="00E57126" w:rsidRDefault="00077AF4" w14:paraId="3F0B1151" w14:textId="464CF298">
      <w:pPr>
        <w:spacing w:line="260" w:lineRule="atLeast"/>
        <w:rPr>
          <w:rFonts w:asciiTheme="minorHAnsi" w:hAnsiTheme="minorHAnsi"/>
        </w:rPr>
      </w:pPr>
      <w:r w:rsidRPr="000D09A4">
        <w:t xml:space="preserve">Mede naar aanleiding van het rapport van de </w:t>
      </w:r>
      <w:r w:rsidRPr="000D09A4" w:rsidR="00C63F6C">
        <w:t>Tijdelijke commissie onderzoek financieel stelsel (c</w:t>
      </w:r>
      <w:r w:rsidRPr="000D09A4">
        <w:t>ommissie</w:t>
      </w:r>
      <w:r w:rsidRPr="000D09A4" w:rsidR="00C63F6C">
        <w:t>-</w:t>
      </w:r>
      <w:r w:rsidRPr="000D09A4">
        <w:t>De Wit</w:t>
      </w:r>
      <w:r w:rsidRPr="000D09A4" w:rsidR="00C63F6C">
        <w:t xml:space="preserve"> I,</w:t>
      </w:r>
      <w:r w:rsidRPr="000D09A4">
        <w:t xml:space="preserve"> 2010) en de constatering in rapporten van de Algemene Rekenkamer dat in de wet- en regelgeving op het terrein van de financiële markten onvo</w:t>
      </w:r>
      <w:r w:rsidRPr="000D09A4" w:rsidR="00EA5B73">
        <w:t xml:space="preserve">ldoende naar voren kwam hoe de </w:t>
      </w:r>
      <w:r w:rsidRPr="000D09A4" w:rsidR="006D076B">
        <w:t xml:space="preserve">minister </w:t>
      </w:r>
      <w:r w:rsidRPr="000D09A4">
        <w:t>van Financiën het toezicht op DNB en de AFM had ingericht,</w:t>
      </w:r>
      <w:r w:rsidRPr="000D09A4" w:rsidR="0055596B">
        <w:t xml:space="preserve"> is in 2011 de visie </w:t>
      </w:r>
      <w:r w:rsidRPr="000D09A4" w:rsidR="0055596B">
        <w:rPr>
          <w:i/>
        </w:rPr>
        <w:t>Toezicht op afstand</w:t>
      </w:r>
      <w:r w:rsidRPr="000D09A4">
        <w:t xml:space="preserve"> tot stand gebracht.</w:t>
      </w:r>
      <w:r w:rsidRPr="000D09A4" w:rsidR="009F04B2">
        <w:rPr>
          <w:rStyle w:val="Voetnootmarkering"/>
        </w:rPr>
        <w:footnoteReference w:id="5"/>
      </w:r>
      <w:r w:rsidRPr="000D09A4">
        <w:t xml:space="preserve"> Dit document beschrijft hoe de minister invulling geeft aan zijn toezichttaak en welke versterkingen daarin op dat moment nog werden beoogd. Leidraad van deze beschrijving </w:t>
      </w:r>
      <w:r w:rsidRPr="000D09A4" w:rsidR="007835E1">
        <w:t>vormden</w:t>
      </w:r>
      <w:r w:rsidRPr="000D09A4">
        <w:t xml:space="preserve"> de zes pr</w:t>
      </w:r>
      <w:r w:rsidRPr="000D09A4" w:rsidR="00AE7EF8">
        <w:t>incipes van goed toezicht uit een</w:t>
      </w:r>
      <w:r w:rsidRPr="000D09A4">
        <w:t xml:space="preserve"> rijksbrede toezichtvisie uit 2005: </w:t>
      </w:r>
      <w:r w:rsidRPr="000D09A4">
        <w:rPr>
          <w:rFonts w:asciiTheme="minorHAnsi" w:hAnsiTheme="minorHAnsi"/>
        </w:rPr>
        <w:t>(i) selectief, (ii) slagvaardig, (iii) samenwerkend, (iv) onafhankelijk, (v) transparant en (vi) professioneel.</w:t>
      </w:r>
      <w:r w:rsidRPr="000D09A4" w:rsidR="009F04B2">
        <w:rPr>
          <w:rStyle w:val="Voetnootmarkering"/>
          <w:rFonts w:asciiTheme="minorHAnsi" w:hAnsiTheme="minorHAnsi"/>
        </w:rPr>
        <w:footnoteReference w:id="6"/>
      </w:r>
      <w:r w:rsidRPr="000D09A4">
        <w:rPr>
          <w:rFonts w:asciiTheme="minorHAnsi" w:hAnsiTheme="minorHAnsi"/>
        </w:rPr>
        <w:t xml:space="preserve"> Als bijlagen waren het toezichtarrangement en het controleprotocol gevoegd. </w:t>
      </w:r>
      <w:r w:rsidRPr="000D09A4" w:rsidR="007835E1">
        <w:rPr>
          <w:rFonts w:asciiTheme="minorHAnsi" w:hAnsiTheme="minorHAnsi"/>
        </w:rPr>
        <w:t>De laatstgenoemde</w:t>
      </w:r>
      <w:r w:rsidRPr="000D09A4" w:rsidR="009F04B2">
        <w:rPr>
          <w:rFonts w:asciiTheme="minorHAnsi" w:hAnsiTheme="minorHAnsi"/>
        </w:rPr>
        <w:t xml:space="preserve"> documenten zijn in 2012</w:t>
      </w:r>
      <w:r w:rsidRPr="000D09A4" w:rsidR="009F04B2">
        <w:rPr>
          <w:rStyle w:val="Voetnootmarkering"/>
          <w:rFonts w:asciiTheme="minorHAnsi" w:hAnsiTheme="minorHAnsi"/>
        </w:rPr>
        <w:footnoteReference w:id="7"/>
      </w:r>
      <w:r w:rsidRPr="000D09A4" w:rsidR="003F23BC">
        <w:rPr>
          <w:rFonts w:asciiTheme="minorHAnsi" w:hAnsiTheme="minorHAnsi"/>
        </w:rPr>
        <w:t xml:space="preserve">, </w:t>
      </w:r>
      <w:r w:rsidRPr="000D09A4" w:rsidR="009F04B2">
        <w:rPr>
          <w:rFonts w:asciiTheme="minorHAnsi" w:hAnsiTheme="minorHAnsi"/>
        </w:rPr>
        <w:t>in 2014</w:t>
      </w:r>
      <w:r w:rsidRPr="000D09A4" w:rsidR="009F04B2">
        <w:rPr>
          <w:rStyle w:val="Voetnootmarkering"/>
          <w:rFonts w:asciiTheme="minorHAnsi" w:hAnsiTheme="minorHAnsi"/>
        </w:rPr>
        <w:footnoteReference w:id="8"/>
      </w:r>
      <w:r w:rsidRPr="000D09A4" w:rsidR="003F23BC">
        <w:rPr>
          <w:rFonts w:asciiTheme="minorHAnsi" w:hAnsiTheme="minorHAnsi"/>
        </w:rPr>
        <w:t xml:space="preserve"> en opnieuw in 2019</w:t>
      </w:r>
      <w:r w:rsidRPr="000D09A4" w:rsidR="003F23BC">
        <w:rPr>
          <w:rStyle w:val="Voetnootmarkering"/>
          <w:rFonts w:asciiTheme="minorHAnsi" w:hAnsiTheme="minorHAnsi"/>
        </w:rPr>
        <w:footnoteReference w:id="9"/>
      </w:r>
      <w:r w:rsidRPr="000D09A4" w:rsidR="009F04B2">
        <w:rPr>
          <w:rFonts w:asciiTheme="minorHAnsi" w:hAnsiTheme="minorHAnsi"/>
        </w:rPr>
        <w:t xml:space="preserve"> geactualiseerd. Vanaf 2012 maakte </w:t>
      </w:r>
      <w:r w:rsidRPr="000D09A4" w:rsidR="007835E1">
        <w:rPr>
          <w:rFonts w:asciiTheme="minorHAnsi" w:hAnsiTheme="minorHAnsi"/>
        </w:rPr>
        <w:t>bovendien</w:t>
      </w:r>
      <w:r w:rsidRPr="000D09A4" w:rsidR="009F04B2">
        <w:rPr>
          <w:rFonts w:asciiTheme="minorHAnsi" w:hAnsiTheme="minorHAnsi"/>
        </w:rPr>
        <w:t xml:space="preserve"> e</w:t>
      </w:r>
      <w:r w:rsidRPr="000D09A4" w:rsidR="00EA5B73">
        <w:rPr>
          <w:rFonts w:asciiTheme="minorHAnsi" w:hAnsiTheme="minorHAnsi"/>
        </w:rPr>
        <w:t xml:space="preserve">en soortgelijk protocol met de </w:t>
      </w:r>
      <w:r w:rsidRPr="000D09A4" w:rsidR="006D076B">
        <w:rPr>
          <w:rFonts w:asciiTheme="minorHAnsi" w:hAnsiTheme="minorHAnsi"/>
        </w:rPr>
        <w:t xml:space="preserve">minister </w:t>
      </w:r>
      <w:r w:rsidRPr="000D09A4" w:rsidR="009F04B2">
        <w:rPr>
          <w:rFonts w:asciiTheme="minorHAnsi" w:hAnsiTheme="minorHAnsi"/>
        </w:rPr>
        <w:t>van Sociale Zaken en Werkgelegenheid als hierboven genoemd onderdeel van de stukken uit.</w:t>
      </w:r>
      <w:r w:rsidRPr="000D09A4" w:rsidR="00073C15">
        <w:rPr>
          <w:rFonts w:asciiTheme="minorHAnsi" w:hAnsiTheme="minorHAnsi"/>
        </w:rPr>
        <w:t xml:space="preserve"> </w:t>
      </w:r>
    </w:p>
    <w:p w:rsidRPr="000D09A4" w:rsidR="00F712FD" w:rsidP="00E57126" w:rsidRDefault="00F712FD" w14:paraId="6FAB516D" w14:textId="77777777">
      <w:pPr>
        <w:spacing w:line="260" w:lineRule="atLeast"/>
        <w:rPr>
          <w:rFonts w:asciiTheme="minorHAnsi" w:hAnsiTheme="minorHAnsi"/>
        </w:rPr>
      </w:pPr>
    </w:p>
    <w:p w:rsidRPr="000D09A4" w:rsidR="00AB240D" w:rsidP="00D14660" w:rsidRDefault="006E37CA" w14:paraId="26A43821" w14:textId="434201F3">
      <w:pPr>
        <w:pStyle w:val="Geenafstand"/>
        <w:rPr>
          <w:i/>
        </w:rPr>
      </w:pPr>
      <w:r w:rsidRPr="000D09A4">
        <w:rPr>
          <w:i/>
        </w:rPr>
        <w:t>Actualisatie</w:t>
      </w:r>
    </w:p>
    <w:p w:rsidRPr="000D09A4" w:rsidR="00167EA6" w:rsidP="00120629" w:rsidRDefault="00AB240D" w14:paraId="40992471" w14:textId="635A3AE2">
      <w:pPr>
        <w:spacing w:after="0" w:line="260" w:lineRule="exact"/>
        <w:rPr>
          <w:rFonts w:cs="Arial"/>
          <w:szCs w:val="18"/>
        </w:rPr>
      </w:pPr>
      <w:r w:rsidRPr="000D09A4">
        <w:rPr>
          <w:szCs w:val="18"/>
        </w:rPr>
        <w:t>De</w:t>
      </w:r>
      <w:r w:rsidRPr="000D09A4" w:rsidR="0017208B">
        <w:rPr>
          <w:szCs w:val="18"/>
        </w:rPr>
        <w:t xml:space="preserve"> voorliggende</w:t>
      </w:r>
      <w:r w:rsidRPr="000D09A4">
        <w:rPr>
          <w:szCs w:val="18"/>
        </w:rPr>
        <w:t xml:space="preserve"> visie en de </w:t>
      </w:r>
      <w:r w:rsidRPr="000D09A4" w:rsidR="00CA1CF5">
        <w:rPr>
          <w:szCs w:val="18"/>
        </w:rPr>
        <w:t xml:space="preserve">hierbij </w:t>
      </w:r>
      <w:r w:rsidRPr="000D09A4">
        <w:rPr>
          <w:szCs w:val="18"/>
        </w:rPr>
        <w:t xml:space="preserve">behorende bijlagen zijn </w:t>
      </w:r>
      <w:r w:rsidRPr="000D09A4" w:rsidR="006E37CA">
        <w:rPr>
          <w:szCs w:val="18"/>
        </w:rPr>
        <w:t>een actualisatie</w:t>
      </w:r>
      <w:r w:rsidRPr="000D09A4">
        <w:rPr>
          <w:szCs w:val="18"/>
        </w:rPr>
        <w:t xml:space="preserve"> van </w:t>
      </w:r>
      <w:r w:rsidRPr="000D09A4" w:rsidR="0017208B">
        <w:rPr>
          <w:szCs w:val="18"/>
        </w:rPr>
        <w:t xml:space="preserve">de </w:t>
      </w:r>
      <w:r w:rsidRPr="000D09A4">
        <w:rPr>
          <w:szCs w:val="18"/>
        </w:rPr>
        <w:t>versies van d</w:t>
      </w:r>
      <w:r w:rsidRPr="000D09A4" w:rsidR="00767411">
        <w:rPr>
          <w:szCs w:val="18"/>
        </w:rPr>
        <w:t>e</w:t>
      </w:r>
      <w:r w:rsidRPr="000D09A4">
        <w:rPr>
          <w:szCs w:val="18"/>
        </w:rPr>
        <w:t xml:space="preserve"> </w:t>
      </w:r>
      <w:r w:rsidRPr="000D09A4" w:rsidR="00767411">
        <w:rPr>
          <w:szCs w:val="18"/>
        </w:rPr>
        <w:t xml:space="preserve">betreffende </w:t>
      </w:r>
      <w:r w:rsidRPr="000D09A4">
        <w:rPr>
          <w:szCs w:val="18"/>
        </w:rPr>
        <w:t>documenten</w:t>
      </w:r>
      <w:r w:rsidRPr="000D09A4" w:rsidR="006E37CA">
        <w:rPr>
          <w:szCs w:val="18"/>
        </w:rPr>
        <w:t xml:space="preserve"> uit 2019, uitgevoerd door</w:t>
      </w:r>
      <w:r w:rsidRPr="000D09A4">
        <w:rPr>
          <w:szCs w:val="18"/>
        </w:rPr>
        <w:t xml:space="preserve"> </w:t>
      </w:r>
      <w:r w:rsidRPr="000D09A4" w:rsidR="00437318">
        <w:rPr>
          <w:szCs w:val="18"/>
        </w:rPr>
        <w:t>de relevante onderdelen van het ministerie van Financiën</w:t>
      </w:r>
      <w:r w:rsidRPr="000D09A4" w:rsidR="006E37CA">
        <w:rPr>
          <w:szCs w:val="18"/>
        </w:rPr>
        <w:t xml:space="preserve">, </w:t>
      </w:r>
      <w:r w:rsidRPr="000D09A4" w:rsidR="0017208B">
        <w:rPr>
          <w:szCs w:val="18"/>
        </w:rPr>
        <w:t>DNB en de AFM</w:t>
      </w:r>
      <w:r w:rsidRPr="000D09A4" w:rsidR="00437318">
        <w:rPr>
          <w:szCs w:val="18"/>
        </w:rPr>
        <w:t>.</w:t>
      </w:r>
      <w:r w:rsidRPr="000D09A4" w:rsidR="00B06FDD">
        <w:rPr>
          <w:rStyle w:val="Voetnootmarkering"/>
          <w:szCs w:val="18"/>
        </w:rPr>
        <w:footnoteReference w:id="10"/>
      </w:r>
      <w:r w:rsidRPr="000D09A4" w:rsidR="005F0A0D">
        <w:rPr>
          <w:szCs w:val="18"/>
        </w:rPr>
        <w:t xml:space="preserve"> </w:t>
      </w:r>
      <w:r w:rsidRPr="000D09A4" w:rsidR="00F712FD">
        <w:rPr>
          <w:szCs w:val="18"/>
        </w:rPr>
        <w:t xml:space="preserve">In deze actualisatie is de opzet van deze visie alsmede het toezichtarrangement en de beide overige bijlagen dezelfde gebleven, maar zijn de stukken </w:t>
      </w:r>
      <w:r w:rsidRPr="000D09A4" w:rsidR="00E942A6">
        <w:rPr>
          <w:rFonts w:cs="Arial"/>
          <w:szCs w:val="18"/>
        </w:rPr>
        <w:t xml:space="preserve">op een </w:t>
      </w:r>
      <w:r w:rsidRPr="000D09A4" w:rsidR="007B6E44">
        <w:rPr>
          <w:rFonts w:cs="Arial"/>
          <w:szCs w:val="18"/>
        </w:rPr>
        <w:t xml:space="preserve">beperkt </w:t>
      </w:r>
      <w:r w:rsidRPr="000D09A4" w:rsidR="00E942A6">
        <w:rPr>
          <w:rFonts w:cs="Arial"/>
          <w:szCs w:val="18"/>
        </w:rPr>
        <w:t xml:space="preserve">aantal punten geactualiseerd </w:t>
      </w:r>
      <w:r w:rsidRPr="000D09A4" w:rsidR="007B6E44">
        <w:rPr>
          <w:rFonts w:cs="Arial"/>
          <w:szCs w:val="18"/>
        </w:rPr>
        <w:t xml:space="preserve">in verband met </w:t>
      </w:r>
      <w:r w:rsidRPr="000D09A4" w:rsidR="00E942A6">
        <w:rPr>
          <w:rFonts w:cs="Arial"/>
          <w:szCs w:val="18"/>
        </w:rPr>
        <w:t xml:space="preserve">ontwikkelingen die zich na het </w:t>
      </w:r>
      <w:r w:rsidRPr="000D09A4" w:rsidR="007835E1">
        <w:rPr>
          <w:rFonts w:cs="Arial"/>
          <w:szCs w:val="18"/>
        </w:rPr>
        <w:t>vaststellen</w:t>
      </w:r>
      <w:r w:rsidRPr="000D09A4" w:rsidR="00E961DF">
        <w:rPr>
          <w:rFonts w:cs="Arial"/>
          <w:szCs w:val="18"/>
        </w:rPr>
        <w:t xml:space="preserve"> </w:t>
      </w:r>
      <w:r w:rsidRPr="000D09A4" w:rsidR="00E942A6">
        <w:rPr>
          <w:rFonts w:cs="Arial"/>
          <w:szCs w:val="18"/>
        </w:rPr>
        <w:t xml:space="preserve">van </w:t>
      </w:r>
      <w:r w:rsidRPr="000D09A4" w:rsidR="00E961DF">
        <w:rPr>
          <w:rFonts w:cs="Arial"/>
          <w:szCs w:val="18"/>
        </w:rPr>
        <w:t xml:space="preserve">de </w:t>
      </w:r>
      <w:r w:rsidRPr="000D09A4" w:rsidR="003E556D">
        <w:rPr>
          <w:rFonts w:cs="Arial"/>
          <w:szCs w:val="18"/>
        </w:rPr>
        <w:t>betreffende documenten</w:t>
      </w:r>
      <w:r w:rsidRPr="000D09A4" w:rsidR="00E942A6">
        <w:rPr>
          <w:rFonts w:cs="Arial"/>
          <w:szCs w:val="18"/>
        </w:rPr>
        <w:t xml:space="preserve"> hebben voorgedaan.</w:t>
      </w:r>
      <w:r w:rsidRPr="000D09A4" w:rsidR="00BC2736">
        <w:rPr>
          <w:rFonts w:cs="Arial"/>
          <w:szCs w:val="18"/>
        </w:rPr>
        <w:t xml:space="preserve"> </w:t>
      </w:r>
      <w:r w:rsidRPr="000D09A4" w:rsidR="007B6E44">
        <w:rPr>
          <w:rFonts w:cs="Arial"/>
          <w:szCs w:val="18"/>
        </w:rPr>
        <w:t xml:space="preserve">In dit verband kan bijvoorbeeld worden gedacht aan </w:t>
      </w:r>
      <w:r w:rsidRPr="000D09A4" w:rsidR="00E934AB">
        <w:rPr>
          <w:rFonts w:cs="Arial"/>
          <w:szCs w:val="18"/>
        </w:rPr>
        <w:t xml:space="preserve">wijzigingen in wet- en regelgeving waarmee nieuwe taken en bevoegdheden aan DNB en de AFM zijn toebedeeld, zoals </w:t>
      </w:r>
      <w:r w:rsidRPr="000D09A4" w:rsidR="00CF6F14">
        <w:rPr>
          <w:rFonts w:cs="Arial"/>
          <w:szCs w:val="18"/>
        </w:rPr>
        <w:t xml:space="preserve">het Besluit EU-verordeningen </w:t>
      </w:r>
      <w:proofErr w:type="spellStart"/>
      <w:r w:rsidRPr="000D09A4" w:rsidR="003E2C9E">
        <w:rPr>
          <w:rFonts w:cs="Arial"/>
          <w:szCs w:val="18"/>
        </w:rPr>
        <w:t>Wft</w:t>
      </w:r>
      <w:proofErr w:type="spellEnd"/>
      <w:r w:rsidRPr="000D09A4" w:rsidR="003A4F4C">
        <w:rPr>
          <w:rFonts w:cs="Arial"/>
          <w:szCs w:val="18"/>
        </w:rPr>
        <w:t xml:space="preserve">. </w:t>
      </w:r>
      <w:r w:rsidRPr="000D09A4" w:rsidR="00B0054F">
        <w:rPr>
          <w:rFonts w:cs="Arial"/>
          <w:szCs w:val="18"/>
        </w:rPr>
        <w:t>Verder</w:t>
      </w:r>
      <w:r w:rsidRPr="000D09A4" w:rsidR="00B61472">
        <w:rPr>
          <w:rFonts w:cs="Arial"/>
          <w:szCs w:val="18"/>
        </w:rPr>
        <w:t xml:space="preserve"> wordt hier gewezen op </w:t>
      </w:r>
      <w:r w:rsidRPr="000D09A4" w:rsidR="00E6298B">
        <w:rPr>
          <w:rFonts w:cs="Arial"/>
          <w:szCs w:val="18"/>
        </w:rPr>
        <w:t xml:space="preserve">de </w:t>
      </w:r>
      <w:r w:rsidRPr="000D09A4" w:rsidR="00F712FD">
        <w:rPr>
          <w:rFonts w:cs="Arial"/>
          <w:szCs w:val="18"/>
        </w:rPr>
        <w:t xml:space="preserve">doorontwikkeling van </w:t>
      </w:r>
      <w:r w:rsidRPr="000D09A4" w:rsidR="00B61472">
        <w:rPr>
          <w:rFonts w:cs="Arial"/>
          <w:szCs w:val="18"/>
        </w:rPr>
        <w:t xml:space="preserve">de Europese dimensie van het toezicht op de financiële </w:t>
      </w:r>
      <w:r w:rsidRPr="000D09A4" w:rsidR="004651FC">
        <w:rPr>
          <w:rFonts w:cs="Arial"/>
          <w:szCs w:val="18"/>
        </w:rPr>
        <w:t xml:space="preserve">sector </w:t>
      </w:r>
      <w:r w:rsidRPr="000D09A4" w:rsidR="00B61472">
        <w:rPr>
          <w:rFonts w:cs="Arial"/>
          <w:szCs w:val="18"/>
        </w:rPr>
        <w:t xml:space="preserve">die niet alleen impact heeft gehad op het toezicht en de totstandkoming van wet- en regelgeving maar ook op de institutionele relatie tussen de </w:t>
      </w:r>
      <w:r w:rsidRPr="000D09A4" w:rsidR="00B8167F">
        <w:rPr>
          <w:rFonts w:cs="Arial"/>
          <w:szCs w:val="18"/>
        </w:rPr>
        <w:t>minister</w:t>
      </w:r>
      <w:r w:rsidRPr="000D09A4" w:rsidR="00B61472">
        <w:rPr>
          <w:rFonts w:cs="Arial"/>
          <w:szCs w:val="18"/>
        </w:rPr>
        <w:t xml:space="preserve"> van Financiën en DNB en de AFM</w:t>
      </w:r>
      <w:r w:rsidRPr="000D09A4" w:rsidR="00F712FD">
        <w:rPr>
          <w:rFonts w:cs="Arial"/>
          <w:szCs w:val="18"/>
        </w:rPr>
        <w:t xml:space="preserve">. </w:t>
      </w:r>
      <w:r w:rsidRPr="000D09A4" w:rsidR="006E37CA">
        <w:rPr>
          <w:rFonts w:cs="Arial"/>
          <w:szCs w:val="18"/>
        </w:rPr>
        <w:t>De actualisatie staat ook in het licht van de aanbeveling van het IMF om het institutioneel wettelijk kader van de toezichthouders te bezien</w:t>
      </w:r>
      <w:r w:rsidRPr="000D09A4" w:rsidR="00E6298B">
        <w:rPr>
          <w:rFonts w:cs="Arial"/>
          <w:szCs w:val="18"/>
        </w:rPr>
        <w:t>.</w:t>
      </w:r>
      <w:r w:rsidRPr="000D09A4" w:rsidR="00FE4706">
        <w:rPr>
          <w:rStyle w:val="Voetnootmarkering"/>
          <w:rFonts w:cs="Arial"/>
          <w:szCs w:val="18"/>
        </w:rPr>
        <w:footnoteReference w:id="11"/>
      </w:r>
      <w:r w:rsidRPr="000D09A4" w:rsidR="00FE4706">
        <w:rPr>
          <w:rFonts w:cs="Arial"/>
          <w:szCs w:val="18"/>
        </w:rPr>
        <w:t xml:space="preserve"> </w:t>
      </w:r>
      <w:r w:rsidRPr="000D09A4" w:rsidR="00F712FD">
        <w:rPr>
          <w:rFonts w:cs="Arial"/>
          <w:szCs w:val="18"/>
        </w:rPr>
        <w:t xml:space="preserve">Tot slot </w:t>
      </w:r>
      <w:r w:rsidRPr="000D09A4" w:rsidR="00190887">
        <w:rPr>
          <w:rFonts w:cs="Arial"/>
          <w:szCs w:val="18"/>
        </w:rPr>
        <w:t>heeft het ongevraagd advies van de Raad van State over de ministeriële verantwoordelijkheid geleid tot een</w:t>
      </w:r>
      <w:r w:rsidRPr="000D09A4" w:rsidR="00AE09E9">
        <w:rPr>
          <w:rFonts w:cs="Arial"/>
          <w:szCs w:val="18"/>
        </w:rPr>
        <w:t xml:space="preserve"> verduidelijking</w:t>
      </w:r>
      <w:r w:rsidRPr="000D09A4" w:rsidR="00190887">
        <w:rPr>
          <w:rFonts w:cs="Arial"/>
          <w:szCs w:val="18"/>
        </w:rPr>
        <w:t xml:space="preserve"> van</w:t>
      </w:r>
      <w:r w:rsidRPr="000D09A4" w:rsidR="00E27011">
        <w:rPr>
          <w:rFonts w:cs="Arial"/>
          <w:szCs w:val="18"/>
        </w:rPr>
        <w:t xml:space="preserve"> de term systeemverantwoordelijkheid </w:t>
      </w:r>
      <w:r w:rsidRPr="000D09A4" w:rsidR="00190887">
        <w:rPr>
          <w:rFonts w:cs="Arial"/>
          <w:szCs w:val="18"/>
        </w:rPr>
        <w:t xml:space="preserve">tussen het ministerie van </w:t>
      </w:r>
      <w:r w:rsidRPr="000D09A4" w:rsidR="006E37CA">
        <w:rPr>
          <w:rFonts w:cs="Arial"/>
          <w:szCs w:val="18"/>
        </w:rPr>
        <w:t>F</w:t>
      </w:r>
      <w:r w:rsidRPr="000D09A4" w:rsidR="00190887">
        <w:rPr>
          <w:rFonts w:cs="Arial"/>
          <w:szCs w:val="18"/>
        </w:rPr>
        <w:t>inanciën en de toezichthouders.</w:t>
      </w:r>
      <w:r w:rsidRPr="000D09A4" w:rsidR="00190887">
        <w:rPr>
          <w:rStyle w:val="Voetnootmarkering"/>
          <w:rFonts w:cs="Arial"/>
          <w:szCs w:val="18"/>
        </w:rPr>
        <w:footnoteReference w:id="12"/>
      </w:r>
      <w:r w:rsidRPr="000D09A4" w:rsidR="00190887">
        <w:rPr>
          <w:rFonts w:cs="Arial"/>
          <w:szCs w:val="18"/>
        </w:rPr>
        <w:t xml:space="preserve"> </w:t>
      </w:r>
    </w:p>
    <w:p w:rsidRPr="000D09A4" w:rsidR="00A664C8" w:rsidP="00120629" w:rsidRDefault="00A664C8" w14:paraId="4E17CF8D" w14:textId="77777777">
      <w:pPr>
        <w:spacing w:after="0" w:line="260" w:lineRule="exact"/>
        <w:rPr>
          <w:rFonts w:cs="Arial"/>
          <w:szCs w:val="18"/>
        </w:rPr>
      </w:pPr>
    </w:p>
    <w:p w:rsidRPr="000D09A4" w:rsidR="00895A48" w:rsidP="00120629" w:rsidRDefault="00895A48" w14:paraId="59CBAF5A" w14:textId="77777777">
      <w:pPr>
        <w:spacing w:after="0" w:line="260" w:lineRule="exact"/>
        <w:rPr>
          <w:rFonts w:cs="Arial"/>
          <w:szCs w:val="18"/>
        </w:rPr>
      </w:pPr>
    </w:p>
    <w:p w:rsidRPr="000D09A4" w:rsidR="006B7B69" w:rsidP="006B7B69" w:rsidRDefault="00E65944" w14:paraId="17D4AA24" w14:textId="585FDD8F">
      <w:pPr>
        <w:spacing w:after="0" w:line="260" w:lineRule="exact"/>
        <w:rPr>
          <w:color w:val="000000"/>
          <w:szCs w:val="18"/>
        </w:rPr>
      </w:pPr>
      <w:r w:rsidRPr="000D09A4">
        <w:rPr>
          <w:rFonts w:cs="Arial"/>
          <w:szCs w:val="18"/>
        </w:rPr>
        <w:t>D</w:t>
      </w:r>
      <w:r w:rsidRPr="000D09A4" w:rsidR="0055596B">
        <w:rPr>
          <w:rFonts w:cs="Arial"/>
          <w:szCs w:val="18"/>
        </w:rPr>
        <w:t>it</w:t>
      </w:r>
      <w:r w:rsidRPr="000D09A4" w:rsidR="004E6E1F">
        <w:rPr>
          <w:rFonts w:cs="Arial"/>
          <w:szCs w:val="18"/>
        </w:rPr>
        <w:t xml:space="preserve"> </w:t>
      </w:r>
      <w:r w:rsidRPr="000D09A4" w:rsidR="00204BC2">
        <w:rPr>
          <w:rFonts w:cs="Arial"/>
          <w:szCs w:val="18"/>
        </w:rPr>
        <w:t>geact</w:t>
      </w:r>
      <w:r w:rsidRPr="000D09A4" w:rsidR="00E942A6">
        <w:rPr>
          <w:rFonts w:cs="Arial"/>
          <w:szCs w:val="18"/>
        </w:rPr>
        <w:t>ualiseerde visie</w:t>
      </w:r>
      <w:r w:rsidRPr="000D09A4" w:rsidR="0055596B">
        <w:rPr>
          <w:rFonts w:cs="Arial"/>
          <w:szCs w:val="18"/>
        </w:rPr>
        <w:t>document</w:t>
      </w:r>
      <w:r w:rsidRPr="000D09A4" w:rsidR="006D59F8">
        <w:rPr>
          <w:rFonts w:cs="Arial"/>
          <w:szCs w:val="18"/>
        </w:rPr>
        <w:t xml:space="preserve"> en de </w:t>
      </w:r>
      <w:r w:rsidRPr="000D09A4" w:rsidR="004E6E1F">
        <w:rPr>
          <w:rFonts w:cs="Arial"/>
          <w:szCs w:val="18"/>
        </w:rPr>
        <w:t xml:space="preserve">hierbij </w:t>
      </w:r>
      <w:r w:rsidRPr="000D09A4" w:rsidR="006D59F8">
        <w:rPr>
          <w:rFonts w:cs="Arial"/>
          <w:szCs w:val="18"/>
        </w:rPr>
        <w:t>behorende bijlagen</w:t>
      </w:r>
      <w:r w:rsidRPr="000D09A4" w:rsidR="004E6E1F">
        <w:rPr>
          <w:rFonts w:cs="Arial"/>
          <w:szCs w:val="18"/>
        </w:rPr>
        <w:t xml:space="preserve"> vervangen </w:t>
      </w:r>
      <w:r w:rsidRPr="000D09A4" w:rsidR="00B0065E">
        <w:rPr>
          <w:rFonts w:cs="Arial"/>
          <w:szCs w:val="18"/>
        </w:rPr>
        <w:t xml:space="preserve">de documenten uit </w:t>
      </w:r>
      <w:r w:rsidRPr="000D09A4" w:rsidR="00B23D9E">
        <w:rPr>
          <w:rFonts w:cs="Arial"/>
          <w:szCs w:val="18"/>
        </w:rPr>
        <w:t>2019</w:t>
      </w:r>
      <w:r w:rsidRPr="000D09A4">
        <w:rPr>
          <w:rFonts w:cs="Arial"/>
          <w:szCs w:val="18"/>
        </w:rPr>
        <w:t>. Na vijf jaar</w:t>
      </w:r>
      <w:r w:rsidRPr="000D09A4" w:rsidR="00E27011">
        <w:rPr>
          <w:rFonts w:cs="Arial"/>
          <w:szCs w:val="18"/>
        </w:rPr>
        <w:t xml:space="preserve"> zullen deze stukken </w:t>
      </w:r>
      <w:r w:rsidRPr="000D09A4" w:rsidR="004E6E1F">
        <w:rPr>
          <w:color w:val="000000"/>
          <w:szCs w:val="18"/>
        </w:rPr>
        <w:t xml:space="preserve">opnieuw </w:t>
      </w:r>
      <w:r w:rsidRPr="000D09A4" w:rsidR="00F65ECF">
        <w:rPr>
          <w:color w:val="000000"/>
          <w:szCs w:val="18"/>
        </w:rPr>
        <w:t xml:space="preserve">worden </w:t>
      </w:r>
      <w:r w:rsidRPr="000D09A4" w:rsidR="00E27011">
        <w:rPr>
          <w:color w:val="000000"/>
          <w:szCs w:val="18"/>
        </w:rPr>
        <w:t xml:space="preserve">geactualiseerd en </w:t>
      </w:r>
      <w:r w:rsidRPr="000D09A4" w:rsidR="000437E9">
        <w:rPr>
          <w:color w:val="000000"/>
          <w:szCs w:val="18"/>
        </w:rPr>
        <w:t>geëvalueerd</w:t>
      </w:r>
      <w:r w:rsidRPr="000D09A4">
        <w:rPr>
          <w:color w:val="000000"/>
          <w:szCs w:val="18"/>
        </w:rPr>
        <w:t>, of eerder indien daar aanleiding toe bestaat</w:t>
      </w:r>
      <w:r w:rsidRPr="000D09A4" w:rsidR="00F452A2">
        <w:rPr>
          <w:color w:val="000000"/>
          <w:szCs w:val="18"/>
        </w:rPr>
        <w:t>.</w:t>
      </w:r>
      <w:bookmarkStart w:name="_Toc6252081" w:id="5"/>
    </w:p>
    <w:p w:rsidRPr="000D09A4" w:rsidR="006B7B69" w:rsidP="006B7B69" w:rsidRDefault="006B7B69" w14:paraId="70C23789" w14:textId="77777777">
      <w:pPr>
        <w:spacing w:after="0" w:line="260" w:lineRule="exact"/>
        <w:rPr>
          <w:color w:val="000000"/>
          <w:szCs w:val="18"/>
        </w:rPr>
      </w:pPr>
    </w:p>
    <w:p w:rsidRPr="000D09A4" w:rsidR="00AF5AB8" w:rsidP="006B7B69" w:rsidRDefault="00AF5AB8" w14:paraId="7B3C7367" w14:textId="77777777">
      <w:pPr>
        <w:spacing w:after="0" w:line="260" w:lineRule="exact"/>
        <w:rPr>
          <w:color w:val="000000"/>
          <w:szCs w:val="18"/>
        </w:rPr>
      </w:pPr>
    </w:p>
    <w:p w:rsidRPr="000D09A4" w:rsidR="00AF5AB8" w:rsidP="006B7B69" w:rsidRDefault="00AF5AB8" w14:paraId="5A7BE419" w14:textId="77777777">
      <w:pPr>
        <w:spacing w:after="0" w:line="260" w:lineRule="exact"/>
        <w:rPr>
          <w:color w:val="000000"/>
          <w:szCs w:val="18"/>
        </w:rPr>
      </w:pPr>
    </w:p>
    <w:p w:rsidRPr="000D09A4" w:rsidR="00E62DF5" w:rsidP="00D14660" w:rsidRDefault="00E62DF5" w14:paraId="62FAD708" w14:textId="6092FCD8">
      <w:pPr>
        <w:pStyle w:val="Geenafstand"/>
        <w:rPr>
          <w:i/>
          <w:color w:val="000000"/>
        </w:rPr>
      </w:pPr>
      <w:r w:rsidRPr="000D09A4">
        <w:rPr>
          <w:i/>
        </w:rPr>
        <w:t>Leeswijzer</w:t>
      </w:r>
      <w:bookmarkEnd w:id="5"/>
    </w:p>
    <w:p w:rsidRPr="000D09A4" w:rsidR="00F30147" w:rsidP="00091F11" w:rsidRDefault="00091F11" w14:paraId="4C183B73" w14:textId="77777777">
      <w:pPr>
        <w:spacing w:after="0" w:line="260" w:lineRule="exact"/>
        <w:rPr>
          <w:rFonts w:cs="Arial"/>
          <w:szCs w:val="18"/>
        </w:rPr>
      </w:pPr>
      <w:r w:rsidRPr="000D09A4">
        <w:rPr>
          <w:rFonts w:cs="Arial"/>
          <w:szCs w:val="18"/>
        </w:rPr>
        <w:t xml:space="preserve">In </w:t>
      </w:r>
      <w:r w:rsidRPr="000D09A4" w:rsidR="00EE6C32">
        <w:rPr>
          <w:rFonts w:cs="Arial"/>
          <w:szCs w:val="18"/>
        </w:rPr>
        <w:t>paragraaf</w:t>
      </w:r>
      <w:r w:rsidRPr="000D09A4" w:rsidR="00BE24A9">
        <w:rPr>
          <w:rFonts w:cs="Arial"/>
          <w:szCs w:val="18"/>
        </w:rPr>
        <w:t xml:space="preserve"> </w:t>
      </w:r>
      <w:r w:rsidRPr="000D09A4">
        <w:rPr>
          <w:rFonts w:cs="Arial"/>
          <w:szCs w:val="18"/>
        </w:rPr>
        <w:t xml:space="preserve">2 wordt het toezicht dat de </w:t>
      </w:r>
      <w:r w:rsidRPr="000D09A4" w:rsidR="0055596B">
        <w:rPr>
          <w:rFonts w:cs="Arial"/>
          <w:szCs w:val="18"/>
        </w:rPr>
        <w:t>m</w:t>
      </w:r>
      <w:r w:rsidRPr="000D09A4">
        <w:rPr>
          <w:rFonts w:cs="Arial"/>
          <w:szCs w:val="18"/>
        </w:rPr>
        <w:t xml:space="preserve">inister houdt op </w:t>
      </w:r>
      <w:r w:rsidRPr="000D09A4">
        <w:rPr>
          <w:szCs w:val="18"/>
        </w:rPr>
        <w:t>DNB en de AFM</w:t>
      </w:r>
      <w:r w:rsidRPr="000D09A4">
        <w:rPr>
          <w:rFonts w:cs="Arial"/>
          <w:szCs w:val="18"/>
        </w:rPr>
        <w:t xml:space="preserve"> getypeerd. </w:t>
      </w:r>
      <w:r w:rsidRPr="000D09A4" w:rsidR="00805392">
        <w:rPr>
          <w:rFonts w:cs="Arial"/>
          <w:szCs w:val="18"/>
        </w:rPr>
        <w:t xml:space="preserve">Ook </w:t>
      </w:r>
      <w:r w:rsidRPr="000D09A4">
        <w:rPr>
          <w:rFonts w:cs="Arial"/>
          <w:szCs w:val="18"/>
        </w:rPr>
        <w:t xml:space="preserve">wordt aangegeven welke algemene uitgangspunten </w:t>
      </w:r>
      <w:r w:rsidRPr="000D09A4" w:rsidR="00BE24A9">
        <w:rPr>
          <w:rFonts w:cs="Arial"/>
          <w:szCs w:val="18"/>
        </w:rPr>
        <w:t xml:space="preserve">aan de </w:t>
      </w:r>
      <w:r w:rsidRPr="000D09A4" w:rsidR="0055596B">
        <w:rPr>
          <w:rFonts w:cs="Arial"/>
          <w:szCs w:val="18"/>
        </w:rPr>
        <w:t>vormgeving</w:t>
      </w:r>
      <w:r w:rsidRPr="000D09A4" w:rsidR="00BE24A9">
        <w:rPr>
          <w:rFonts w:cs="Arial"/>
          <w:szCs w:val="18"/>
        </w:rPr>
        <w:t xml:space="preserve"> en uitvoering van </w:t>
      </w:r>
      <w:r w:rsidRPr="000D09A4" w:rsidR="00805392">
        <w:rPr>
          <w:rFonts w:cs="Arial"/>
          <w:szCs w:val="18"/>
        </w:rPr>
        <w:t>dit</w:t>
      </w:r>
      <w:r w:rsidRPr="000D09A4" w:rsidR="00BE24A9">
        <w:rPr>
          <w:rFonts w:cs="Arial"/>
          <w:szCs w:val="18"/>
        </w:rPr>
        <w:t xml:space="preserve"> toezicht ten grondslag liggen</w:t>
      </w:r>
      <w:r w:rsidRPr="000D09A4">
        <w:rPr>
          <w:rFonts w:cs="Arial"/>
          <w:szCs w:val="18"/>
        </w:rPr>
        <w:t>.</w:t>
      </w:r>
    </w:p>
    <w:p w:rsidRPr="000D09A4" w:rsidR="00570936" w:rsidP="00091F11" w:rsidRDefault="00570936" w14:paraId="58AD9A0B" w14:textId="77777777">
      <w:pPr>
        <w:spacing w:after="0" w:line="260" w:lineRule="exact"/>
        <w:rPr>
          <w:rFonts w:cs="Arial"/>
          <w:szCs w:val="18"/>
        </w:rPr>
      </w:pPr>
    </w:p>
    <w:p w:rsidRPr="000D09A4" w:rsidR="001567E2" w:rsidP="001567E2" w:rsidRDefault="00BE24A9" w14:paraId="16FB8E16" w14:textId="2C0CBE00">
      <w:pPr>
        <w:spacing w:after="0" w:line="260" w:lineRule="exact"/>
        <w:rPr>
          <w:szCs w:val="18"/>
        </w:rPr>
      </w:pPr>
      <w:r w:rsidRPr="000D09A4">
        <w:rPr>
          <w:rFonts w:cs="Arial"/>
          <w:szCs w:val="18"/>
        </w:rPr>
        <w:t>D</w:t>
      </w:r>
      <w:r w:rsidRPr="000D09A4" w:rsidR="00570936">
        <w:rPr>
          <w:rFonts w:cs="Arial"/>
          <w:szCs w:val="18"/>
        </w:rPr>
        <w:t xml:space="preserve">eze uitgangspunten </w:t>
      </w:r>
      <w:r w:rsidRPr="000D09A4">
        <w:rPr>
          <w:rFonts w:cs="Arial"/>
          <w:szCs w:val="18"/>
        </w:rPr>
        <w:t xml:space="preserve">worden in </w:t>
      </w:r>
      <w:r w:rsidRPr="000D09A4" w:rsidR="00EE6C32">
        <w:rPr>
          <w:rFonts w:cs="Arial"/>
          <w:szCs w:val="18"/>
        </w:rPr>
        <w:t>paragraaf</w:t>
      </w:r>
      <w:r w:rsidRPr="000D09A4">
        <w:rPr>
          <w:rFonts w:cs="Arial"/>
          <w:szCs w:val="18"/>
        </w:rPr>
        <w:t xml:space="preserve"> 3 </w:t>
      </w:r>
      <w:r w:rsidRPr="000D09A4" w:rsidR="00136A50">
        <w:rPr>
          <w:rFonts w:cs="Arial"/>
          <w:szCs w:val="18"/>
        </w:rPr>
        <w:t>kernachtig</w:t>
      </w:r>
      <w:r w:rsidRPr="000D09A4" w:rsidR="00570936">
        <w:rPr>
          <w:rFonts w:cs="Arial"/>
          <w:szCs w:val="18"/>
        </w:rPr>
        <w:t xml:space="preserve"> uitgewerkt</w:t>
      </w:r>
      <w:r w:rsidRPr="000D09A4" w:rsidR="00E40CA8">
        <w:rPr>
          <w:rFonts w:cs="Arial"/>
          <w:szCs w:val="18"/>
        </w:rPr>
        <w:t xml:space="preserve">. </w:t>
      </w:r>
      <w:r w:rsidRPr="000D09A4">
        <w:rPr>
          <w:rFonts w:cs="Arial"/>
          <w:szCs w:val="18"/>
        </w:rPr>
        <w:t xml:space="preserve">Een nadere uitwerking vindt plaats in </w:t>
      </w:r>
      <w:r w:rsidRPr="000D09A4" w:rsidR="001567E2">
        <w:rPr>
          <w:rFonts w:cs="Arial"/>
          <w:szCs w:val="18"/>
        </w:rPr>
        <w:t xml:space="preserve">het toezichtarrangement </w:t>
      </w:r>
      <w:r w:rsidRPr="000D09A4" w:rsidR="00767411">
        <w:rPr>
          <w:rFonts w:cs="Arial"/>
          <w:szCs w:val="18"/>
        </w:rPr>
        <w:t xml:space="preserve">(bijlage 1) </w:t>
      </w:r>
      <w:r w:rsidRPr="000D09A4" w:rsidR="001567E2">
        <w:rPr>
          <w:rFonts w:cs="Arial"/>
          <w:szCs w:val="18"/>
        </w:rPr>
        <w:t xml:space="preserve">aan de hand van </w:t>
      </w:r>
      <w:r w:rsidRPr="000D09A4" w:rsidR="001567E2">
        <w:rPr>
          <w:szCs w:val="18"/>
        </w:rPr>
        <w:t xml:space="preserve">wet- en regelgeving waarin de relatie tussen de </w:t>
      </w:r>
      <w:r w:rsidRPr="000D09A4" w:rsidR="006D076B">
        <w:rPr>
          <w:szCs w:val="18"/>
        </w:rPr>
        <w:t xml:space="preserve">minister </w:t>
      </w:r>
      <w:r w:rsidRPr="000D09A4" w:rsidR="001567E2">
        <w:rPr>
          <w:szCs w:val="18"/>
        </w:rPr>
        <w:t xml:space="preserve">van Financiën </w:t>
      </w:r>
      <w:r w:rsidRPr="000D09A4">
        <w:rPr>
          <w:szCs w:val="18"/>
        </w:rPr>
        <w:t xml:space="preserve">en DNB en de AFM </w:t>
      </w:r>
      <w:r w:rsidRPr="000D09A4" w:rsidR="001567E2">
        <w:rPr>
          <w:szCs w:val="18"/>
        </w:rPr>
        <w:t xml:space="preserve">tot uitdrukking komt. </w:t>
      </w:r>
      <w:r w:rsidRPr="000D09A4">
        <w:rPr>
          <w:szCs w:val="18"/>
        </w:rPr>
        <w:t xml:space="preserve">Hierbij </w:t>
      </w:r>
      <w:r w:rsidRPr="000D09A4" w:rsidR="001567E2">
        <w:rPr>
          <w:szCs w:val="18"/>
        </w:rPr>
        <w:t xml:space="preserve">wordt in het bijzonder ingegaan op de wettelijke taken van de </w:t>
      </w:r>
      <w:proofErr w:type="spellStart"/>
      <w:r w:rsidRPr="000D09A4" w:rsidR="00395087">
        <w:rPr>
          <w:szCs w:val="18"/>
        </w:rPr>
        <w:t>zbo</w:t>
      </w:r>
      <w:r w:rsidRPr="000D09A4">
        <w:rPr>
          <w:szCs w:val="18"/>
        </w:rPr>
        <w:t>’s</w:t>
      </w:r>
      <w:proofErr w:type="spellEnd"/>
      <w:r w:rsidRPr="000D09A4" w:rsidR="001567E2">
        <w:rPr>
          <w:szCs w:val="18"/>
        </w:rPr>
        <w:t>, de inrichting van het toezicht dat de minister op hen uitoefent en de bevoegdheden die hij in d</w:t>
      </w:r>
      <w:r w:rsidRPr="000D09A4" w:rsidR="0053653D">
        <w:rPr>
          <w:szCs w:val="18"/>
        </w:rPr>
        <w:t>it</w:t>
      </w:r>
      <w:r w:rsidRPr="000D09A4" w:rsidR="001567E2">
        <w:rPr>
          <w:szCs w:val="18"/>
        </w:rPr>
        <w:t xml:space="preserve"> kader heeft, de wijze </w:t>
      </w:r>
      <w:r w:rsidRPr="000D09A4" w:rsidR="0053653D">
        <w:rPr>
          <w:szCs w:val="18"/>
        </w:rPr>
        <w:t xml:space="preserve">van financiering van </w:t>
      </w:r>
      <w:r w:rsidRPr="000D09A4" w:rsidR="001567E2">
        <w:rPr>
          <w:szCs w:val="18"/>
        </w:rPr>
        <w:t xml:space="preserve">de kosten van de </w:t>
      </w:r>
      <w:proofErr w:type="spellStart"/>
      <w:r w:rsidRPr="000D09A4" w:rsidR="00395087">
        <w:rPr>
          <w:szCs w:val="18"/>
        </w:rPr>
        <w:t>zbo</w:t>
      </w:r>
      <w:r w:rsidRPr="000D09A4">
        <w:rPr>
          <w:szCs w:val="18"/>
        </w:rPr>
        <w:t>’s</w:t>
      </w:r>
      <w:proofErr w:type="spellEnd"/>
      <w:r w:rsidRPr="000D09A4" w:rsidR="001567E2">
        <w:rPr>
          <w:szCs w:val="18"/>
        </w:rPr>
        <w:t xml:space="preserve">, alsmede de planning- en controlecyclus van de </w:t>
      </w:r>
      <w:proofErr w:type="spellStart"/>
      <w:r w:rsidRPr="000D09A4" w:rsidR="00395087">
        <w:rPr>
          <w:szCs w:val="18"/>
        </w:rPr>
        <w:t>zbo</w:t>
      </w:r>
      <w:r w:rsidRPr="000D09A4">
        <w:rPr>
          <w:szCs w:val="18"/>
        </w:rPr>
        <w:t>’s</w:t>
      </w:r>
      <w:proofErr w:type="spellEnd"/>
      <w:r w:rsidRPr="000D09A4">
        <w:rPr>
          <w:szCs w:val="18"/>
        </w:rPr>
        <w:t xml:space="preserve"> </w:t>
      </w:r>
      <w:r w:rsidRPr="000D09A4" w:rsidR="001567E2">
        <w:rPr>
          <w:szCs w:val="18"/>
        </w:rPr>
        <w:t xml:space="preserve">en de rol die de minister </w:t>
      </w:r>
      <w:r w:rsidRPr="000D09A4" w:rsidR="0053653D">
        <w:rPr>
          <w:szCs w:val="18"/>
        </w:rPr>
        <w:t xml:space="preserve">hierin </w:t>
      </w:r>
      <w:r w:rsidRPr="000D09A4" w:rsidR="001567E2">
        <w:rPr>
          <w:szCs w:val="18"/>
        </w:rPr>
        <w:t>speelt.</w:t>
      </w:r>
    </w:p>
    <w:p w:rsidRPr="000D09A4" w:rsidR="001567E2" w:rsidP="001567E2" w:rsidRDefault="001567E2" w14:paraId="4B869FA8" w14:textId="77777777">
      <w:pPr>
        <w:spacing w:after="0" w:line="260" w:lineRule="exact"/>
        <w:rPr>
          <w:szCs w:val="18"/>
        </w:rPr>
      </w:pPr>
    </w:p>
    <w:p w:rsidRPr="000D09A4" w:rsidR="003F4CA9" w:rsidP="000E0E4B" w:rsidRDefault="00136A50" w14:paraId="06A7DCAE" w14:textId="241DCB1F">
      <w:pPr>
        <w:spacing w:after="0" w:line="260" w:lineRule="exact"/>
        <w:rPr>
          <w:rFonts w:cs="Arial"/>
          <w:szCs w:val="18"/>
        </w:rPr>
      </w:pPr>
      <w:r w:rsidRPr="000D09A4">
        <w:rPr>
          <w:szCs w:val="18"/>
        </w:rPr>
        <w:t>B</w:t>
      </w:r>
      <w:r w:rsidRPr="000D09A4" w:rsidR="001567E2">
        <w:rPr>
          <w:szCs w:val="18"/>
        </w:rPr>
        <w:t xml:space="preserve">ijlage </w:t>
      </w:r>
      <w:r w:rsidRPr="000D09A4" w:rsidR="0055596B">
        <w:rPr>
          <w:rStyle w:val="Hyperlink"/>
          <w:color w:val="auto"/>
          <w:szCs w:val="18"/>
          <w:u w:val="none"/>
        </w:rPr>
        <w:t>2</w:t>
      </w:r>
      <w:r w:rsidRPr="000D09A4" w:rsidR="00961FA3">
        <w:rPr>
          <w:rStyle w:val="Hyperlink"/>
          <w:color w:val="auto"/>
          <w:szCs w:val="18"/>
          <w:u w:val="none"/>
        </w:rPr>
        <w:t xml:space="preserve"> </w:t>
      </w:r>
      <w:r w:rsidRPr="000D09A4" w:rsidR="0053653D">
        <w:rPr>
          <w:szCs w:val="18"/>
        </w:rPr>
        <w:t xml:space="preserve">bevat </w:t>
      </w:r>
      <w:r w:rsidRPr="000D09A4" w:rsidR="00767411">
        <w:rPr>
          <w:szCs w:val="18"/>
        </w:rPr>
        <w:t xml:space="preserve">een </w:t>
      </w:r>
      <w:r w:rsidRPr="000D09A4" w:rsidR="00961FA3">
        <w:rPr>
          <w:szCs w:val="18"/>
        </w:rPr>
        <w:t xml:space="preserve">protocol over </w:t>
      </w:r>
      <w:r w:rsidRPr="000D09A4" w:rsidR="001567E2">
        <w:rPr>
          <w:szCs w:val="18"/>
        </w:rPr>
        <w:t xml:space="preserve">de controle van de verantwoording van </w:t>
      </w:r>
      <w:r w:rsidRPr="000D09A4" w:rsidR="0055596B">
        <w:rPr>
          <w:szCs w:val="18"/>
        </w:rPr>
        <w:t xml:space="preserve">DNB en </w:t>
      </w:r>
      <w:r w:rsidRPr="000D09A4" w:rsidR="00767411">
        <w:rPr>
          <w:szCs w:val="18"/>
        </w:rPr>
        <w:t xml:space="preserve">jaarrekening van </w:t>
      </w:r>
      <w:r w:rsidRPr="000D09A4" w:rsidR="0055596B">
        <w:rPr>
          <w:szCs w:val="18"/>
        </w:rPr>
        <w:t>de AFM</w:t>
      </w:r>
      <w:r w:rsidRPr="000D09A4" w:rsidR="00D07C8D">
        <w:rPr>
          <w:szCs w:val="18"/>
        </w:rPr>
        <w:t>,</w:t>
      </w:r>
      <w:r w:rsidRPr="000D09A4" w:rsidR="00961FA3">
        <w:rPr>
          <w:szCs w:val="18"/>
        </w:rPr>
        <w:t xml:space="preserve"> en </w:t>
      </w:r>
      <w:r w:rsidRPr="000D09A4" w:rsidR="00767411">
        <w:rPr>
          <w:szCs w:val="18"/>
        </w:rPr>
        <w:t xml:space="preserve">bijlage 3 bevat een protocol </w:t>
      </w:r>
      <w:r w:rsidRPr="000D09A4" w:rsidR="00961FA3">
        <w:rPr>
          <w:szCs w:val="18"/>
        </w:rPr>
        <w:t>over</w:t>
      </w:r>
      <w:r w:rsidRPr="000D09A4" w:rsidR="0053653D">
        <w:rPr>
          <w:szCs w:val="18"/>
        </w:rPr>
        <w:t xml:space="preserve"> </w:t>
      </w:r>
      <w:r w:rsidRPr="000D09A4" w:rsidR="001567E2">
        <w:rPr>
          <w:szCs w:val="18"/>
        </w:rPr>
        <w:t xml:space="preserve">de samenwerking tussen de </w:t>
      </w:r>
      <w:r w:rsidRPr="000D09A4" w:rsidR="006D076B">
        <w:rPr>
          <w:szCs w:val="18"/>
        </w:rPr>
        <w:t xml:space="preserve">minister </w:t>
      </w:r>
      <w:r w:rsidRPr="000D09A4" w:rsidR="001567E2">
        <w:rPr>
          <w:szCs w:val="18"/>
        </w:rPr>
        <w:t xml:space="preserve">van </w:t>
      </w:r>
      <w:r w:rsidRPr="000D09A4" w:rsidR="00EB0B70">
        <w:rPr>
          <w:szCs w:val="18"/>
        </w:rPr>
        <w:t>Financiën</w:t>
      </w:r>
      <w:r w:rsidRPr="000D09A4" w:rsidR="001567E2">
        <w:rPr>
          <w:szCs w:val="18"/>
        </w:rPr>
        <w:t xml:space="preserve"> en de </w:t>
      </w:r>
      <w:r w:rsidRPr="000D09A4" w:rsidR="006D076B">
        <w:rPr>
          <w:szCs w:val="18"/>
        </w:rPr>
        <w:t xml:space="preserve">minister </w:t>
      </w:r>
      <w:r w:rsidRPr="000D09A4" w:rsidR="001567E2">
        <w:rPr>
          <w:szCs w:val="18"/>
        </w:rPr>
        <w:t xml:space="preserve">van Sociale Zaken en Werkgelegenheid in het kader van hun </w:t>
      </w:r>
      <w:r w:rsidRPr="000D09A4" w:rsidR="00EB0B70">
        <w:rPr>
          <w:szCs w:val="18"/>
        </w:rPr>
        <w:t>verantwoordelijkheden</w:t>
      </w:r>
      <w:r w:rsidRPr="000D09A4" w:rsidR="001567E2">
        <w:rPr>
          <w:szCs w:val="18"/>
        </w:rPr>
        <w:t xml:space="preserve"> en bevoegdheden op grond van de </w:t>
      </w:r>
      <w:r w:rsidRPr="000D09A4" w:rsidR="00C17503">
        <w:rPr>
          <w:szCs w:val="18"/>
        </w:rPr>
        <w:t>Wet bekostiging financieel toezicht 2019 (</w:t>
      </w:r>
      <w:proofErr w:type="spellStart"/>
      <w:r w:rsidRPr="000D09A4" w:rsidR="00395087">
        <w:rPr>
          <w:szCs w:val="18"/>
        </w:rPr>
        <w:t>Wbft</w:t>
      </w:r>
      <w:proofErr w:type="spellEnd"/>
      <w:r w:rsidRPr="000D09A4" w:rsidR="00395087">
        <w:rPr>
          <w:szCs w:val="18"/>
        </w:rPr>
        <w:t xml:space="preserve"> 2019</w:t>
      </w:r>
      <w:r w:rsidRPr="000D09A4" w:rsidR="00C17503">
        <w:rPr>
          <w:szCs w:val="18"/>
        </w:rPr>
        <w:t>)</w:t>
      </w:r>
      <w:r w:rsidRPr="000D09A4" w:rsidR="00395087">
        <w:rPr>
          <w:szCs w:val="18"/>
        </w:rPr>
        <w:t>.</w:t>
      </w:r>
    </w:p>
    <w:p w:rsidRPr="000D09A4" w:rsidR="001037B8" w:rsidRDefault="001037B8" w14:paraId="70C9C138" w14:textId="77777777">
      <w:pPr>
        <w:rPr>
          <w:rFonts w:eastAsiaTheme="majorEastAsia" w:cstheme="majorBidi"/>
          <w:b/>
          <w:bCs/>
          <w:szCs w:val="18"/>
        </w:rPr>
      </w:pPr>
    </w:p>
    <w:p w:rsidRPr="000D09A4" w:rsidR="00901C06" w:rsidP="00AB37CF" w:rsidRDefault="00C609F0" w14:paraId="07068286" w14:textId="77777777">
      <w:pPr>
        <w:pStyle w:val="Kop01"/>
      </w:pPr>
      <w:bookmarkStart w:name="_Toc6298688" w:id="6"/>
      <w:bookmarkStart w:name="_Toc6560021" w:id="7"/>
      <w:r w:rsidRPr="000D09A4">
        <w:t>2</w:t>
      </w:r>
      <w:r w:rsidRPr="000D09A4" w:rsidR="003F4CA9">
        <w:t>.</w:t>
      </w:r>
      <w:r w:rsidRPr="000D09A4" w:rsidR="003F4CA9">
        <w:tab/>
      </w:r>
      <w:r w:rsidRPr="000D09A4" w:rsidR="00A655A9">
        <w:t>Toezicht op</w:t>
      </w:r>
      <w:r w:rsidRPr="000D09A4" w:rsidR="00996FAD">
        <w:t xml:space="preserve"> DNB en de AFM</w:t>
      </w:r>
      <w:bookmarkEnd w:id="6"/>
      <w:bookmarkEnd w:id="7"/>
      <w:r w:rsidRPr="000D09A4" w:rsidR="00A655A9">
        <w:t xml:space="preserve"> </w:t>
      </w:r>
    </w:p>
    <w:p w:rsidRPr="000D09A4" w:rsidR="008F00AA" w:rsidP="008F00AA" w:rsidRDefault="008F00AA" w14:paraId="1FCA07DA" w14:textId="77777777">
      <w:pPr>
        <w:spacing w:after="0" w:line="260" w:lineRule="exact"/>
        <w:rPr>
          <w:rFonts w:eastAsia="Arial Unicode MS" w:cs="Arial"/>
          <w:szCs w:val="18"/>
        </w:rPr>
      </w:pPr>
    </w:p>
    <w:p w:rsidRPr="000D09A4" w:rsidR="00213B35" w:rsidP="004C7031" w:rsidRDefault="00213B35" w14:paraId="249C0060" w14:textId="1DDD21DB">
      <w:pPr>
        <w:spacing w:after="0" w:line="260" w:lineRule="exact"/>
        <w:rPr>
          <w:rFonts w:cs="Arial"/>
          <w:szCs w:val="18"/>
        </w:rPr>
      </w:pPr>
      <w:r w:rsidRPr="000D09A4">
        <w:rPr>
          <w:szCs w:val="18"/>
        </w:rPr>
        <w:t>In d</w:t>
      </w:r>
      <w:r w:rsidRPr="000D09A4" w:rsidR="00EE6C32">
        <w:rPr>
          <w:szCs w:val="18"/>
        </w:rPr>
        <w:t xml:space="preserve">eze paragraaf </w:t>
      </w:r>
      <w:r w:rsidRPr="000D09A4">
        <w:rPr>
          <w:szCs w:val="18"/>
        </w:rPr>
        <w:t xml:space="preserve">wordt </w:t>
      </w:r>
      <w:r w:rsidRPr="000D09A4">
        <w:rPr>
          <w:rFonts w:cs="Arial"/>
          <w:szCs w:val="18"/>
        </w:rPr>
        <w:t xml:space="preserve">het toezicht </w:t>
      </w:r>
      <w:r w:rsidRPr="000D09A4" w:rsidR="000C5D51">
        <w:rPr>
          <w:rFonts w:cs="Arial"/>
          <w:szCs w:val="18"/>
        </w:rPr>
        <w:t xml:space="preserve">door </w:t>
      </w:r>
      <w:r w:rsidRPr="000D09A4">
        <w:rPr>
          <w:rFonts w:cs="Arial"/>
          <w:szCs w:val="18"/>
        </w:rPr>
        <w:t xml:space="preserve">de </w:t>
      </w:r>
      <w:r w:rsidRPr="000D09A4" w:rsidR="006D076B">
        <w:rPr>
          <w:rFonts w:cs="Arial"/>
          <w:szCs w:val="18"/>
        </w:rPr>
        <w:t xml:space="preserve">minister </w:t>
      </w:r>
      <w:r w:rsidRPr="000D09A4">
        <w:rPr>
          <w:rFonts w:cs="Arial"/>
          <w:szCs w:val="18"/>
        </w:rPr>
        <w:t>van Financiën getypeerd</w:t>
      </w:r>
      <w:r w:rsidRPr="000D09A4" w:rsidR="00B834A9">
        <w:rPr>
          <w:rFonts w:cs="Arial"/>
          <w:szCs w:val="18"/>
        </w:rPr>
        <w:t>.</w:t>
      </w:r>
      <w:r w:rsidRPr="000D09A4" w:rsidR="00284E47">
        <w:rPr>
          <w:rFonts w:cs="Arial"/>
          <w:szCs w:val="18"/>
        </w:rPr>
        <w:t xml:space="preserve"> </w:t>
      </w:r>
      <w:r w:rsidRPr="000D09A4" w:rsidR="004C7031">
        <w:rPr>
          <w:rFonts w:cs="Arial"/>
          <w:szCs w:val="18"/>
        </w:rPr>
        <w:t>In dit verband</w:t>
      </w:r>
      <w:r w:rsidRPr="000D09A4" w:rsidR="00284E47">
        <w:rPr>
          <w:rFonts w:cs="Arial"/>
          <w:szCs w:val="18"/>
        </w:rPr>
        <w:t xml:space="preserve"> wordt </w:t>
      </w:r>
      <w:r w:rsidRPr="000D09A4" w:rsidR="00152309">
        <w:rPr>
          <w:rFonts w:cs="Arial"/>
          <w:szCs w:val="18"/>
        </w:rPr>
        <w:t xml:space="preserve">allereerst </w:t>
      </w:r>
      <w:r w:rsidRPr="000D09A4" w:rsidR="004C7031">
        <w:rPr>
          <w:rFonts w:cs="Arial"/>
          <w:szCs w:val="18"/>
        </w:rPr>
        <w:t>stilgestaan bij</w:t>
      </w:r>
      <w:r w:rsidRPr="000D09A4" w:rsidR="00284E47">
        <w:rPr>
          <w:rFonts w:cs="Arial"/>
          <w:szCs w:val="18"/>
        </w:rPr>
        <w:t xml:space="preserve"> de </w:t>
      </w:r>
      <w:r w:rsidRPr="000D09A4" w:rsidR="004C7031">
        <w:rPr>
          <w:rFonts w:cs="Arial"/>
          <w:szCs w:val="18"/>
        </w:rPr>
        <w:t xml:space="preserve">invloed </w:t>
      </w:r>
      <w:r w:rsidRPr="000D09A4" w:rsidR="00284E47">
        <w:rPr>
          <w:rFonts w:cs="Arial"/>
          <w:szCs w:val="18"/>
        </w:rPr>
        <w:t xml:space="preserve">van de </w:t>
      </w:r>
      <w:proofErr w:type="spellStart"/>
      <w:r w:rsidRPr="000D09A4" w:rsidR="00284E47">
        <w:rPr>
          <w:rFonts w:cs="Arial"/>
          <w:i/>
          <w:szCs w:val="18"/>
        </w:rPr>
        <w:t>principle</w:t>
      </w:r>
      <w:proofErr w:type="spellEnd"/>
      <w:r w:rsidRPr="000D09A4" w:rsidR="00284E47">
        <w:rPr>
          <w:rFonts w:cs="Arial"/>
          <w:i/>
          <w:szCs w:val="18"/>
        </w:rPr>
        <w:t xml:space="preserve"> </w:t>
      </w:r>
      <w:proofErr w:type="spellStart"/>
      <w:r w:rsidRPr="000D09A4" w:rsidR="00284E47">
        <w:rPr>
          <w:rFonts w:cs="Arial"/>
          <w:i/>
          <w:szCs w:val="18"/>
        </w:rPr>
        <w:t>based</w:t>
      </w:r>
      <w:proofErr w:type="spellEnd"/>
      <w:r w:rsidRPr="000D09A4" w:rsidR="00284E47">
        <w:rPr>
          <w:rFonts w:cs="Arial"/>
          <w:szCs w:val="18"/>
        </w:rPr>
        <w:t xml:space="preserve"> benadering voor het financieel toezicht </w:t>
      </w:r>
      <w:r w:rsidRPr="000D09A4" w:rsidR="004C7031">
        <w:rPr>
          <w:rFonts w:cs="Arial"/>
          <w:szCs w:val="18"/>
        </w:rPr>
        <w:t xml:space="preserve">op het toezicht dat de minister op DNB en de AFM uitoefent. </w:t>
      </w:r>
      <w:r w:rsidRPr="000D09A4" w:rsidR="00B834A9">
        <w:rPr>
          <w:rFonts w:cs="Arial"/>
          <w:szCs w:val="18"/>
        </w:rPr>
        <w:t xml:space="preserve">Zoals </w:t>
      </w:r>
      <w:r w:rsidRPr="000D09A4" w:rsidR="00152309">
        <w:rPr>
          <w:rFonts w:cs="Arial"/>
          <w:szCs w:val="18"/>
        </w:rPr>
        <w:t xml:space="preserve">verder </w:t>
      </w:r>
      <w:r w:rsidRPr="000D09A4" w:rsidR="00B834A9">
        <w:rPr>
          <w:rFonts w:cs="Arial"/>
          <w:szCs w:val="18"/>
        </w:rPr>
        <w:t>aan de orde komt, gaat het hierbij om andersoortig toezicht dan de eigen toezichttaak van DNB</w:t>
      </w:r>
      <w:r w:rsidRPr="000D09A4" w:rsidR="00B834A9">
        <w:rPr>
          <w:rStyle w:val="Voetnootmarkering"/>
          <w:rFonts w:cs="Arial"/>
          <w:szCs w:val="18"/>
        </w:rPr>
        <w:footnoteReference w:id="13"/>
      </w:r>
      <w:r w:rsidRPr="000D09A4" w:rsidR="00B834A9">
        <w:rPr>
          <w:rFonts w:cs="Arial"/>
          <w:szCs w:val="18"/>
        </w:rPr>
        <w:t xml:space="preserve"> en de AFM, waarbij voor een goed begrip ook wordt stilgestaan.</w:t>
      </w:r>
      <w:r w:rsidRPr="000D09A4" w:rsidR="00513512">
        <w:rPr>
          <w:rFonts w:cs="Arial"/>
          <w:szCs w:val="18"/>
        </w:rPr>
        <w:t xml:space="preserve"> </w:t>
      </w:r>
      <w:r w:rsidRPr="000D09A4" w:rsidR="00152309">
        <w:rPr>
          <w:rFonts w:cs="Arial"/>
          <w:szCs w:val="18"/>
        </w:rPr>
        <w:t xml:space="preserve">Ook </w:t>
      </w:r>
      <w:r w:rsidRPr="000D09A4">
        <w:rPr>
          <w:rFonts w:cs="Arial"/>
          <w:szCs w:val="18"/>
        </w:rPr>
        <w:t xml:space="preserve">wordt aangegeven op basis van welke algemene uitgangspunten de minister zijn toezicht </w:t>
      </w:r>
      <w:r w:rsidRPr="000D09A4" w:rsidR="00996FAD">
        <w:rPr>
          <w:rFonts w:cs="Arial"/>
          <w:szCs w:val="18"/>
        </w:rPr>
        <w:t xml:space="preserve">vormgeeft en </w:t>
      </w:r>
      <w:r w:rsidRPr="000D09A4">
        <w:rPr>
          <w:rFonts w:cs="Arial"/>
          <w:szCs w:val="18"/>
        </w:rPr>
        <w:t>uitvoert.</w:t>
      </w:r>
      <w:r w:rsidRPr="000D09A4" w:rsidR="00284E47">
        <w:rPr>
          <w:rFonts w:cs="Arial"/>
          <w:szCs w:val="18"/>
        </w:rPr>
        <w:t xml:space="preserve"> </w:t>
      </w:r>
    </w:p>
    <w:p w:rsidRPr="000D09A4" w:rsidR="00F25FEB" w:rsidP="00D14660" w:rsidRDefault="00F25FEB" w14:paraId="0FC735F9" w14:textId="77777777">
      <w:pPr>
        <w:pStyle w:val="Geenafstand"/>
        <w:rPr>
          <w:i/>
        </w:rPr>
      </w:pPr>
      <w:bookmarkStart w:name="_Toc6252083" w:id="8"/>
    </w:p>
    <w:p w:rsidRPr="000D09A4" w:rsidR="005B5281" w:rsidP="005B5281" w:rsidRDefault="005B5281" w14:paraId="686E55CA" w14:textId="77777777">
      <w:pPr>
        <w:spacing w:after="0" w:line="260" w:lineRule="exact"/>
        <w:rPr>
          <w:i/>
          <w:iCs/>
          <w:szCs w:val="18"/>
        </w:rPr>
      </w:pPr>
      <w:proofErr w:type="spellStart"/>
      <w:r w:rsidRPr="000D09A4">
        <w:rPr>
          <w:i/>
          <w:iCs/>
          <w:szCs w:val="18"/>
        </w:rPr>
        <w:t>Principle</w:t>
      </w:r>
      <w:proofErr w:type="spellEnd"/>
      <w:r w:rsidRPr="000D09A4">
        <w:rPr>
          <w:i/>
          <w:iCs/>
          <w:szCs w:val="18"/>
        </w:rPr>
        <w:t xml:space="preserve"> </w:t>
      </w:r>
      <w:proofErr w:type="spellStart"/>
      <w:r w:rsidRPr="000D09A4">
        <w:rPr>
          <w:i/>
          <w:iCs/>
          <w:szCs w:val="18"/>
        </w:rPr>
        <w:t>based</w:t>
      </w:r>
      <w:proofErr w:type="spellEnd"/>
      <w:r w:rsidRPr="000D09A4">
        <w:rPr>
          <w:i/>
          <w:iCs/>
          <w:szCs w:val="18"/>
        </w:rPr>
        <w:t xml:space="preserve"> benadering</w:t>
      </w:r>
    </w:p>
    <w:p w:rsidRPr="000D09A4" w:rsidR="005B5281" w:rsidP="005B5281" w:rsidRDefault="005B5281" w14:paraId="6BDE1965" w14:textId="236C4573">
      <w:pPr>
        <w:spacing w:after="0" w:line="260" w:lineRule="exact"/>
        <w:rPr>
          <w:szCs w:val="18"/>
        </w:rPr>
      </w:pPr>
      <w:r w:rsidRPr="000D09A4">
        <w:rPr>
          <w:szCs w:val="18"/>
        </w:rPr>
        <w:t xml:space="preserve">Met de inwerkingtreding van de Wet op het financieel toezicht per 1 januari 2007 heeft het financieel toezicht een sterker </w:t>
      </w:r>
      <w:proofErr w:type="spellStart"/>
      <w:r w:rsidRPr="000D09A4">
        <w:rPr>
          <w:i/>
          <w:iCs/>
          <w:szCs w:val="18"/>
        </w:rPr>
        <w:t>principle</w:t>
      </w:r>
      <w:proofErr w:type="spellEnd"/>
      <w:r w:rsidRPr="000D09A4">
        <w:rPr>
          <w:i/>
          <w:iCs/>
          <w:szCs w:val="18"/>
        </w:rPr>
        <w:t xml:space="preserve"> </w:t>
      </w:r>
      <w:proofErr w:type="spellStart"/>
      <w:r w:rsidRPr="000D09A4">
        <w:rPr>
          <w:i/>
          <w:iCs/>
          <w:szCs w:val="18"/>
        </w:rPr>
        <w:t>based</w:t>
      </w:r>
      <w:proofErr w:type="spellEnd"/>
      <w:r w:rsidRPr="000D09A4">
        <w:rPr>
          <w:i/>
          <w:iCs/>
          <w:szCs w:val="18"/>
        </w:rPr>
        <w:t xml:space="preserve"> </w:t>
      </w:r>
      <w:r w:rsidRPr="000D09A4">
        <w:rPr>
          <w:szCs w:val="18"/>
        </w:rPr>
        <w:t xml:space="preserve">karakter gekregen. Kenmerkend voor </w:t>
      </w:r>
      <w:proofErr w:type="spellStart"/>
      <w:r w:rsidRPr="000D09A4">
        <w:rPr>
          <w:i/>
          <w:iCs/>
          <w:szCs w:val="18"/>
        </w:rPr>
        <w:t>principle</w:t>
      </w:r>
      <w:proofErr w:type="spellEnd"/>
      <w:r w:rsidRPr="000D09A4">
        <w:rPr>
          <w:i/>
          <w:iCs/>
          <w:szCs w:val="18"/>
        </w:rPr>
        <w:t xml:space="preserve"> </w:t>
      </w:r>
      <w:proofErr w:type="spellStart"/>
      <w:r w:rsidRPr="000D09A4">
        <w:rPr>
          <w:i/>
          <w:iCs/>
          <w:szCs w:val="18"/>
        </w:rPr>
        <w:t>based</w:t>
      </w:r>
      <w:proofErr w:type="spellEnd"/>
      <w:r w:rsidRPr="000D09A4">
        <w:rPr>
          <w:i/>
          <w:iCs/>
          <w:szCs w:val="18"/>
        </w:rPr>
        <w:t xml:space="preserve"> </w:t>
      </w:r>
      <w:r w:rsidRPr="000D09A4">
        <w:rPr>
          <w:szCs w:val="18"/>
        </w:rPr>
        <w:t>toezicht is de aanwezigheid van een groot aantal open normen</w:t>
      </w:r>
      <w:r w:rsidRPr="000D09A4" w:rsidR="004C7031">
        <w:rPr>
          <w:szCs w:val="18"/>
        </w:rPr>
        <w:t xml:space="preserve"> in wet- en regelgeving</w:t>
      </w:r>
      <w:r w:rsidRPr="000D09A4">
        <w:rPr>
          <w:szCs w:val="18"/>
        </w:rPr>
        <w:t xml:space="preserve">. In de uitvoering van het toezicht op de financiële markten </w:t>
      </w:r>
      <w:r w:rsidRPr="000D09A4" w:rsidR="004C7031">
        <w:rPr>
          <w:szCs w:val="18"/>
        </w:rPr>
        <w:t>zien</w:t>
      </w:r>
      <w:r w:rsidRPr="000D09A4">
        <w:rPr>
          <w:szCs w:val="18"/>
        </w:rPr>
        <w:t xml:space="preserve"> DNB en de AFM </w:t>
      </w:r>
      <w:r w:rsidRPr="000D09A4" w:rsidR="004C7031">
        <w:rPr>
          <w:szCs w:val="18"/>
        </w:rPr>
        <w:t>toe</w:t>
      </w:r>
      <w:r w:rsidRPr="000D09A4">
        <w:rPr>
          <w:szCs w:val="18"/>
        </w:rPr>
        <w:t xml:space="preserve"> op de naleving van deze open normen</w:t>
      </w:r>
      <w:r w:rsidRPr="000D09A4" w:rsidR="004C7031">
        <w:rPr>
          <w:szCs w:val="18"/>
        </w:rPr>
        <w:t>,</w:t>
      </w:r>
      <w:r w:rsidRPr="000D09A4">
        <w:rPr>
          <w:szCs w:val="18"/>
        </w:rPr>
        <w:t xml:space="preserve"> zonder dat zij </w:t>
      </w:r>
      <w:r w:rsidRPr="000D09A4" w:rsidR="004C7031">
        <w:rPr>
          <w:szCs w:val="18"/>
        </w:rPr>
        <w:t>hierbij</w:t>
      </w:r>
      <w:r w:rsidRPr="000D09A4">
        <w:rPr>
          <w:szCs w:val="18"/>
        </w:rPr>
        <w:t xml:space="preserve"> kunnen terugvallen op een vast toetsingskader. Onder toezicht staande financiële instellingen worden gehouden aan een bepaald resultaat, maar de wijze waarop dat resultaat dient te worden bereikt, is in belangrijke mate aan de instelling zelf om te bepalen. DNB en de AFM dienen hier vervolgens flexibel op in te spelen. </w:t>
      </w:r>
      <w:r w:rsidRPr="000D09A4" w:rsidR="004C7031">
        <w:rPr>
          <w:szCs w:val="18"/>
        </w:rPr>
        <w:t>Eventueel kunnen zij</w:t>
      </w:r>
      <w:r w:rsidRPr="000D09A4">
        <w:rPr>
          <w:szCs w:val="18"/>
        </w:rPr>
        <w:t xml:space="preserve"> via voorlichting (</w:t>
      </w:r>
      <w:proofErr w:type="spellStart"/>
      <w:r w:rsidRPr="000D09A4">
        <w:rPr>
          <w:i/>
          <w:iCs/>
          <w:szCs w:val="18"/>
        </w:rPr>
        <w:t>guidance</w:t>
      </w:r>
      <w:proofErr w:type="spellEnd"/>
      <w:r w:rsidRPr="000D09A4">
        <w:rPr>
          <w:szCs w:val="18"/>
        </w:rPr>
        <w:t>), al dan niet in de vorm van leidraden, meer zekerheid creëren,</w:t>
      </w:r>
      <w:r w:rsidRPr="000D09A4" w:rsidR="00C63F6C">
        <w:rPr>
          <w:szCs w:val="18"/>
        </w:rPr>
        <w:t xml:space="preserve"> hierbij uitgaande van de primaire verantwoordelijkheid van de onder toezicht staande instellingen zelf</w:t>
      </w:r>
      <w:r w:rsidRPr="000D09A4">
        <w:rPr>
          <w:szCs w:val="18"/>
        </w:rPr>
        <w:t>.</w:t>
      </w:r>
    </w:p>
    <w:p w:rsidRPr="000D09A4" w:rsidR="005B5281" w:rsidP="005B5281" w:rsidRDefault="005B5281" w14:paraId="428130ED" w14:textId="77777777">
      <w:pPr>
        <w:spacing w:after="0" w:line="260" w:lineRule="exact"/>
        <w:rPr>
          <w:szCs w:val="18"/>
        </w:rPr>
      </w:pPr>
    </w:p>
    <w:p w:rsidRPr="000D09A4" w:rsidR="005B5281" w:rsidP="005B5281" w:rsidRDefault="005B5281" w14:paraId="713ECA0A" w14:textId="210A47C9">
      <w:pPr>
        <w:spacing w:after="0" w:line="260" w:lineRule="exact"/>
        <w:rPr>
          <w:szCs w:val="18"/>
        </w:rPr>
      </w:pPr>
      <w:r w:rsidRPr="000D09A4">
        <w:rPr>
          <w:szCs w:val="18"/>
        </w:rPr>
        <w:t xml:space="preserve">Deze </w:t>
      </w:r>
      <w:proofErr w:type="spellStart"/>
      <w:r w:rsidRPr="000D09A4">
        <w:rPr>
          <w:i/>
          <w:iCs/>
          <w:szCs w:val="18"/>
        </w:rPr>
        <w:t>principle</w:t>
      </w:r>
      <w:proofErr w:type="spellEnd"/>
      <w:r w:rsidRPr="000D09A4">
        <w:rPr>
          <w:i/>
          <w:iCs/>
          <w:szCs w:val="18"/>
        </w:rPr>
        <w:t xml:space="preserve"> </w:t>
      </w:r>
      <w:proofErr w:type="spellStart"/>
      <w:r w:rsidRPr="000D09A4">
        <w:rPr>
          <w:i/>
          <w:iCs/>
          <w:szCs w:val="18"/>
        </w:rPr>
        <w:t>based</w:t>
      </w:r>
      <w:proofErr w:type="spellEnd"/>
      <w:r w:rsidRPr="000D09A4">
        <w:rPr>
          <w:i/>
          <w:iCs/>
          <w:szCs w:val="18"/>
        </w:rPr>
        <w:t xml:space="preserve"> </w:t>
      </w:r>
      <w:r w:rsidRPr="000D09A4">
        <w:rPr>
          <w:szCs w:val="18"/>
        </w:rPr>
        <w:t>benadering versterkt in de praktijk het toezicht op afstand; het brengt met zich dat DNB en de AFM een grote mate van flexibiliteit en bewegingsruimte kennen in de uitvoering en invulling van hun toezicht</w:t>
      </w:r>
      <w:r w:rsidRPr="000D09A4" w:rsidR="004C7031">
        <w:rPr>
          <w:szCs w:val="18"/>
        </w:rPr>
        <w:t>taak</w:t>
      </w:r>
      <w:r w:rsidRPr="000D09A4">
        <w:rPr>
          <w:szCs w:val="18"/>
        </w:rPr>
        <w:t xml:space="preserve">. </w:t>
      </w:r>
      <w:r w:rsidRPr="000D09A4" w:rsidR="004C7031">
        <w:rPr>
          <w:szCs w:val="18"/>
        </w:rPr>
        <w:t xml:space="preserve">Tegelijkertijd </w:t>
      </w:r>
      <w:r w:rsidRPr="000D09A4">
        <w:rPr>
          <w:szCs w:val="18"/>
        </w:rPr>
        <w:t xml:space="preserve">leidt de </w:t>
      </w:r>
      <w:proofErr w:type="spellStart"/>
      <w:r w:rsidRPr="000D09A4">
        <w:rPr>
          <w:i/>
          <w:iCs/>
          <w:szCs w:val="18"/>
        </w:rPr>
        <w:t>principle</w:t>
      </w:r>
      <w:proofErr w:type="spellEnd"/>
      <w:r w:rsidRPr="000D09A4">
        <w:rPr>
          <w:i/>
          <w:iCs/>
          <w:szCs w:val="18"/>
        </w:rPr>
        <w:t xml:space="preserve"> </w:t>
      </w:r>
      <w:proofErr w:type="spellStart"/>
      <w:r w:rsidRPr="000D09A4">
        <w:rPr>
          <w:i/>
          <w:iCs/>
          <w:szCs w:val="18"/>
        </w:rPr>
        <w:t>based</w:t>
      </w:r>
      <w:proofErr w:type="spellEnd"/>
      <w:r w:rsidRPr="000D09A4">
        <w:rPr>
          <w:i/>
          <w:iCs/>
          <w:szCs w:val="18"/>
        </w:rPr>
        <w:t xml:space="preserve"> </w:t>
      </w:r>
      <w:r w:rsidRPr="000D09A4">
        <w:rPr>
          <w:szCs w:val="18"/>
        </w:rPr>
        <w:t xml:space="preserve">benadering ertoe dat ruimte kan </w:t>
      </w:r>
      <w:r w:rsidRPr="000D09A4" w:rsidR="008900C3">
        <w:rPr>
          <w:szCs w:val="18"/>
        </w:rPr>
        <w:t>ontstaan</w:t>
      </w:r>
      <w:r w:rsidRPr="000D09A4">
        <w:rPr>
          <w:szCs w:val="18"/>
        </w:rPr>
        <w:t xml:space="preserve"> voor discussie en verschillen in int</w:t>
      </w:r>
      <w:r w:rsidRPr="000D09A4" w:rsidR="008900C3">
        <w:rPr>
          <w:szCs w:val="18"/>
        </w:rPr>
        <w:t xml:space="preserve">erpretatie tussen </w:t>
      </w:r>
      <w:r w:rsidRPr="000D09A4" w:rsidR="004C7031">
        <w:rPr>
          <w:szCs w:val="18"/>
        </w:rPr>
        <w:t xml:space="preserve">de toezichthouders </w:t>
      </w:r>
      <w:r w:rsidRPr="000D09A4">
        <w:rPr>
          <w:szCs w:val="18"/>
        </w:rPr>
        <w:t xml:space="preserve">en de onder toezicht staande instellingen. Er zijn omstandigheden denkbaar waarin </w:t>
      </w:r>
      <w:r w:rsidRPr="000D09A4" w:rsidR="004C7031">
        <w:rPr>
          <w:szCs w:val="18"/>
        </w:rPr>
        <w:t xml:space="preserve">het </w:t>
      </w:r>
      <w:r w:rsidRPr="000D09A4" w:rsidR="00F66B8B">
        <w:rPr>
          <w:szCs w:val="18"/>
        </w:rPr>
        <w:t xml:space="preserve">opportuun </w:t>
      </w:r>
      <w:r w:rsidRPr="000D09A4" w:rsidR="004C7031">
        <w:rPr>
          <w:szCs w:val="18"/>
        </w:rPr>
        <w:t xml:space="preserve">wordt geacht </w:t>
      </w:r>
      <w:r w:rsidRPr="000D09A4" w:rsidR="00C33208">
        <w:rPr>
          <w:szCs w:val="18"/>
        </w:rPr>
        <w:t xml:space="preserve">om </w:t>
      </w:r>
      <w:r w:rsidRPr="000D09A4" w:rsidR="004C7031">
        <w:rPr>
          <w:szCs w:val="18"/>
        </w:rPr>
        <w:t xml:space="preserve">deze </w:t>
      </w:r>
      <w:r w:rsidRPr="000D09A4">
        <w:rPr>
          <w:szCs w:val="18"/>
        </w:rPr>
        <w:t xml:space="preserve">interpretatiemogelijkheden </w:t>
      </w:r>
      <w:r w:rsidRPr="000D09A4" w:rsidR="004C7031">
        <w:rPr>
          <w:szCs w:val="18"/>
        </w:rPr>
        <w:t xml:space="preserve">te beperken en </w:t>
      </w:r>
      <w:r w:rsidRPr="000D09A4" w:rsidR="00C33208">
        <w:rPr>
          <w:szCs w:val="18"/>
        </w:rPr>
        <w:t xml:space="preserve">waarin </w:t>
      </w:r>
      <w:r w:rsidRPr="000D09A4" w:rsidR="00B54120">
        <w:rPr>
          <w:szCs w:val="18"/>
        </w:rPr>
        <w:t>de minister</w:t>
      </w:r>
      <w:r w:rsidRPr="000D09A4" w:rsidR="00F66B8B">
        <w:rPr>
          <w:szCs w:val="18"/>
        </w:rPr>
        <w:t>, vanuit zijn systeemverantwoordelijkheid en daarmee</w:t>
      </w:r>
      <w:r w:rsidRPr="000D09A4" w:rsidR="00B54120">
        <w:rPr>
          <w:szCs w:val="18"/>
        </w:rPr>
        <w:t xml:space="preserve"> zijn verantwoordelijkheid voor de wet- en regelgeving die aan het financieel toezicht ten grondslag ligt</w:t>
      </w:r>
      <w:r w:rsidRPr="000D09A4" w:rsidR="00F66B8B">
        <w:rPr>
          <w:szCs w:val="18"/>
        </w:rPr>
        <w:t>,</w:t>
      </w:r>
      <w:r w:rsidRPr="000D09A4" w:rsidR="00B54120">
        <w:rPr>
          <w:szCs w:val="18"/>
        </w:rPr>
        <w:t xml:space="preserve"> een rol heeft.  </w:t>
      </w:r>
    </w:p>
    <w:p w:rsidRPr="000D09A4" w:rsidR="005B5281" w:rsidP="00D14660" w:rsidRDefault="005B5281" w14:paraId="10D9C896" w14:textId="77777777">
      <w:pPr>
        <w:pStyle w:val="Geenafstand"/>
        <w:rPr>
          <w:i/>
        </w:rPr>
      </w:pPr>
    </w:p>
    <w:p w:rsidRPr="000D09A4" w:rsidR="00F17F87" w:rsidP="00D14660" w:rsidRDefault="00F17F87" w14:paraId="0DF0EC26" w14:textId="77777777">
      <w:pPr>
        <w:pStyle w:val="Geenafstand"/>
        <w:rPr>
          <w:i/>
        </w:rPr>
      </w:pPr>
      <w:r w:rsidRPr="000D09A4">
        <w:rPr>
          <w:i/>
        </w:rPr>
        <w:t>Toezicht op de financiële markten: nalevingstoezicht</w:t>
      </w:r>
      <w:bookmarkEnd w:id="8"/>
    </w:p>
    <w:p w:rsidRPr="000D09A4" w:rsidR="009A002F" w:rsidP="005E2D33" w:rsidRDefault="002E7ADF" w14:paraId="6EA0367C" w14:textId="0D3D5B27">
      <w:pPr>
        <w:spacing w:after="0" w:line="260" w:lineRule="atLeast"/>
        <w:rPr>
          <w:szCs w:val="18"/>
        </w:rPr>
      </w:pPr>
      <w:r w:rsidRPr="000D09A4">
        <w:rPr>
          <w:szCs w:val="18"/>
        </w:rPr>
        <w:t xml:space="preserve">Het Nederlandse toezichtmodel voor de financiële markten, het zogenaamde </w:t>
      </w:r>
      <w:proofErr w:type="spellStart"/>
      <w:r w:rsidRPr="000D09A4">
        <w:rPr>
          <w:i/>
          <w:szCs w:val="18"/>
        </w:rPr>
        <w:t>Twin</w:t>
      </w:r>
      <w:proofErr w:type="spellEnd"/>
      <w:r w:rsidRPr="000D09A4">
        <w:rPr>
          <w:i/>
          <w:szCs w:val="18"/>
        </w:rPr>
        <w:t xml:space="preserve"> Peaks</w:t>
      </w:r>
      <w:r w:rsidRPr="000D09A4">
        <w:rPr>
          <w:szCs w:val="18"/>
        </w:rPr>
        <w:t xml:space="preserve">-model, onderscheidt twee toezichthouders met </w:t>
      </w:r>
      <w:r w:rsidRPr="000D09A4" w:rsidR="0035058D">
        <w:rPr>
          <w:szCs w:val="18"/>
        </w:rPr>
        <w:t>elk</w:t>
      </w:r>
      <w:r w:rsidRPr="000D09A4">
        <w:rPr>
          <w:szCs w:val="18"/>
        </w:rPr>
        <w:t xml:space="preserve"> een eigen taak. </w:t>
      </w:r>
      <w:r w:rsidRPr="000D09A4" w:rsidR="008F00AA">
        <w:rPr>
          <w:color w:val="000000"/>
          <w:szCs w:val="18"/>
        </w:rPr>
        <w:t xml:space="preserve">Artikel 1:24 </w:t>
      </w:r>
      <w:r w:rsidRPr="000D09A4" w:rsidR="00C17503">
        <w:rPr>
          <w:color w:val="000000"/>
          <w:szCs w:val="18"/>
        </w:rPr>
        <w:t xml:space="preserve">van de </w:t>
      </w:r>
      <w:r w:rsidRPr="000D09A4" w:rsidR="00E62F5C">
        <w:rPr>
          <w:color w:val="000000"/>
          <w:szCs w:val="18"/>
        </w:rPr>
        <w:t>W</w:t>
      </w:r>
      <w:r w:rsidRPr="000D09A4" w:rsidR="00C17503">
        <w:rPr>
          <w:color w:val="000000"/>
          <w:szCs w:val="18"/>
        </w:rPr>
        <w:t>et</w:t>
      </w:r>
      <w:r w:rsidRPr="000D09A4" w:rsidR="003E2C9E">
        <w:rPr>
          <w:color w:val="000000"/>
          <w:szCs w:val="18"/>
        </w:rPr>
        <w:t xml:space="preserve"> op het</w:t>
      </w:r>
      <w:r w:rsidRPr="000D09A4" w:rsidR="00C17503">
        <w:rPr>
          <w:color w:val="000000"/>
          <w:szCs w:val="18"/>
        </w:rPr>
        <w:t xml:space="preserve"> </w:t>
      </w:r>
      <w:r w:rsidRPr="000D09A4" w:rsidR="00E62F5C">
        <w:rPr>
          <w:color w:val="000000"/>
          <w:szCs w:val="18"/>
        </w:rPr>
        <w:t>f</w:t>
      </w:r>
      <w:r w:rsidRPr="000D09A4" w:rsidR="00C17503">
        <w:rPr>
          <w:color w:val="000000"/>
          <w:szCs w:val="18"/>
        </w:rPr>
        <w:t xml:space="preserve">inancieel </w:t>
      </w:r>
      <w:r w:rsidRPr="000D09A4" w:rsidR="00E62F5C">
        <w:rPr>
          <w:color w:val="000000"/>
          <w:szCs w:val="18"/>
        </w:rPr>
        <w:t>t</w:t>
      </w:r>
      <w:r w:rsidRPr="000D09A4" w:rsidR="00C17503">
        <w:rPr>
          <w:color w:val="000000"/>
          <w:szCs w:val="18"/>
        </w:rPr>
        <w:t>oezicht (</w:t>
      </w:r>
      <w:proofErr w:type="spellStart"/>
      <w:r w:rsidRPr="000D09A4" w:rsidR="00C17503">
        <w:rPr>
          <w:color w:val="000000"/>
          <w:szCs w:val="18"/>
        </w:rPr>
        <w:t>Wft</w:t>
      </w:r>
      <w:proofErr w:type="spellEnd"/>
      <w:r w:rsidRPr="000D09A4" w:rsidR="00C17503">
        <w:rPr>
          <w:color w:val="000000"/>
          <w:szCs w:val="18"/>
        </w:rPr>
        <w:t>)</w:t>
      </w:r>
      <w:r w:rsidRPr="000D09A4" w:rsidR="00E62F5C">
        <w:rPr>
          <w:color w:val="000000"/>
          <w:szCs w:val="18"/>
        </w:rPr>
        <w:t xml:space="preserve"> </w:t>
      </w:r>
      <w:r w:rsidRPr="000D09A4" w:rsidR="008F00AA">
        <w:rPr>
          <w:color w:val="000000"/>
          <w:szCs w:val="18"/>
        </w:rPr>
        <w:t xml:space="preserve">bepaalt dat DNB </w:t>
      </w:r>
      <w:r w:rsidRPr="000D09A4" w:rsidR="00513512">
        <w:rPr>
          <w:color w:val="000000"/>
          <w:szCs w:val="18"/>
        </w:rPr>
        <w:t xml:space="preserve">is </w:t>
      </w:r>
      <w:r w:rsidRPr="000D09A4" w:rsidR="008F00AA">
        <w:rPr>
          <w:color w:val="000000"/>
          <w:szCs w:val="18"/>
        </w:rPr>
        <w:t xml:space="preserve">belast met het uitoefenen van het </w:t>
      </w:r>
      <w:proofErr w:type="spellStart"/>
      <w:r w:rsidRPr="000D09A4" w:rsidR="008F00AA">
        <w:rPr>
          <w:color w:val="000000"/>
          <w:szCs w:val="18"/>
        </w:rPr>
        <w:t>prudentieel</w:t>
      </w:r>
      <w:proofErr w:type="spellEnd"/>
      <w:r w:rsidRPr="000D09A4" w:rsidR="008F00AA">
        <w:rPr>
          <w:color w:val="000000"/>
          <w:szCs w:val="18"/>
        </w:rPr>
        <w:t xml:space="preserve"> toezicht op financiële ondernemingen, het beslissen omtrent de toelating van financiële ondernemingen tot de financiële markten alsmede het afwikkelen van bepaalde financiële ondernemingen. Het </w:t>
      </w:r>
      <w:proofErr w:type="spellStart"/>
      <w:r w:rsidRPr="000D09A4" w:rsidR="008F00AA">
        <w:rPr>
          <w:color w:val="000000"/>
          <w:szCs w:val="18"/>
        </w:rPr>
        <w:t>prudentieel</w:t>
      </w:r>
      <w:proofErr w:type="spellEnd"/>
      <w:r w:rsidRPr="000D09A4" w:rsidR="008F00AA">
        <w:rPr>
          <w:color w:val="000000"/>
          <w:szCs w:val="18"/>
        </w:rPr>
        <w:t xml:space="preserve"> toezicht is gericht op de soliditeit van financiële ondernemingen </w:t>
      </w:r>
      <w:r w:rsidRPr="000D09A4" w:rsidR="00513512">
        <w:rPr>
          <w:color w:val="000000"/>
          <w:szCs w:val="18"/>
        </w:rPr>
        <w:t xml:space="preserve">en </w:t>
      </w:r>
      <w:r w:rsidRPr="000D09A4" w:rsidR="008F00AA">
        <w:rPr>
          <w:color w:val="000000"/>
          <w:szCs w:val="18"/>
        </w:rPr>
        <w:t xml:space="preserve">de stabiliteit van het financiële </w:t>
      </w:r>
      <w:r w:rsidRPr="000D09A4" w:rsidR="002D59AB">
        <w:rPr>
          <w:color w:val="000000"/>
          <w:szCs w:val="18"/>
        </w:rPr>
        <w:t xml:space="preserve">stelsel. </w:t>
      </w:r>
      <w:r w:rsidRPr="000D09A4" w:rsidR="00E71090">
        <w:rPr>
          <w:szCs w:val="18"/>
        </w:rPr>
        <w:t xml:space="preserve">Het gedragstoezicht </w:t>
      </w:r>
      <w:r w:rsidRPr="000D09A4" w:rsidR="00E71090">
        <w:rPr>
          <w:color w:val="000000"/>
          <w:szCs w:val="18"/>
        </w:rPr>
        <w:t xml:space="preserve">is in artikel 1:25 </w:t>
      </w:r>
      <w:proofErr w:type="spellStart"/>
      <w:r w:rsidRPr="000D09A4" w:rsidR="00E71090">
        <w:rPr>
          <w:color w:val="000000"/>
          <w:szCs w:val="18"/>
        </w:rPr>
        <w:t>Wft</w:t>
      </w:r>
      <w:proofErr w:type="spellEnd"/>
      <w:r w:rsidRPr="000D09A4" w:rsidR="00E71090">
        <w:rPr>
          <w:color w:val="000000"/>
          <w:szCs w:val="18"/>
        </w:rPr>
        <w:t xml:space="preserve"> opgedragen aan de AFM, evenals de taak om te beslissen omtrent de toelating van financiële ondernemingen tot de financiële markten.</w:t>
      </w:r>
      <w:r w:rsidRPr="000D09A4" w:rsidR="0035058D">
        <w:rPr>
          <w:color w:val="000000"/>
          <w:szCs w:val="18"/>
        </w:rPr>
        <w:t xml:space="preserve"> Gedragstoezicht is omschreven als </w:t>
      </w:r>
      <w:r w:rsidRPr="000D09A4" w:rsidR="0035058D">
        <w:rPr>
          <w:szCs w:val="18"/>
        </w:rPr>
        <w:t xml:space="preserve">het </w:t>
      </w:r>
      <w:r w:rsidRPr="000D09A4" w:rsidR="0035058D">
        <w:rPr>
          <w:color w:val="000000"/>
          <w:szCs w:val="18"/>
        </w:rPr>
        <w:t xml:space="preserve">toezicht dat, mede in het belang van de stabiliteit van het financiële stelsel, is gericht op ordelijke en transparante </w:t>
      </w:r>
      <w:proofErr w:type="spellStart"/>
      <w:r w:rsidRPr="000D09A4" w:rsidR="0035058D">
        <w:rPr>
          <w:color w:val="000000"/>
          <w:szCs w:val="18"/>
        </w:rPr>
        <w:t>financiëlemarktprocessen</w:t>
      </w:r>
      <w:proofErr w:type="spellEnd"/>
      <w:r w:rsidRPr="000D09A4" w:rsidR="0035058D">
        <w:rPr>
          <w:color w:val="000000"/>
          <w:szCs w:val="18"/>
        </w:rPr>
        <w:t xml:space="preserve">, zuivere verhoudingen tussen marktpartijen en zorgvuldige behandeling van cliënten. </w:t>
      </w:r>
      <w:r w:rsidRPr="000D09A4" w:rsidR="00E71090">
        <w:rPr>
          <w:color w:val="000000"/>
          <w:szCs w:val="18"/>
        </w:rPr>
        <w:t>P</w:t>
      </w:r>
      <w:r w:rsidRPr="000D09A4" w:rsidR="00BB0F8D">
        <w:rPr>
          <w:color w:val="000000"/>
          <w:szCs w:val="18"/>
        </w:rPr>
        <w:t>aragrafen</w:t>
      </w:r>
      <w:r w:rsidRPr="000D09A4" w:rsidR="00581A8E">
        <w:rPr>
          <w:color w:val="000000"/>
          <w:szCs w:val="18"/>
        </w:rPr>
        <w:t xml:space="preserve"> 2.</w:t>
      </w:r>
      <w:r w:rsidRPr="000D09A4" w:rsidR="007C28D3">
        <w:rPr>
          <w:color w:val="000000"/>
          <w:szCs w:val="18"/>
        </w:rPr>
        <w:t>1 en 2.2</w:t>
      </w:r>
      <w:r w:rsidRPr="000D09A4" w:rsidR="00581A8E">
        <w:rPr>
          <w:color w:val="000000"/>
          <w:szCs w:val="18"/>
        </w:rPr>
        <w:t xml:space="preserve"> van het toezichtarrangement </w:t>
      </w:r>
      <w:r w:rsidRPr="000D09A4" w:rsidR="00E71090">
        <w:rPr>
          <w:color w:val="000000"/>
          <w:szCs w:val="18"/>
        </w:rPr>
        <w:t>bevat</w:t>
      </w:r>
      <w:r w:rsidRPr="000D09A4" w:rsidR="007C28D3">
        <w:rPr>
          <w:color w:val="000000"/>
          <w:szCs w:val="18"/>
        </w:rPr>
        <w:t>ten</w:t>
      </w:r>
      <w:r w:rsidRPr="000D09A4" w:rsidR="00E71090">
        <w:rPr>
          <w:color w:val="000000"/>
          <w:szCs w:val="18"/>
        </w:rPr>
        <w:t xml:space="preserve"> een overzicht van de </w:t>
      </w:r>
      <w:r w:rsidRPr="000D09A4" w:rsidR="009A002F">
        <w:rPr>
          <w:color w:val="000000"/>
          <w:szCs w:val="18"/>
        </w:rPr>
        <w:t xml:space="preserve">belangrijkste taken waarmee DNB </w:t>
      </w:r>
      <w:r w:rsidRPr="000D09A4" w:rsidR="00256DE6">
        <w:rPr>
          <w:color w:val="000000"/>
          <w:szCs w:val="18"/>
        </w:rPr>
        <w:t>en</w:t>
      </w:r>
      <w:r w:rsidRPr="000D09A4" w:rsidR="007C28D3">
        <w:rPr>
          <w:color w:val="000000"/>
          <w:szCs w:val="18"/>
        </w:rPr>
        <w:t xml:space="preserve"> de AFM</w:t>
      </w:r>
      <w:r w:rsidRPr="000D09A4" w:rsidR="009A002F">
        <w:rPr>
          <w:color w:val="000000"/>
          <w:szCs w:val="18"/>
        </w:rPr>
        <w:t xml:space="preserve"> belast </w:t>
      </w:r>
      <w:r w:rsidRPr="000D09A4" w:rsidR="00256DE6">
        <w:rPr>
          <w:color w:val="000000"/>
          <w:szCs w:val="18"/>
        </w:rPr>
        <w:t>zijn</w:t>
      </w:r>
      <w:r w:rsidRPr="000D09A4" w:rsidR="009A002F">
        <w:rPr>
          <w:color w:val="000000"/>
          <w:szCs w:val="18"/>
        </w:rPr>
        <w:t>.</w:t>
      </w:r>
    </w:p>
    <w:p w:rsidRPr="000D09A4" w:rsidR="009A002F" w:rsidP="005E2D33" w:rsidRDefault="009A002F" w14:paraId="1357143B" w14:textId="77777777">
      <w:pPr>
        <w:spacing w:after="0" w:line="260" w:lineRule="atLeast"/>
        <w:rPr>
          <w:szCs w:val="18"/>
        </w:rPr>
      </w:pPr>
    </w:p>
    <w:p w:rsidRPr="000D09A4" w:rsidR="00B312C6" w:rsidP="00863AC3" w:rsidRDefault="00B312C6" w14:paraId="4C50BF38" w14:textId="10F5DC11">
      <w:pPr>
        <w:spacing w:after="0" w:line="260" w:lineRule="exact"/>
        <w:rPr>
          <w:rFonts w:cs="Arial"/>
          <w:szCs w:val="18"/>
        </w:rPr>
      </w:pPr>
      <w:r w:rsidRPr="000D09A4">
        <w:rPr>
          <w:rFonts w:cs="Arial"/>
          <w:szCs w:val="18"/>
        </w:rPr>
        <w:t>Het toezicht dat DNB en de AFM op marktpartijen uitoefenen, wordt wel als nalevingstoezicht aangeduid: toezicht op handelen van burgers en bedrijven, gericht op de naleving van wet- en regelgeving.</w:t>
      </w:r>
      <w:r w:rsidRPr="000D09A4">
        <w:rPr>
          <w:rStyle w:val="Voetnootmarkering"/>
          <w:rFonts w:cs="Arial"/>
          <w:szCs w:val="18"/>
        </w:rPr>
        <w:footnoteReference w:id="14"/>
      </w:r>
      <w:r w:rsidRPr="000D09A4">
        <w:rPr>
          <w:rFonts w:cs="Arial"/>
          <w:szCs w:val="18"/>
        </w:rPr>
        <w:t xml:space="preserve"> Het object van het toezicht</w:t>
      </w:r>
      <w:r w:rsidRPr="000D09A4">
        <w:rPr>
          <w:rStyle w:val="Voetnootmarkering"/>
          <w:rFonts w:cs="Arial"/>
          <w:szCs w:val="18"/>
        </w:rPr>
        <w:footnoteReference w:id="15"/>
      </w:r>
      <w:r w:rsidRPr="000D09A4">
        <w:rPr>
          <w:rFonts w:cs="Arial"/>
          <w:szCs w:val="18"/>
        </w:rPr>
        <w:t xml:space="preserve"> door DNB en de AFM, is niet statisch. De financiële markten en de actoren op die markten zijn </w:t>
      </w:r>
      <w:r w:rsidRPr="000D09A4" w:rsidR="00863AC3">
        <w:rPr>
          <w:rFonts w:cs="Arial"/>
          <w:szCs w:val="18"/>
        </w:rPr>
        <w:t xml:space="preserve">voortdurend </w:t>
      </w:r>
      <w:r w:rsidRPr="000D09A4">
        <w:rPr>
          <w:rFonts w:cs="Arial"/>
          <w:szCs w:val="18"/>
        </w:rPr>
        <w:t>in beweging, en er gebeurt veel op het gebied van wet- en regelgeving en toezicht, ook en vooral op Europees niveau</w:t>
      </w:r>
      <w:r w:rsidRPr="000D09A4" w:rsidR="00863AC3">
        <w:rPr>
          <w:rFonts w:cs="Arial"/>
          <w:szCs w:val="18"/>
        </w:rPr>
        <w:t xml:space="preserve">. </w:t>
      </w:r>
      <w:r w:rsidRPr="000D09A4" w:rsidR="003B4144">
        <w:rPr>
          <w:rFonts w:cs="Arial"/>
          <w:szCs w:val="18"/>
        </w:rPr>
        <w:t>Da</w:t>
      </w:r>
      <w:r w:rsidRPr="000D09A4">
        <w:rPr>
          <w:rFonts w:cs="Arial"/>
          <w:szCs w:val="18"/>
        </w:rPr>
        <w:t xml:space="preserve">t vergt niet alleen flexibiliteit van de toezichthouders maar ook goede onderlinge afstemming. De samenwerking tussen DNB en de AFM is vastgelegd in diverse wettelijke bepalingen en een </w:t>
      </w:r>
      <w:r w:rsidRPr="000D09A4">
        <w:rPr>
          <w:rFonts w:eastAsia="Arial Unicode MS" w:cs="Arial"/>
          <w:szCs w:val="18"/>
        </w:rPr>
        <w:t>samenwerkingsconvenant</w:t>
      </w:r>
      <w:r w:rsidRPr="000D09A4" w:rsidR="00E27011">
        <w:rPr>
          <w:rFonts w:eastAsia="Arial Unicode MS" w:cs="Arial"/>
          <w:szCs w:val="18"/>
        </w:rPr>
        <w:t>.</w:t>
      </w:r>
      <w:r w:rsidRPr="000D09A4">
        <w:rPr>
          <w:rStyle w:val="Voetnootmarkering"/>
          <w:rFonts w:eastAsia="Arial Unicode MS" w:cs="Arial"/>
          <w:szCs w:val="18"/>
        </w:rPr>
        <w:footnoteReference w:id="16"/>
      </w:r>
      <w:r w:rsidRPr="000D09A4">
        <w:rPr>
          <w:rFonts w:eastAsia="Arial Unicode MS" w:cs="Arial"/>
          <w:szCs w:val="18"/>
        </w:rPr>
        <w:t xml:space="preserve"> Door de ontwikkelingen op Europees niveau, waaronder de oprichting van het </w:t>
      </w:r>
      <w:r w:rsidRPr="000D09A4">
        <w:rPr>
          <w:i/>
          <w:szCs w:val="18"/>
        </w:rPr>
        <w:t xml:space="preserve">European System of Financial </w:t>
      </w:r>
      <w:proofErr w:type="spellStart"/>
      <w:r w:rsidRPr="000D09A4">
        <w:rPr>
          <w:i/>
          <w:szCs w:val="18"/>
        </w:rPr>
        <w:t>Supervision</w:t>
      </w:r>
      <w:proofErr w:type="spellEnd"/>
      <w:r w:rsidRPr="000D09A4">
        <w:rPr>
          <w:szCs w:val="18"/>
        </w:rPr>
        <w:t xml:space="preserve"> (ESFS) </w:t>
      </w:r>
      <w:r w:rsidRPr="000D09A4">
        <w:rPr>
          <w:rFonts w:eastAsia="Arial Unicode MS" w:cs="Arial"/>
          <w:szCs w:val="18"/>
        </w:rPr>
        <w:t>en de Bankenunie, is ook de samenwerking op dat niveau</w:t>
      </w:r>
      <w:r w:rsidRPr="000D09A4" w:rsidR="00D96FEF">
        <w:rPr>
          <w:rFonts w:eastAsia="Arial Unicode MS" w:cs="Arial"/>
          <w:szCs w:val="18"/>
        </w:rPr>
        <w:t xml:space="preserve"> sterk geïntensiveerd</w:t>
      </w:r>
      <w:r w:rsidRPr="000D09A4" w:rsidR="009C613D">
        <w:rPr>
          <w:rFonts w:eastAsia="Arial Unicode MS" w:cs="Arial"/>
          <w:szCs w:val="18"/>
        </w:rPr>
        <w:t xml:space="preserve"> en zijn bepaalde toezichttaken van nationaal naar Europees niveau overgedragen. H</w:t>
      </w:r>
      <w:r w:rsidRPr="000D09A4" w:rsidR="003B4144">
        <w:rPr>
          <w:rFonts w:eastAsia="Arial Unicode MS" w:cs="Arial"/>
          <w:szCs w:val="18"/>
        </w:rPr>
        <w:t xml:space="preserve">et Europese kader is van </w:t>
      </w:r>
      <w:r w:rsidRPr="000D09A4" w:rsidR="00D96FEF">
        <w:rPr>
          <w:rFonts w:eastAsia="Arial Unicode MS" w:cs="Arial"/>
          <w:szCs w:val="18"/>
        </w:rPr>
        <w:t>grote</w:t>
      </w:r>
      <w:r w:rsidRPr="000D09A4" w:rsidR="003B4144">
        <w:rPr>
          <w:rFonts w:eastAsia="Arial Unicode MS" w:cs="Arial"/>
          <w:szCs w:val="18"/>
        </w:rPr>
        <w:t xml:space="preserve"> betekenis voor de wijze waarop </w:t>
      </w:r>
      <w:r w:rsidRPr="000D09A4" w:rsidR="00D96FEF">
        <w:rPr>
          <w:rFonts w:eastAsia="Arial Unicode MS" w:cs="Arial"/>
          <w:szCs w:val="18"/>
        </w:rPr>
        <w:t xml:space="preserve">de nationale toezichthouders hun toezicht uitoefenen en invullen. </w:t>
      </w:r>
      <w:r w:rsidRPr="000D09A4">
        <w:rPr>
          <w:rFonts w:cs="Arial"/>
          <w:szCs w:val="18"/>
        </w:rPr>
        <w:t>DNB en de AFM werken in toenemende mate samen met</w:t>
      </w:r>
      <w:r w:rsidRPr="000D09A4" w:rsidR="00E65944">
        <w:rPr>
          <w:rFonts w:cs="Arial"/>
          <w:szCs w:val="18"/>
        </w:rPr>
        <w:t xml:space="preserve">, of </w:t>
      </w:r>
      <w:r w:rsidRPr="000D09A4" w:rsidR="004651FC">
        <w:rPr>
          <w:rFonts w:cs="Arial"/>
          <w:szCs w:val="18"/>
        </w:rPr>
        <w:t xml:space="preserve">in bepaalde gevallen </w:t>
      </w:r>
      <w:r w:rsidRPr="000D09A4" w:rsidR="00E65944">
        <w:rPr>
          <w:rFonts w:cs="Arial"/>
          <w:szCs w:val="18"/>
        </w:rPr>
        <w:t>zelfs in opdracht van,</w:t>
      </w:r>
      <w:r w:rsidRPr="000D09A4">
        <w:rPr>
          <w:rFonts w:cs="Arial"/>
          <w:szCs w:val="18"/>
        </w:rPr>
        <w:t xml:space="preserve"> Europese toezichthouders als de </w:t>
      </w:r>
      <w:r w:rsidRPr="000D09A4">
        <w:rPr>
          <w:rFonts w:eastAsia="Arial Unicode MS"/>
          <w:i/>
          <w:szCs w:val="18"/>
        </w:rPr>
        <w:t xml:space="preserve">European Banking </w:t>
      </w:r>
      <w:proofErr w:type="spellStart"/>
      <w:r w:rsidRPr="000D09A4">
        <w:rPr>
          <w:rFonts w:eastAsia="Arial Unicode MS"/>
          <w:i/>
          <w:szCs w:val="18"/>
        </w:rPr>
        <w:t>Authority</w:t>
      </w:r>
      <w:proofErr w:type="spellEnd"/>
      <w:r w:rsidRPr="000D09A4">
        <w:rPr>
          <w:rFonts w:eastAsia="Arial Unicode MS"/>
          <w:szCs w:val="18"/>
        </w:rPr>
        <w:t xml:space="preserve"> (EBA), de </w:t>
      </w:r>
      <w:r w:rsidRPr="000D09A4">
        <w:rPr>
          <w:rFonts w:eastAsia="Arial Unicode MS"/>
          <w:i/>
          <w:szCs w:val="18"/>
        </w:rPr>
        <w:t xml:space="preserve">European </w:t>
      </w:r>
      <w:proofErr w:type="spellStart"/>
      <w:r w:rsidRPr="000D09A4">
        <w:rPr>
          <w:rFonts w:eastAsia="Arial Unicode MS"/>
          <w:i/>
          <w:szCs w:val="18"/>
        </w:rPr>
        <w:t>Securities</w:t>
      </w:r>
      <w:proofErr w:type="spellEnd"/>
      <w:r w:rsidRPr="000D09A4">
        <w:rPr>
          <w:rFonts w:eastAsia="Arial Unicode MS"/>
          <w:i/>
          <w:szCs w:val="18"/>
        </w:rPr>
        <w:t xml:space="preserve"> </w:t>
      </w:r>
      <w:proofErr w:type="spellStart"/>
      <w:r w:rsidRPr="000D09A4">
        <w:rPr>
          <w:rFonts w:eastAsia="Arial Unicode MS"/>
          <w:i/>
          <w:szCs w:val="18"/>
        </w:rPr>
        <w:t>and</w:t>
      </w:r>
      <w:proofErr w:type="spellEnd"/>
      <w:r w:rsidRPr="000D09A4">
        <w:rPr>
          <w:rFonts w:eastAsia="Arial Unicode MS"/>
          <w:i/>
          <w:szCs w:val="18"/>
        </w:rPr>
        <w:t xml:space="preserve"> Markets </w:t>
      </w:r>
      <w:proofErr w:type="spellStart"/>
      <w:r w:rsidRPr="000D09A4">
        <w:rPr>
          <w:rFonts w:eastAsia="Arial Unicode MS"/>
          <w:i/>
          <w:szCs w:val="18"/>
        </w:rPr>
        <w:t>Authority</w:t>
      </w:r>
      <w:proofErr w:type="spellEnd"/>
      <w:r w:rsidRPr="000D09A4">
        <w:rPr>
          <w:rFonts w:eastAsia="Arial Unicode MS"/>
          <w:szCs w:val="18"/>
        </w:rPr>
        <w:t xml:space="preserve"> (ESMA)</w:t>
      </w:r>
      <w:r w:rsidRPr="000D09A4">
        <w:rPr>
          <w:rFonts w:cs="Arial"/>
          <w:szCs w:val="18"/>
        </w:rPr>
        <w:t xml:space="preserve">, </w:t>
      </w:r>
      <w:r w:rsidRPr="000D09A4" w:rsidR="00A43AF8">
        <w:rPr>
          <w:rFonts w:cs="Arial"/>
          <w:szCs w:val="18"/>
        </w:rPr>
        <w:t xml:space="preserve">de </w:t>
      </w:r>
      <w:r w:rsidRPr="000D09A4">
        <w:rPr>
          <w:rFonts w:cs="Arial"/>
          <w:i/>
          <w:szCs w:val="18"/>
        </w:rPr>
        <w:t xml:space="preserve">European Insurance </w:t>
      </w:r>
      <w:proofErr w:type="spellStart"/>
      <w:r w:rsidRPr="000D09A4">
        <w:rPr>
          <w:rFonts w:cs="Arial"/>
          <w:i/>
          <w:szCs w:val="18"/>
        </w:rPr>
        <w:t>and</w:t>
      </w:r>
      <w:proofErr w:type="spellEnd"/>
      <w:r w:rsidRPr="000D09A4">
        <w:rPr>
          <w:rFonts w:cs="Arial"/>
          <w:i/>
          <w:szCs w:val="18"/>
        </w:rPr>
        <w:t xml:space="preserve"> </w:t>
      </w:r>
      <w:proofErr w:type="spellStart"/>
      <w:r w:rsidRPr="000D09A4">
        <w:rPr>
          <w:rFonts w:cs="Arial"/>
          <w:i/>
          <w:szCs w:val="18"/>
        </w:rPr>
        <w:t>Occupational</w:t>
      </w:r>
      <w:proofErr w:type="spellEnd"/>
      <w:r w:rsidRPr="000D09A4">
        <w:rPr>
          <w:rFonts w:cs="Arial"/>
          <w:i/>
          <w:szCs w:val="18"/>
        </w:rPr>
        <w:t xml:space="preserve"> Pensions </w:t>
      </w:r>
      <w:proofErr w:type="spellStart"/>
      <w:r w:rsidRPr="000D09A4">
        <w:rPr>
          <w:rFonts w:cs="Arial"/>
          <w:i/>
          <w:szCs w:val="18"/>
        </w:rPr>
        <w:t>Authority</w:t>
      </w:r>
      <w:proofErr w:type="spellEnd"/>
      <w:r w:rsidRPr="000D09A4">
        <w:rPr>
          <w:rFonts w:cs="Arial"/>
          <w:szCs w:val="18"/>
        </w:rPr>
        <w:t xml:space="preserve"> (EIOPA)</w:t>
      </w:r>
      <w:r w:rsidRPr="000D09A4" w:rsidR="00A43AF8">
        <w:rPr>
          <w:rFonts w:cs="Arial"/>
          <w:szCs w:val="18"/>
        </w:rPr>
        <w:t xml:space="preserve">, de </w:t>
      </w:r>
      <w:r w:rsidRPr="000D09A4" w:rsidR="00A43AF8">
        <w:rPr>
          <w:i/>
          <w:iCs/>
          <w:szCs w:val="18"/>
        </w:rPr>
        <w:t xml:space="preserve">European </w:t>
      </w:r>
      <w:proofErr w:type="spellStart"/>
      <w:r w:rsidRPr="000D09A4" w:rsidR="00A43AF8">
        <w:rPr>
          <w:i/>
          <w:iCs/>
          <w:szCs w:val="18"/>
        </w:rPr>
        <w:t>Systemic</w:t>
      </w:r>
      <w:proofErr w:type="spellEnd"/>
      <w:r w:rsidRPr="000D09A4" w:rsidR="00A43AF8">
        <w:rPr>
          <w:i/>
          <w:iCs/>
          <w:szCs w:val="18"/>
        </w:rPr>
        <w:t xml:space="preserve"> Risk Board </w:t>
      </w:r>
      <w:r w:rsidRPr="000D09A4" w:rsidR="00A43AF8">
        <w:rPr>
          <w:szCs w:val="18"/>
        </w:rPr>
        <w:t xml:space="preserve">(ESRB) </w:t>
      </w:r>
      <w:r w:rsidRPr="000D09A4">
        <w:rPr>
          <w:rFonts w:cs="Arial"/>
          <w:szCs w:val="18"/>
        </w:rPr>
        <w:t>en de Europese Centrale Bank (ECB).</w:t>
      </w:r>
      <w:r w:rsidRPr="000D09A4" w:rsidR="00613E9E">
        <w:rPr>
          <w:rStyle w:val="Voetnootmarkering"/>
          <w:rFonts w:cs="Arial"/>
          <w:szCs w:val="18"/>
        </w:rPr>
        <w:footnoteReference w:id="17"/>
      </w:r>
      <w:r w:rsidRPr="000D09A4">
        <w:rPr>
          <w:rFonts w:cs="Arial"/>
          <w:szCs w:val="18"/>
        </w:rPr>
        <w:t xml:space="preserve"> </w:t>
      </w:r>
    </w:p>
    <w:p w:rsidRPr="000D09A4" w:rsidR="00386E44" w:rsidP="00386E44" w:rsidRDefault="00386E44" w14:paraId="0D05AB43" w14:textId="3AD80C46">
      <w:pPr>
        <w:spacing w:after="0" w:line="260" w:lineRule="exact"/>
        <w:rPr>
          <w:szCs w:val="18"/>
        </w:rPr>
      </w:pPr>
    </w:p>
    <w:p w:rsidRPr="000D09A4" w:rsidR="00386E44" w:rsidP="00D14660" w:rsidRDefault="00386E44" w14:paraId="2D87F1CC" w14:textId="77777777">
      <w:pPr>
        <w:pStyle w:val="Geenafstand"/>
        <w:rPr>
          <w:i/>
        </w:rPr>
      </w:pPr>
      <w:bookmarkStart w:name="_Toc6252084" w:id="9"/>
      <w:r w:rsidRPr="000D09A4">
        <w:rPr>
          <w:i/>
        </w:rPr>
        <w:t>Toezicht op DNB en de AFM: uitvoeringstoezicht</w:t>
      </w:r>
      <w:bookmarkEnd w:id="9"/>
    </w:p>
    <w:p w:rsidRPr="000D09A4" w:rsidR="00DD5698" w:rsidP="00DF28B4" w:rsidRDefault="00F50BEC" w14:paraId="5353EB63" w14:textId="3361B8B3">
      <w:pPr>
        <w:spacing w:after="0" w:line="260" w:lineRule="exact"/>
        <w:rPr>
          <w:szCs w:val="18"/>
        </w:rPr>
      </w:pPr>
      <w:r w:rsidRPr="000D09A4">
        <w:rPr>
          <w:szCs w:val="18"/>
        </w:rPr>
        <w:t xml:space="preserve">DNB en de AFM zijn als </w:t>
      </w:r>
      <w:proofErr w:type="spellStart"/>
      <w:r w:rsidRPr="000D09A4" w:rsidR="00395087">
        <w:rPr>
          <w:szCs w:val="18"/>
        </w:rPr>
        <w:t>zbo’s</w:t>
      </w:r>
      <w:proofErr w:type="spellEnd"/>
      <w:r w:rsidRPr="000D09A4">
        <w:rPr>
          <w:szCs w:val="18"/>
        </w:rPr>
        <w:t xml:space="preserve"> onafhankelijk in de uitvoering van de aan hen opgedragen taken: zij oordelen zelfstandig over individuele gevallen en zijn niet ondergeschikt aan de</w:t>
      </w:r>
      <w:r w:rsidRPr="000D09A4" w:rsidR="00EA5B73">
        <w:rPr>
          <w:szCs w:val="18"/>
        </w:rPr>
        <w:t xml:space="preserve"> </w:t>
      </w:r>
      <w:r w:rsidRPr="000D09A4" w:rsidR="0061616E">
        <w:rPr>
          <w:szCs w:val="18"/>
        </w:rPr>
        <w:t xml:space="preserve">minister </w:t>
      </w:r>
      <w:r w:rsidRPr="000D09A4">
        <w:rPr>
          <w:szCs w:val="18"/>
        </w:rPr>
        <w:t xml:space="preserve">van Financiën. </w:t>
      </w:r>
      <w:r w:rsidRPr="000D09A4">
        <w:rPr>
          <w:rFonts w:eastAsia="Arial Unicode MS" w:cs="Arial"/>
          <w:szCs w:val="18"/>
        </w:rPr>
        <w:t xml:space="preserve">De onafhankelijke taakuitvoering door DNB en de AFM laat onverlet dat de minister de verantwoordelijkheid draagt voor de vervulling van de publieke taak. We spreken in dit verband van een systeemverantwoordelijkheid: </w:t>
      </w:r>
      <w:r w:rsidRPr="000D09A4" w:rsidR="00613E9E">
        <w:rPr>
          <w:rFonts w:eastAsia="Arial Unicode MS" w:cs="Arial"/>
          <w:szCs w:val="18"/>
        </w:rPr>
        <w:t xml:space="preserve">een brede politiek-bestuurlijke verantwoordelijkheid voor de inrichting en ordening (sturing door kaderstelling) van het systeem van </w:t>
      </w:r>
      <w:r w:rsidRPr="000D09A4" w:rsidR="00E27011">
        <w:rPr>
          <w:rFonts w:eastAsia="Arial Unicode MS" w:cs="Arial"/>
          <w:szCs w:val="18"/>
        </w:rPr>
        <w:t xml:space="preserve">het </w:t>
      </w:r>
      <w:r w:rsidRPr="000D09A4" w:rsidR="00613E9E">
        <w:rPr>
          <w:rFonts w:eastAsia="Arial Unicode MS" w:cs="Arial"/>
          <w:szCs w:val="18"/>
        </w:rPr>
        <w:t>toezicht</w:t>
      </w:r>
      <w:r w:rsidRPr="000D09A4" w:rsidR="00E27011">
        <w:rPr>
          <w:rFonts w:eastAsia="Arial Unicode MS" w:cs="Arial"/>
          <w:szCs w:val="18"/>
        </w:rPr>
        <w:t xml:space="preserve"> op de financiële sector</w:t>
      </w:r>
      <w:r w:rsidRPr="000D09A4" w:rsidR="00613E9E">
        <w:rPr>
          <w:rFonts w:eastAsia="Arial Unicode MS" w:cs="Arial"/>
          <w:szCs w:val="18"/>
        </w:rPr>
        <w:t xml:space="preserve"> en voor het behoorlijk functioneren van dit systeem</w:t>
      </w:r>
      <w:r w:rsidRPr="000D09A4">
        <w:rPr>
          <w:szCs w:val="18"/>
        </w:rPr>
        <w:t xml:space="preserve">. Om aan deze verantwoordelijkheid invulling te geven oefent de minister toezicht uit op DNB en de AFM. </w:t>
      </w:r>
    </w:p>
    <w:p w:rsidRPr="000D09A4" w:rsidR="00DD5698" w:rsidP="00DF28B4" w:rsidRDefault="00DD5698" w14:paraId="557A0B5B" w14:textId="77777777">
      <w:pPr>
        <w:spacing w:after="0" w:line="260" w:lineRule="exact"/>
        <w:rPr>
          <w:szCs w:val="18"/>
        </w:rPr>
      </w:pPr>
    </w:p>
    <w:p w:rsidRPr="000D09A4" w:rsidR="00F50BEC" w:rsidP="00DF28B4" w:rsidRDefault="00DF28B4" w14:paraId="46128C75" w14:textId="77777777">
      <w:pPr>
        <w:spacing w:after="0" w:line="260" w:lineRule="exact"/>
        <w:rPr>
          <w:rFonts w:cs="Arial"/>
          <w:szCs w:val="18"/>
        </w:rPr>
      </w:pPr>
      <w:r w:rsidRPr="000D09A4">
        <w:rPr>
          <w:rFonts w:cs="Arial"/>
          <w:szCs w:val="18"/>
        </w:rPr>
        <w:t xml:space="preserve">Het toezicht </w:t>
      </w:r>
      <w:r w:rsidRPr="000D09A4" w:rsidR="00DD5698">
        <w:rPr>
          <w:rFonts w:cs="Arial"/>
          <w:szCs w:val="18"/>
        </w:rPr>
        <w:t xml:space="preserve">door </w:t>
      </w:r>
      <w:r w:rsidRPr="000D09A4">
        <w:rPr>
          <w:rFonts w:cs="Arial"/>
          <w:szCs w:val="18"/>
        </w:rPr>
        <w:t xml:space="preserve">de minister op </w:t>
      </w:r>
      <w:r w:rsidRPr="000D09A4" w:rsidR="00DD5698">
        <w:rPr>
          <w:rFonts w:cs="Arial"/>
          <w:szCs w:val="18"/>
        </w:rPr>
        <w:t xml:space="preserve">DNB en </w:t>
      </w:r>
      <w:r w:rsidRPr="000D09A4">
        <w:rPr>
          <w:rFonts w:cs="Arial"/>
          <w:szCs w:val="18"/>
        </w:rPr>
        <w:t xml:space="preserve">de AFM </w:t>
      </w:r>
      <w:r w:rsidRPr="000D09A4" w:rsidR="00DD5698">
        <w:rPr>
          <w:rFonts w:cs="Arial"/>
          <w:szCs w:val="18"/>
        </w:rPr>
        <w:t xml:space="preserve">als </w:t>
      </w:r>
      <w:proofErr w:type="spellStart"/>
      <w:r w:rsidRPr="000D09A4" w:rsidR="00395087">
        <w:rPr>
          <w:rFonts w:cs="Arial"/>
          <w:szCs w:val="18"/>
        </w:rPr>
        <w:t>zbo</w:t>
      </w:r>
      <w:r w:rsidRPr="000D09A4" w:rsidR="00DD5698">
        <w:rPr>
          <w:rFonts w:cs="Arial"/>
          <w:szCs w:val="18"/>
        </w:rPr>
        <w:t>’s</w:t>
      </w:r>
      <w:proofErr w:type="spellEnd"/>
      <w:r w:rsidRPr="000D09A4" w:rsidR="00DD5698">
        <w:rPr>
          <w:rFonts w:cs="Arial"/>
          <w:szCs w:val="18"/>
        </w:rPr>
        <w:t xml:space="preserve"> </w:t>
      </w:r>
      <w:r w:rsidRPr="000D09A4">
        <w:rPr>
          <w:rFonts w:cs="Arial"/>
          <w:szCs w:val="18"/>
        </w:rPr>
        <w:t xml:space="preserve">wordt wel uitvoeringstoezicht genoemd: </w:t>
      </w:r>
    </w:p>
    <w:p w:rsidRPr="000D09A4" w:rsidR="00F50BEC" w:rsidP="00DF28B4" w:rsidRDefault="00F50BEC" w14:paraId="50A33BA5" w14:textId="77777777">
      <w:pPr>
        <w:spacing w:after="0" w:line="260" w:lineRule="exact"/>
        <w:rPr>
          <w:rFonts w:cs="Arial"/>
          <w:szCs w:val="18"/>
        </w:rPr>
      </w:pPr>
    </w:p>
    <w:p w:rsidRPr="000D09A4" w:rsidR="00F50BEC" w:rsidP="00C1386D" w:rsidRDefault="00DF28B4" w14:paraId="64C893E7" w14:textId="73E4350D">
      <w:pPr>
        <w:spacing w:after="0" w:line="260" w:lineRule="exact"/>
        <w:ind w:left="708"/>
        <w:rPr>
          <w:rFonts w:cs="Arial"/>
          <w:sz w:val="16"/>
          <w:szCs w:val="16"/>
        </w:rPr>
      </w:pPr>
      <w:r w:rsidRPr="000D09A4">
        <w:rPr>
          <w:rFonts w:cs="Arial"/>
          <w:sz w:val="16"/>
          <w:szCs w:val="16"/>
        </w:rPr>
        <w:t>“Uitvoeringstoezicht is het toezicht op de uitvoering van publieke taken door zelfstandige organisaties. Het kabinet kan de uitvoering van publieke taken aan zelfstandige organisaties toevertrouwen. Het kabinet maakt met deze organisaties afspraken over de uitvoering van de taken. De overheid houdt vervolgens toezicht op het functioneren. Er zijn vele soorten zelfstandige organisaties. Zij verschillen in vorm, omvang en het soort toezicht dat zij uitvoeren. (…) Uitgangspunt is dat zelfstandige organisaties de ruimte krijgen voor het uitvoeren van een opgedragen taak. Binnen deze ruimte dragen zij zelf zorg voor het uitvoeren van een opgedragen taak. Binnen deze ruimte dragen zij zelf zorg voor een goed functioneren. De minister is verantwoordelijk voor die aspecten van de organisatie of de taak waarvoor de minister bevoegdheden heeft en voor het systeem als geheel.”</w:t>
      </w:r>
      <w:r w:rsidRPr="000D09A4">
        <w:rPr>
          <w:rStyle w:val="Voetnootmarkering"/>
          <w:rFonts w:cs="Arial"/>
          <w:sz w:val="16"/>
          <w:szCs w:val="16"/>
        </w:rPr>
        <w:footnoteReference w:id="18"/>
      </w:r>
      <w:r w:rsidRPr="000D09A4">
        <w:rPr>
          <w:rFonts w:cs="Arial"/>
          <w:sz w:val="16"/>
          <w:szCs w:val="16"/>
        </w:rPr>
        <w:t xml:space="preserve"> </w:t>
      </w:r>
    </w:p>
    <w:p w:rsidRPr="000D09A4" w:rsidR="00BD7791" w:rsidP="00DF28B4" w:rsidRDefault="00BD7791" w14:paraId="7A7C34BD" w14:textId="77777777">
      <w:pPr>
        <w:spacing w:after="0" w:line="260" w:lineRule="exact"/>
        <w:rPr>
          <w:rFonts w:cs="Arial"/>
          <w:szCs w:val="18"/>
        </w:rPr>
      </w:pPr>
    </w:p>
    <w:p w:rsidRPr="000D09A4" w:rsidR="00DF28B4" w:rsidP="00DF28B4" w:rsidRDefault="00DF28B4" w14:paraId="7DDEEC04" w14:textId="2FA0FFCF">
      <w:pPr>
        <w:spacing w:after="0" w:line="260" w:lineRule="exact"/>
        <w:rPr>
          <w:rFonts w:cs="Arial"/>
          <w:szCs w:val="18"/>
        </w:rPr>
      </w:pPr>
      <w:r w:rsidRPr="000D09A4">
        <w:rPr>
          <w:rFonts w:cs="Arial"/>
          <w:szCs w:val="18"/>
        </w:rPr>
        <w:t xml:space="preserve">Het toezicht dat de minister uitoefent op </w:t>
      </w:r>
      <w:r w:rsidRPr="000D09A4" w:rsidR="00F50BEC">
        <w:rPr>
          <w:rFonts w:cs="Arial"/>
          <w:szCs w:val="18"/>
        </w:rPr>
        <w:t>DNB en de AFM</w:t>
      </w:r>
      <w:r w:rsidRPr="000D09A4" w:rsidR="005B0D18">
        <w:rPr>
          <w:rFonts w:cs="Arial"/>
          <w:szCs w:val="18"/>
        </w:rPr>
        <w:t xml:space="preserve"> als </w:t>
      </w:r>
      <w:proofErr w:type="spellStart"/>
      <w:r w:rsidRPr="000D09A4" w:rsidR="008C3A4B">
        <w:rPr>
          <w:rFonts w:cs="Arial"/>
          <w:szCs w:val="18"/>
        </w:rPr>
        <w:t>zbo</w:t>
      </w:r>
      <w:r w:rsidRPr="000D09A4" w:rsidR="005B0D18">
        <w:rPr>
          <w:rFonts w:cs="Arial"/>
          <w:szCs w:val="18"/>
        </w:rPr>
        <w:t>’s</w:t>
      </w:r>
      <w:proofErr w:type="spellEnd"/>
      <w:r w:rsidRPr="000D09A4" w:rsidR="00F50BEC">
        <w:rPr>
          <w:rFonts w:cs="Arial"/>
          <w:szCs w:val="18"/>
        </w:rPr>
        <w:t xml:space="preserve">, </w:t>
      </w:r>
      <w:r w:rsidRPr="000D09A4">
        <w:rPr>
          <w:rFonts w:cs="Arial"/>
          <w:szCs w:val="18"/>
        </w:rPr>
        <w:t xml:space="preserve">is dus een ander soort toezicht dan het nalevingstoezicht </w:t>
      </w:r>
      <w:r w:rsidRPr="000D09A4" w:rsidR="00F50BEC">
        <w:rPr>
          <w:rFonts w:cs="Arial"/>
          <w:szCs w:val="18"/>
        </w:rPr>
        <w:t xml:space="preserve">waarmee </w:t>
      </w:r>
      <w:r w:rsidRPr="000D09A4">
        <w:rPr>
          <w:rFonts w:cs="Arial"/>
          <w:szCs w:val="18"/>
        </w:rPr>
        <w:t xml:space="preserve">DNB </w:t>
      </w:r>
      <w:r w:rsidRPr="000D09A4" w:rsidR="00F50BEC">
        <w:rPr>
          <w:rFonts w:cs="Arial"/>
          <w:szCs w:val="18"/>
        </w:rPr>
        <w:t xml:space="preserve">en </w:t>
      </w:r>
      <w:r w:rsidRPr="000D09A4" w:rsidR="005B0D18">
        <w:rPr>
          <w:rFonts w:cs="Arial"/>
          <w:szCs w:val="18"/>
        </w:rPr>
        <w:t xml:space="preserve">de </w:t>
      </w:r>
      <w:r w:rsidRPr="000D09A4" w:rsidR="00F50BEC">
        <w:rPr>
          <w:rFonts w:cs="Arial"/>
          <w:szCs w:val="18"/>
        </w:rPr>
        <w:t xml:space="preserve">AFM </w:t>
      </w:r>
      <w:r w:rsidRPr="000D09A4" w:rsidR="005B0D18">
        <w:rPr>
          <w:rFonts w:cs="Arial"/>
          <w:szCs w:val="18"/>
        </w:rPr>
        <w:t>als markttoezichthouder zelf zijn belast</w:t>
      </w:r>
      <w:r w:rsidRPr="000D09A4" w:rsidR="00F50BEC">
        <w:rPr>
          <w:rFonts w:cs="Arial"/>
          <w:szCs w:val="18"/>
        </w:rPr>
        <w:t xml:space="preserve">. </w:t>
      </w:r>
      <w:r w:rsidRPr="000D09A4" w:rsidR="00763DF5">
        <w:rPr>
          <w:rFonts w:cs="Arial"/>
          <w:szCs w:val="18"/>
        </w:rPr>
        <w:t xml:space="preserve">De minister beoordeelt in dat kader periodiek </w:t>
      </w:r>
      <w:r w:rsidRPr="000D09A4" w:rsidR="00EA3B0B">
        <w:rPr>
          <w:rFonts w:cs="Arial"/>
          <w:szCs w:val="18"/>
        </w:rPr>
        <w:t>de doeltreffendheid en doelmatigheid van de toezichthouders</w:t>
      </w:r>
      <w:r w:rsidRPr="000D09A4" w:rsidR="00A0005A">
        <w:rPr>
          <w:rFonts w:cs="Arial"/>
          <w:szCs w:val="18"/>
        </w:rPr>
        <w:t>,</w:t>
      </w:r>
      <w:r w:rsidRPr="000D09A4" w:rsidR="00EA3B0B">
        <w:rPr>
          <w:rFonts w:cs="Arial"/>
          <w:szCs w:val="18"/>
        </w:rPr>
        <w:t xml:space="preserve"> met inachtneming van </w:t>
      </w:r>
      <w:r w:rsidRPr="000D09A4" w:rsidR="00A0005A">
        <w:rPr>
          <w:rFonts w:cs="Arial"/>
          <w:szCs w:val="18"/>
        </w:rPr>
        <w:t>hun</w:t>
      </w:r>
      <w:r w:rsidRPr="000D09A4" w:rsidR="00EA3B0B">
        <w:rPr>
          <w:rFonts w:cs="Arial"/>
          <w:szCs w:val="18"/>
        </w:rPr>
        <w:t xml:space="preserve"> onafhankelijkheid</w:t>
      </w:r>
      <w:r w:rsidRPr="000D09A4" w:rsidR="00763DF5">
        <w:rPr>
          <w:rFonts w:cs="Arial"/>
          <w:szCs w:val="18"/>
        </w:rPr>
        <w:t>.</w:t>
      </w:r>
    </w:p>
    <w:p w:rsidRPr="000D09A4" w:rsidR="00DF28B4" w:rsidP="00DF28B4" w:rsidRDefault="00DF28B4" w14:paraId="6C115341" w14:textId="77777777">
      <w:pPr>
        <w:spacing w:after="0" w:line="260" w:lineRule="exact"/>
        <w:rPr>
          <w:rFonts w:cs="Arial"/>
          <w:szCs w:val="18"/>
        </w:rPr>
      </w:pPr>
    </w:p>
    <w:p w:rsidRPr="000D09A4" w:rsidR="002E24AF" w:rsidP="00500E3D" w:rsidRDefault="002E24AF" w14:paraId="6FB3E3EA" w14:textId="77777777">
      <w:pPr>
        <w:pStyle w:val="Geenafstand"/>
        <w:spacing w:line="260" w:lineRule="exact"/>
        <w:rPr>
          <w:i/>
        </w:rPr>
      </w:pPr>
      <w:bookmarkStart w:name="_Toc6252085" w:id="10"/>
      <w:r w:rsidRPr="000D09A4">
        <w:rPr>
          <w:i/>
        </w:rPr>
        <w:t>Uitgangspunten uitvoeringstoezicht op DNB en de AFM</w:t>
      </w:r>
      <w:bookmarkEnd w:id="10"/>
    </w:p>
    <w:p w:rsidRPr="000D09A4" w:rsidR="00856803" w:rsidP="00500E3D" w:rsidRDefault="00D11CE5" w14:paraId="633B7939" w14:textId="4E826DF5">
      <w:pPr>
        <w:autoSpaceDE w:val="0"/>
        <w:autoSpaceDN w:val="0"/>
        <w:adjustRightInd w:val="0"/>
        <w:spacing w:after="0" w:line="260" w:lineRule="exact"/>
        <w:rPr>
          <w:rFonts w:eastAsia="Arial Unicode MS" w:cs="Arial"/>
          <w:szCs w:val="18"/>
        </w:rPr>
      </w:pPr>
      <w:r w:rsidRPr="000D09A4">
        <w:rPr>
          <w:rFonts w:cs="Arial"/>
          <w:szCs w:val="18"/>
        </w:rPr>
        <w:t xml:space="preserve">Het uitvoeringstoezicht </w:t>
      </w:r>
      <w:r w:rsidRPr="000D09A4" w:rsidR="00DD5698">
        <w:rPr>
          <w:rFonts w:cs="Arial"/>
          <w:szCs w:val="18"/>
        </w:rPr>
        <w:t xml:space="preserve">door </w:t>
      </w:r>
      <w:r w:rsidRPr="000D09A4">
        <w:rPr>
          <w:rFonts w:cs="Arial"/>
          <w:szCs w:val="18"/>
        </w:rPr>
        <w:t xml:space="preserve">de </w:t>
      </w:r>
      <w:r w:rsidRPr="000D09A4" w:rsidR="00BA5E14">
        <w:rPr>
          <w:rFonts w:cs="Arial"/>
          <w:szCs w:val="18"/>
        </w:rPr>
        <w:t>m</w:t>
      </w:r>
      <w:r w:rsidRPr="000D09A4">
        <w:rPr>
          <w:rFonts w:cs="Arial"/>
          <w:szCs w:val="18"/>
        </w:rPr>
        <w:t xml:space="preserve">inister op DNB en de AFM is vormgegeven aan de hand van een aantal algemene uitgangspunten. Het gaat </w:t>
      </w:r>
      <w:r w:rsidRPr="000D09A4" w:rsidR="00856803">
        <w:rPr>
          <w:rFonts w:cs="Arial"/>
          <w:szCs w:val="18"/>
        </w:rPr>
        <w:t xml:space="preserve">hier </w:t>
      </w:r>
      <w:r w:rsidRPr="000D09A4">
        <w:rPr>
          <w:rFonts w:cs="Arial"/>
          <w:szCs w:val="18"/>
        </w:rPr>
        <w:t xml:space="preserve">om de zes principes voor </w:t>
      </w:r>
      <w:r w:rsidRPr="000D09A4" w:rsidR="00F33224">
        <w:rPr>
          <w:rFonts w:cs="Arial"/>
          <w:szCs w:val="18"/>
        </w:rPr>
        <w:t xml:space="preserve">goed </w:t>
      </w:r>
      <w:r w:rsidRPr="000D09A4">
        <w:rPr>
          <w:rFonts w:cs="Arial"/>
          <w:szCs w:val="18"/>
        </w:rPr>
        <w:t xml:space="preserve">toezicht </w:t>
      </w:r>
      <w:r w:rsidRPr="000D09A4" w:rsidR="00F33224">
        <w:rPr>
          <w:rFonts w:cs="Arial"/>
          <w:szCs w:val="18"/>
        </w:rPr>
        <w:t xml:space="preserve">uit </w:t>
      </w:r>
      <w:r w:rsidRPr="000D09A4" w:rsidR="00DF28B4">
        <w:rPr>
          <w:rFonts w:cs="Arial"/>
          <w:szCs w:val="18"/>
        </w:rPr>
        <w:t>de</w:t>
      </w:r>
      <w:r w:rsidRPr="000D09A4" w:rsidR="00DF28B4">
        <w:rPr>
          <w:szCs w:val="18"/>
        </w:rPr>
        <w:t xml:space="preserve"> </w:t>
      </w:r>
      <w:r w:rsidRPr="000D09A4" w:rsidR="00F33224">
        <w:rPr>
          <w:szCs w:val="18"/>
        </w:rPr>
        <w:t xml:space="preserve">rijksbrede </w:t>
      </w:r>
      <w:proofErr w:type="spellStart"/>
      <w:r w:rsidRPr="000D09A4" w:rsidR="00BA5E14">
        <w:rPr>
          <w:szCs w:val="18"/>
        </w:rPr>
        <w:t>kaderstellende</w:t>
      </w:r>
      <w:proofErr w:type="spellEnd"/>
      <w:r w:rsidRPr="000D09A4" w:rsidR="00BA5E14">
        <w:rPr>
          <w:szCs w:val="18"/>
        </w:rPr>
        <w:t xml:space="preserve"> visie op toezicht uit 2005 </w:t>
      </w:r>
      <w:r w:rsidRPr="000D09A4" w:rsidR="00856803">
        <w:rPr>
          <w:szCs w:val="18"/>
        </w:rPr>
        <w:t xml:space="preserve">(hierna: </w:t>
      </w:r>
      <w:proofErr w:type="spellStart"/>
      <w:r w:rsidRPr="000D09A4" w:rsidR="00BA5E14">
        <w:rPr>
          <w:szCs w:val="18"/>
        </w:rPr>
        <w:t>k</w:t>
      </w:r>
      <w:r w:rsidRPr="000D09A4" w:rsidR="00856803">
        <w:rPr>
          <w:szCs w:val="18"/>
        </w:rPr>
        <w:t>aderstellende</w:t>
      </w:r>
      <w:proofErr w:type="spellEnd"/>
      <w:r w:rsidRPr="000D09A4" w:rsidR="00856803">
        <w:rPr>
          <w:szCs w:val="18"/>
        </w:rPr>
        <w:t xml:space="preserve"> </w:t>
      </w:r>
      <w:r w:rsidRPr="000D09A4" w:rsidR="00BA5E14">
        <w:rPr>
          <w:szCs w:val="18"/>
        </w:rPr>
        <w:t>v</w:t>
      </w:r>
      <w:r w:rsidRPr="000D09A4" w:rsidR="00856803">
        <w:rPr>
          <w:szCs w:val="18"/>
        </w:rPr>
        <w:t xml:space="preserve">isie op </w:t>
      </w:r>
      <w:r w:rsidRPr="000D09A4" w:rsidR="00BA5E14">
        <w:rPr>
          <w:szCs w:val="18"/>
        </w:rPr>
        <w:t>t</w:t>
      </w:r>
      <w:r w:rsidRPr="000D09A4" w:rsidR="00856803">
        <w:rPr>
          <w:szCs w:val="18"/>
        </w:rPr>
        <w:t>oezicht).</w:t>
      </w:r>
      <w:r w:rsidRPr="000D09A4" w:rsidR="00DF28B4">
        <w:rPr>
          <w:rStyle w:val="Voetnootmarkering"/>
          <w:szCs w:val="18"/>
        </w:rPr>
        <w:footnoteReference w:id="19"/>
      </w:r>
      <w:r w:rsidRPr="000D09A4" w:rsidR="00DF28B4">
        <w:rPr>
          <w:i/>
          <w:szCs w:val="18"/>
        </w:rPr>
        <w:t xml:space="preserve"> </w:t>
      </w:r>
      <w:r w:rsidRPr="000D09A4" w:rsidR="00F33224">
        <w:rPr>
          <w:rFonts w:eastAsia="Arial Unicode MS" w:cs="Arial"/>
          <w:szCs w:val="18"/>
        </w:rPr>
        <w:t xml:space="preserve">De gedachte is dat </w:t>
      </w:r>
      <w:r w:rsidRPr="000D09A4" w:rsidR="002970C5">
        <w:rPr>
          <w:rFonts w:eastAsia="Arial Unicode MS" w:cs="Arial"/>
          <w:szCs w:val="18"/>
        </w:rPr>
        <w:t xml:space="preserve">toepassing </w:t>
      </w:r>
      <w:r w:rsidRPr="000D09A4" w:rsidR="00F33224">
        <w:rPr>
          <w:rFonts w:eastAsia="Arial Unicode MS" w:cs="Arial"/>
          <w:szCs w:val="18"/>
        </w:rPr>
        <w:t xml:space="preserve">van deze principes in de praktijk </w:t>
      </w:r>
      <w:r w:rsidRPr="000D09A4" w:rsidR="002970C5">
        <w:rPr>
          <w:rFonts w:eastAsia="Arial Unicode MS" w:cs="Arial"/>
          <w:szCs w:val="18"/>
        </w:rPr>
        <w:t xml:space="preserve">leidt tot eigentijds toezicht dat het perspectief van de samenleving centraal stelt. </w:t>
      </w:r>
      <w:r w:rsidRPr="000D09A4" w:rsidR="00BB5707">
        <w:rPr>
          <w:rFonts w:eastAsia="Arial Unicode MS" w:cs="Arial"/>
          <w:szCs w:val="18"/>
        </w:rPr>
        <w:t xml:space="preserve">Volgens de </w:t>
      </w:r>
      <w:proofErr w:type="spellStart"/>
      <w:r w:rsidRPr="000D09A4" w:rsidR="00BA5E14">
        <w:rPr>
          <w:rFonts w:eastAsia="Arial Unicode MS" w:cs="Arial"/>
          <w:szCs w:val="18"/>
        </w:rPr>
        <w:t>kaderstellende</w:t>
      </w:r>
      <w:proofErr w:type="spellEnd"/>
      <w:r w:rsidRPr="000D09A4" w:rsidR="00BA5E14">
        <w:rPr>
          <w:rFonts w:eastAsia="Arial Unicode MS" w:cs="Arial"/>
          <w:szCs w:val="18"/>
        </w:rPr>
        <w:t xml:space="preserve"> visie op toezicht </w:t>
      </w:r>
      <w:r w:rsidRPr="000D09A4" w:rsidR="00BB5707">
        <w:rPr>
          <w:rFonts w:eastAsia="Arial Unicode MS" w:cs="Arial"/>
          <w:szCs w:val="18"/>
        </w:rPr>
        <w:t xml:space="preserve">is </w:t>
      </w:r>
      <w:r w:rsidRPr="000D09A4" w:rsidR="002970C5">
        <w:rPr>
          <w:rFonts w:eastAsia="Arial Unicode MS" w:cs="Arial"/>
          <w:szCs w:val="18"/>
        </w:rPr>
        <w:t>maatwerk in toezicht</w:t>
      </w:r>
      <w:r w:rsidRPr="000D09A4" w:rsidR="00BB5707">
        <w:rPr>
          <w:rFonts w:eastAsia="Arial Unicode MS" w:cs="Arial"/>
          <w:szCs w:val="18"/>
        </w:rPr>
        <w:t xml:space="preserve"> hierbij</w:t>
      </w:r>
      <w:r w:rsidRPr="000D09A4" w:rsidR="002970C5">
        <w:rPr>
          <w:rFonts w:eastAsia="Arial Unicode MS" w:cs="Arial"/>
          <w:szCs w:val="18"/>
        </w:rPr>
        <w:t xml:space="preserve"> </w:t>
      </w:r>
      <w:r w:rsidRPr="000D09A4" w:rsidR="00BB5707">
        <w:rPr>
          <w:rFonts w:eastAsia="Arial Unicode MS" w:cs="Arial"/>
          <w:szCs w:val="18"/>
        </w:rPr>
        <w:t>van belang</w:t>
      </w:r>
      <w:r w:rsidRPr="000D09A4" w:rsidR="00500E3D">
        <w:rPr>
          <w:rFonts w:eastAsia="Arial Unicode MS" w:cs="Arial"/>
          <w:szCs w:val="18"/>
        </w:rPr>
        <w:t>; de principes van goed toezicht krijgen per toezichtsoort hun eigen invulling</w:t>
      </w:r>
      <w:r w:rsidRPr="000D09A4" w:rsidR="002970C5">
        <w:rPr>
          <w:rFonts w:eastAsia="Arial Unicode MS" w:cs="Arial"/>
          <w:szCs w:val="18"/>
        </w:rPr>
        <w:t>.</w:t>
      </w:r>
      <w:r w:rsidRPr="000D09A4" w:rsidR="00B550AE">
        <w:rPr>
          <w:rStyle w:val="Voetnootmarkering"/>
          <w:rFonts w:eastAsia="Arial Unicode MS" w:cs="Arial"/>
          <w:szCs w:val="18"/>
        </w:rPr>
        <w:footnoteReference w:id="20"/>
      </w:r>
      <w:r w:rsidRPr="000D09A4" w:rsidR="00500E3D">
        <w:rPr>
          <w:rFonts w:eastAsia="Arial Unicode MS" w:cs="Arial"/>
          <w:szCs w:val="18"/>
        </w:rPr>
        <w:t xml:space="preserve"> </w:t>
      </w:r>
      <w:r w:rsidRPr="000D09A4" w:rsidR="00A03A09">
        <w:rPr>
          <w:rFonts w:eastAsia="Arial Unicode MS" w:cs="Arial"/>
          <w:szCs w:val="18"/>
        </w:rPr>
        <w:t>Zo wordt voor bepaalde markttoezichthouders, waaronder DNB en de AFM, van belang geacht dat zij de aan hen opgedragen taken onafhankelijk van politieke organen uitoefenen.</w:t>
      </w:r>
      <w:r w:rsidRPr="000D09A4" w:rsidR="00B550AE">
        <w:rPr>
          <w:rStyle w:val="Voetnootmarkering"/>
          <w:rFonts w:eastAsia="Arial Unicode MS" w:cs="Arial"/>
          <w:szCs w:val="18"/>
        </w:rPr>
        <w:footnoteReference w:id="21"/>
      </w:r>
      <w:r w:rsidRPr="000D09A4" w:rsidR="00A03A09">
        <w:rPr>
          <w:rFonts w:eastAsia="Arial Unicode MS" w:cs="Arial"/>
          <w:szCs w:val="18"/>
        </w:rPr>
        <w:t xml:space="preserve"> Dit wordt in de </w:t>
      </w:r>
      <w:proofErr w:type="spellStart"/>
      <w:r w:rsidRPr="000D09A4" w:rsidR="00A03A09">
        <w:rPr>
          <w:rFonts w:eastAsia="Arial Unicode MS" w:cs="Arial"/>
          <w:szCs w:val="18"/>
        </w:rPr>
        <w:t>kaderstellende</w:t>
      </w:r>
      <w:proofErr w:type="spellEnd"/>
      <w:r w:rsidRPr="000D09A4" w:rsidR="00A03A09">
        <w:rPr>
          <w:rFonts w:eastAsia="Arial Unicode MS" w:cs="Arial"/>
          <w:szCs w:val="18"/>
        </w:rPr>
        <w:t xml:space="preserve"> visie op toezicht </w:t>
      </w:r>
      <w:r w:rsidRPr="000D09A4" w:rsidR="00B550AE">
        <w:rPr>
          <w:rFonts w:eastAsia="Arial Unicode MS" w:cs="Arial"/>
          <w:szCs w:val="18"/>
        </w:rPr>
        <w:t xml:space="preserve">aangeduid als </w:t>
      </w:r>
      <w:r w:rsidRPr="000D09A4" w:rsidR="00A03A09">
        <w:rPr>
          <w:rFonts w:eastAsia="Arial Unicode MS" w:cs="Arial"/>
          <w:szCs w:val="18"/>
        </w:rPr>
        <w:t xml:space="preserve">het </w:t>
      </w:r>
      <w:r w:rsidRPr="000D09A4" w:rsidR="00B550AE">
        <w:rPr>
          <w:rFonts w:eastAsia="Arial Unicode MS" w:cs="Arial"/>
          <w:szCs w:val="18"/>
        </w:rPr>
        <w:t>zogen</w:t>
      </w:r>
      <w:r w:rsidRPr="000D09A4" w:rsidR="00A0005A">
        <w:rPr>
          <w:rFonts w:eastAsia="Arial Unicode MS" w:cs="Arial"/>
          <w:szCs w:val="18"/>
        </w:rPr>
        <w:t>oe</w:t>
      </w:r>
      <w:r w:rsidRPr="000D09A4" w:rsidR="00B550AE">
        <w:rPr>
          <w:rFonts w:eastAsia="Arial Unicode MS" w:cs="Arial"/>
          <w:szCs w:val="18"/>
        </w:rPr>
        <w:t xml:space="preserve">mde </w:t>
      </w:r>
      <w:r w:rsidRPr="000D09A4" w:rsidR="00A03A09">
        <w:rPr>
          <w:rFonts w:eastAsia="Arial Unicode MS" w:cs="Arial"/>
          <w:szCs w:val="18"/>
        </w:rPr>
        <w:t xml:space="preserve">onafhankelijkheidsmotief. </w:t>
      </w:r>
      <w:r w:rsidRPr="000D09A4" w:rsidR="002970C5">
        <w:rPr>
          <w:rFonts w:eastAsia="Arial Unicode MS" w:cs="Arial"/>
          <w:szCs w:val="18"/>
        </w:rPr>
        <w:t xml:space="preserve">De zes principes </w:t>
      </w:r>
      <w:r w:rsidRPr="000D09A4" w:rsidR="00BB5707">
        <w:rPr>
          <w:rFonts w:eastAsia="Arial Unicode MS" w:cs="Arial"/>
          <w:szCs w:val="18"/>
        </w:rPr>
        <w:t xml:space="preserve">van goed toezicht </w:t>
      </w:r>
      <w:r w:rsidRPr="000D09A4" w:rsidR="002970C5">
        <w:rPr>
          <w:rFonts w:eastAsia="Arial Unicode MS" w:cs="Arial"/>
          <w:szCs w:val="18"/>
        </w:rPr>
        <w:t>zijn:</w:t>
      </w:r>
    </w:p>
    <w:p w:rsidRPr="000D09A4" w:rsidR="005B0D18" w:rsidP="00DF28B4" w:rsidRDefault="005B0D18" w14:paraId="7BA66B3A" w14:textId="77777777">
      <w:pPr>
        <w:spacing w:after="0" w:line="260" w:lineRule="exact"/>
        <w:rPr>
          <w:szCs w:val="18"/>
        </w:rPr>
      </w:pPr>
    </w:p>
    <w:p w:rsidRPr="000D09A4" w:rsidR="00856803" w:rsidP="00856803" w:rsidRDefault="00856803" w14:paraId="3A6C8303" w14:textId="77777777">
      <w:pPr>
        <w:pStyle w:val="Lijstalinea"/>
        <w:numPr>
          <w:ilvl w:val="0"/>
          <w:numId w:val="17"/>
        </w:numPr>
        <w:spacing w:line="260" w:lineRule="exact"/>
        <w:rPr>
          <w:rFonts w:cs="Arial"/>
          <w:szCs w:val="18"/>
        </w:rPr>
      </w:pPr>
      <w:r w:rsidRPr="000D09A4">
        <w:rPr>
          <w:szCs w:val="18"/>
        </w:rPr>
        <w:t>S</w:t>
      </w:r>
      <w:r w:rsidRPr="000D09A4" w:rsidR="00DF28B4">
        <w:rPr>
          <w:szCs w:val="18"/>
        </w:rPr>
        <w:t>electief</w:t>
      </w:r>
      <w:r w:rsidRPr="000D09A4">
        <w:rPr>
          <w:szCs w:val="18"/>
        </w:rPr>
        <w:t>;</w:t>
      </w:r>
    </w:p>
    <w:p w:rsidRPr="000D09A4" w:rsidR="00856803" w:rsidP="00856803" w:rsidRDefault="00856803" w14:paraId="6FEAD624" w14:textId="77777777">
      <w:pPr>
        <w:pStyle w:val="Lijstalinea"/>
        <w:numPr>
          <w:ilvl w:val="0"/>
          <w:numId w:val="17"/>
        </w:numPr>
        <w:spacing w:line="260" w:lineRule="exact"/>
        <w:rPr>
          <w:rFonts w:cs="Arial"/>
          <w:szCs w:val="18"/>
        </w:rPr>
      </w:pPr>
      <w:r w:rsidRPr="000D09A4">
        <w:rPr>
          <w:szCs w:val="18"/>
        </w:rPr>
        <w:t>S</w:t>
      </w:r>
      <w:r w:rsidRPr="000D09A4" w:rsidR="00DF28B4">
        <w:rPr>
          <w:szCs w:val="18"/>
        </w:rPr>
        <w:t>lagvaardig</w:t>
      </w:r>
      <w:r w:rsidRPr="000D09A4">
        <w:rPr>
          <w:szCs w:val="18"/>
        </w:rPr>
        <w:t>;</w:t>
      </w:r>
    </w:p>
    <w:p w:rsidRPr="000D09A4" w:rsidR="00856803" w:rsidP="00856803" w:rsidRDefault="00856803" w14:paraId="1F260AEE" w14:textId="77777777">
      <w:pPr>
        <w:pStyle w:val="Lijstalinea"/>
        <w:numPr>
          <w:ilvl w:val="0"/>
          <w:numId w:val="17"/>
        </w:numPr>
        <w:spacing w:line="260" w:lineRule="exact"/>
        <w:rPr>
          <w:rFonts w:cs="Arial"/>
          <w:szCs w:val="18"/>
        </w:rPr>
      </w:pPr>
      <w:r w:rsidRPr="000D09A4">
        <w:rPr>
          <w:szCs w:val="18"/>
        </w:rPr>
        <w:t>Samenwerkend;</w:t>
      </w:r>
    </w:p>
    <w:p w:rsidRPr="000D09A4" w:rsidR="00856803" w:rsidP="00856803" w:rsidRDefault="00856803" w14:paraId="117E1D03" w14:textId="77777777">
      <w:pPr>
        <w:pStyle w:val="Lijstalinea"/>
        <w:numPr>
          <w:ilvl w:val="0"/>
          <w:numId w:val="17"/>
        </w:numPr>
        <w:spacing w:line="260" w:lineRule="exact"/>
        <w:rPr>
          <w:rFonts w:cs="Arial"/>
          <w:szCs w:val="18"/>
        </w:rPr>
      </w:pPr>
      <w:r w:rsidRPr="000D09A4">
        <w:rPr>
          <w:szCs w:val="18"/>
        </w:rPr>
        <w:t>T</w:t>
      </w:r>
      <w:r w:rsidRPr="000D09A4" w:rsidR="00DF28B4">
        <w:rPr>
          <w:szCs w:val="18"/>
        </w:rPr>
        <w:t>ransparant</w:t>
      </w:r>
      <w:r w:rsidRPr="000D09A4">
        <w:rPr>
          <w:szCs w:val="18"/>
        </w:rPr>
        <w:t>;</w:t>
      </w:r>
    </w:p>
    <w:p w:rsidRPr="000D09A4" w:rsidR="00856803" w:rsidP="00856803" w:rsidRDefault="00856803" w14:paraId="2E2BB9AF" w14:textId="77777777">
      <w:pPr>
        <w:pStyle w:val="Lijstalinea"/>
        <w:numPr>
          <w:ilvl w:val="0"/>
          <w:numId w:val="17"/>
        </w:numPr>
        <w:spacing w:line="260" w:lineRule="exact"/>
        <w:rPr>
          <w:rFonts w:cs="Arial"/>
          <w:szCs w:val="18"/>
        </w:rPr>
      </w:pPr>
      <w:r w:rsidRPr="000D09A4">
        <w:rPr>
          <w:szCs w:val="18"/>
        </w:rPr>
        <w:t xml:space="preserve">Onafhankelijk; </w:t>
      </w:r>
      <w:r w:rsidRPr="000D09A4" w:rsidR="00DF28B4">
        <w:rPr>
          <w:szCs w:val="18"/>
        </w:rPr>
        <w:t>en</w:t>
      </w:r>
    </w:p>
    <w:p w:rsidRPr="000D09A4" w:rsidR="00DF28B4" w:rsidP="00856803" w:rsidRDefault="00856803" w14:paraId="5E7F2DE3" w14:textId="77777777">
      <w:pPr>
        <w:pStyle w:val="Lijstalinea"/>
        <w:numPr>
          <w:ilvl w:val="0"/>
          <w:numId w:val="17"/>
        </w:numPr>
        <w:spacing w:line="260" w:lineRule="exact"/>
        <w:rPr>
          <w:rFonts w:cs="Arial"/>
          <w:szCs w:val="18"/>
        </w:rPr>
      </w:pPr>
      <w:r w:rsidRPr="000D09A4">
        <w:rPr>
          <w:szCs w:val="18"/>
        </w:rPr>
        <w:t>P</w:t>
      </w:r>
      <w:r w:rsidRPr="000D09A4" w:rsidR="00DF28B4">
        <w:rPr>
          <w:szCs w:val="18"/>
        </w:rPr>
        <w:t>rofessioneel.</w:t>
      </w:r>
    </w:p>
    <w:p w:rsidRPr="000D09A4" w:rsidR="00DF28B4" w:rsidP="00DF28B4" w:rsidRDefault="00DF28B4" w14:paraId="501049F6" w14:textId="77777777">
      <w:pPr>
        <w:spacing w:after="0" w:line="260" w:lineRule="exact"/>
        <w:rPr>
          <w:rFonts w:eastAsia="Arial Unicode MS" w:cs="Arial"/>
          <w:szCs w:val="18"/>
        </w:rPr>
      </w:pPr>
    </w:p>
    <w:p w:rsidRPr="000D09A4" w:rsidR="00DF28B4" w:rsidP="00DF28B4" w:rsidRDefault="00DF28B4" w14:paraId="1BF23CCF" w14:textId="04A33357">
      <w:pPr>
        <w:spacing w:after="0" w:line="260" w:lineRule="exact"/>
        <w:rPr>
          <w:color w:val="000000"/>
          <w:szCs w:val="18"/>
        </w:rPr>
      </w:pPr>
      <w:r w:rsidRPr="000D09A4">
        <w:rPr>
          <w:color w:val="000000"/>
          <w:szCs w:val="18"/>
        </w:rPr>
        <w:t xml:space="preserve">Deze zes principes tezamen </w:t>
      </w:r>
      <w:r w:rsidRPr="000D09A4" w:rsidR="00F33224">
        <w:rPr>
          <w:color w:val="000000"/>
          <w:szCs w:val="18"/>
        </w:rPr>
        <w:t xml:space="preserve">vormen </w:t>
      </w:r>
      <w:r w:rsidRPr="000D09A4">
        <w:rPr>
          <w:color w:val="000000"/>
          <w:szCs w:val="18"/>
        </w:rPr>
        <w:t xml:space="preserve">voor de </w:t>
      </w:r>
      <w:r w:rsidRPr="000D09A4" w:rsidR="0061616E">
        <w:rPr>
          <w:color w:val="000000"/>
          <w:szCs w:val="18"/>
        </w:rPr>
        <w:t xml:space="preserve">minister </w:t>
      </w:r>
      <w:r w:rsidRPr="000D09A4">
        <w:rPr>
          <w:color w:val="000000"/>
          <w:szCs w:val="18"/>
        </w:rPr>
        <w:t xml:space="preserve">van Financiën </w:t>
      </w:r>
      <w:r w:rsidRPr="000D09A4" w:rsidR="00F33224">
        <w:rPr>
          <w:color w:val="000000"/>
          <w:szCs w:val="18"/>
        </w:rPr>
        <w:t xml:space="preserve">de </w:t>
      </w:r>
      <w:r w:rsidRPr="000D09A4">
        <w:rPr>
          <w:color w:val="000000"/>
          <w:szCs w:val="18"/>
        </w:rPr>
        <w:t xml:space="preserve">normen voor goed uitvoeringstoezicht op DNB en de AFM. In de volgende </w:t>
      </w:r>
      <w:r w:rsidRPr="000D09A4" w:rsidR="000C49C6">
        <w:rPr>
          <w:color w:val="000000"/>
          <w:szCs w:val="18"/>
        </w:rPr>
        <w:t>paragraaf</w:t>
      </w:r>
      <w:r w:rsidRPr="000D09A4">
        <w:rPr>
          <w:color w:val="000000"/>
          <w:szCs w:val="18"/>
        </w:rPr>
        <w:t xml:space="preserve"> wordt nader uiteengezet wat de zes principes inhouden en hoe de minister invulling geeft aan deze principes.</w:t>
      </w:r>
    </w:p>
    <w:p w:rsidRPr="000D09A4" w:rsidR="008F00AA" w:rsidRDefault="008F00AA" w14:paraId="37138DE4" w14:textId="77777777">
      <w:pPr>
        <w:rPr>
          <w:szCs w:val="18"/>
        </w:rPr>
      </w:pPr>
    </w:p>
    <w:p w:rsidRPr="000D09A4" w:rsidR="003F4CA9" w:rsidP="00AB37CF" w:rsidRDefault="00FE223B" w14:paraId="0437429E" w14:textId="77777777">
      <w:pPr>
        <w:pStyle w:val="Kop01"/>
      </w:pPr>
      <w:bookmarkStart w:name="_Toc6298689" w:id="11"/>
      <w:bookmarkStart w:name="_Toc6560022" w:id="12"/>
      <w:r w:rsidRPr="000D09A4">
        <w:t>3.</w:t>
      </w:r>
      <w:r w:rsidRPr="000D09A4">
        <w:tab/>
      </w:r>
      <w:r w:rsidRPr="000D09A4" w:rsidR="00BB5707">
        <w:t>Principes van goed toezicht</w:t>
      </w:r>
      <w:bookmarkEnd w:id="11"/>
      <w:bookmarkEnd w:id="12"/>
      <w:r w:rsidRPr="000D09A4" w:rsidR="00BB5707">
        <w:t xml:space="preserve"> </w:t>
      </w:r>
    </w:p>
    <w:p w:rsidRPr="000D09A4" w:rsidR="00BB5707" w:rsidP="00CE0E40" w:rsidRDefault="00BB5707" w14:paraId="57035242" w14:textId="77777777">
      <w:pPr>
        <w:pStyle w:val="kop02"/>
        <w:rPr>
          <w:rStyle w:val="Subtieleverwijzing"/>
          <w:rFonts w:eastAsia="Arial Unicode MS"/>
        </w:rPr>
      </w:pPr>
      <w:bookmarkStart w:name="_Toc6298690" w:id="13"/>
      <w:bookmarkStart w:name="_Toc6560023" w:id="14"/>
      <w:r w:rsidRPr="000D09A4">
        <w:rPr>
          <w:rStyle w:val="Subtieleverwijzing"/>
        </w:rPr>
        <w:t>3.1</w:t>
      </w:r>
      <w:r w:rsidRPr="000D09A4">
        <w:rPr>
          <w:rStyle w:val="Subtieleverwijzing"/>
        </w:rPr>
        <w:tab/>
        <w:t>Selectief</w:t>
      </w:r>
      <w:bookmarkEnd w:id="13"/>
      <w:bookmarkEnd w:id="14"/>
    </w:p>
    <w:p w:rsidRPr="000D09A4" w:rsidR="003F4CA9" w:rsidP="00BB0BAA" w:rsidRDefault="00D76333" w14:paraId="357783EC" w14:textId="77777777">
      <w:pPr>
        <w:spacing w:after="0" w:line="260" w:lineRule="exact"/>
        <w:rPr>
          <w:rFonts w:eastAsia="Arial Unicode MS" w:cs="Arial"/>
          <w:szCs w:val="18"/>
        </w:rPr>
      </w:pPr>
      <w:r w:rsidRPr="000D09A4">
        <w:rPr>
          <w:rFonts w:eastAsia="Arial Unicode MS" w:cs="Arial"/>
          <w:szCs w:val="18"/>
        </w:rPr>
        <w:t xml:space="preserve">De </w:t>
      </w:r>
      <w:proofErr w:type="spellStart"/>
      <w:r w:rsidRPr="000D09A4" w:rsidR="00BA5E14">
        <w:rPr>
          <w:szCs w:val="18"/>
        </w:rPr>
        <w:t>k</w:t>
      </w:r>
      <w:r w:rsidRPr="000D09A4" w:rsidR="00941544">
        <w:rPr>
          <w:szCs w:val="18"/>
        </w:rPr>
        <w:t>aderstellende</w:t>
      </w:r>
      <w:proofErr w:type="spellEnd"/>
      <w:r w:rsidRPr="000D09A4" w:rsidR="00941544">
        <w:rPr>
          <w:szCs w:val="18"/>
        </w:rPr>
        <w:t xml:space="preserve"> </w:t>
      </w:r>
      <w:r w:rsidRPr="000D09A4" w:rsidR="00BA5E14">
        <w:rPr>
          <w:szCs w:val="18"/>
        </w:rPr>
        <w:t>v</w:t>
      </w:r>
      <w:r w:rsidRPr="000D09A4" w:rsidR="00941544">
        <w:rPr>
          <w:szCs w:val="18"/>
        </w:rPr>
        <w:t xml:space="preserve">isie op </w:t>
      </w:r>
      <w:r w:rsidRPr="000D09A4" w:rsidR="00BA5E14">
        <w:rPr>
          <w:szCs w:val="18"/>
        </w:rPr>
        <w:t>t</w:t>
      </w:r>
      <w:r w:rsidRPr="000D09A4" w:rsidR="00941544">
        <w:rPr>
          <w:szCs w:val="18"/>
        </w:rPr>
        <w:t xml:space="preserve">oezicht </w:t>
      </w:r>
      <w:r w:rsidRPr="000D09A4">
        <w:rPr>
          <w:rFonts w:eastAsia="Arial Unicode MS" w:cs="Arial"/>
          <w:szCs w:val="18"/>
        </w:rPr>
        <w:t xml:space="preserve">stelt </w:t>
      </w:r>
      <w:r w:rsidRPr="000D09A4" w:rsidR="00D14660">
        <w:rPr>
          <w:rFonts w:eastAsia="Arial Unicode MS" w:cs="Arial"/>
          <w:szCs w:val="18"/>
        </w:rPr>
        <w:t xml:space="preserve">in de eerste plaats </w:t>
      </w:r>
      <w:r w:rsidRPr="000D09A4">
        <w:rPr>
          <w:rFonts w:eastAsia="Arial Unicode MS" w:cs="Arial"/>
          <w:szCs w:val="18"/>
        </w:rPr>
        <w:t xml:space="preserve">dat toezicht selectief dient te zijn. </w:t>
      </w:r>
      <w:r w:rsidRPr="000D09A4" w:rsidR="00BB5707">
        <w:rPr>
          <w:rFonts w:eastAsia="Arial Unicode MS" w:cs="Arial"/>
          <w:szCs w:val="18"/>
        </w:rPr>
        <w:t>Hier</w:t>
      </w:r>
      <w:r w:rsidRPr="000D09A4">
        <w:rPr>
          <w:rFonts w:eastAsia="Arial Unicode MS" w:cs="Arial"/>
          <w:szCs w:val="18"/>
        </w:rPr>
        <w:t>mee wordt het volgende bedoeld:</w:t>
      </w:r>
    </w:p>
    <w:p w:rsidRPr="000D09A4" w:rsidR="00BB5707" w:rsidP="00BB0BAA" w:rsidRDefault="00BB5707" w14:paraId="450CB553" w14:textId="77777777">
      <w:pPr>
        <w:spacing w:after="0" w:line="260" w:lineRule="exact"/>
        <w:rPr>
          <w:rFonts w:eastAsia="Arial Unicode MS" w:cs="Arial"/>
          <w:szCs w:val="18"/>
        </w:rPr>
      </w:pPr>
    </w:p>
    <w:p w:rsidRPr="000D09A4" w:rsidR="00D76333" w:rsidP="00BB5707" w:rsidRDefault="00937FA7" w14:paraId="1394FAA9" w14:textId="77777777">
      <w:pPr>
        <w:spacing w:after="0" w:line="260" w:lineRule="exact"/>
        <w:ind w:firstLine="708"/>
        <w:rPr>
          <w:sz w:val="16"/>
          <w:szCs w:val="16"/>
        </w:rPr>
      </w:pPr>
      <w:r w:rsidRPr="000D09A4">
        <w:rPr>
          <w:sz w:val="16"/>
          <w:szCs w:val="16"/>
        </w:rPr>
        <w:t>“Selectief toezicht heeft betrekking op twee aspecten:</w:t>
      </w:r>
    </w:p>
    <w:p w:rsidRPr="000D09A4" w:rsidR="00D76333" w:rsidP="00BB5707" w:rsidRDefault="00937FA7" w14:paraId="5560E023" w14:textId="77777777">
      <w:pPr>
        <w:spacing w:after="0" w:line="260" w:lineRule="exact"/>
        <w:ind w:firstLine="708"/>
        <w:rPr>
          <w:sz w:val="16"/>
          <w:szCs w:val="16"/>
        </w:rPr>
      </w:pPr>
      <w:r w:rsidRPr="000D09A4">
        <w:rPr>
          <w:sz w:val="16"/>
          <w:szCs w:val="16"/>
        </w:rPr>
        <w:t>1. de mate waarin de overheid zelf zorg draagt voor het houden van toezicht;</w:t>
      </w:r>
    </w:p>
    <w:p w:rsidRPr="000D09A4" w:rsidR="00D76333" w:rsidP="00BB5707" w:rsidRDefault="00937FA7" w14:paraId="00838825" w14:textId="77777777">
      <w:pPr>
        <w:spacing w:after="0" w:line="260" w:lineRule="exact"/>
        <w:ind w:firstLine="708"/>
        <w:rPr>
          <w:sz w:val="16"/>
          <w:szCs w:val="16"/>
        </w:rPr>
      </w:pPr>
      <w:r w:rsidRPr="000D09A4">
        <w:rPr>
          <w:sz w:val="16"/>
          <w:szCs w:val="16"/>
        </w:rPr>
        <w:t>2. vorm en omvang van toezicht op basis van een afweging van risico's, kosten en baten.</w:t>
      </w:r>
    </w:p>
    <w:p w:rsidRPr="000D09A4" w:rsidR="00D76333" w:rsidP="00BB5707" w:rsidRDefault="00937FA7" w14:paraId="510A965B" w14:textId="77777777">
      <w:pPr>
        <w:spacing w:after="0" w:line="260" w:lineRule="exact"/>
        <w:ind w:firstLine="708"/>
        <w:rPr>
          <w:sz w:val="16"/>
          <w:szCs w:val="16"/>
        </w:rPr>
      </w:pPr>
      <w:r w:rsidRPr="000D09A4">
        <w:rPr>
          <w:sz w:val="16"/>
          <w:szCs w:val="16"/>
        </w:rPr>
        <w:t>(...)</w:t>
      </w:r>
    </w:p>
    <w:p w:rsidRPr="000D09A4" w:rsidR="00937FA7" w:rsidP="00BB5707" w:rsidRDefault="00937FA7" w14:paraId="1E3713A1" w14:textId="77777777">
      <w:pPr>
        <w:spacing w:after="0" w:line="260" w:lineRule="exact"/>
        <w:ind w:left="708"/>
        <w:rPr>
          <w:sz w:val="16"/>
          <w:szCs w:val="16"/>
        </w:rPr>
      </w:pPr>
      <w:r w:rsidRPr="000D09A4">
        <w:rPr>
          <w:sz w:val="16"/>
          <w:szCs w:val="16"/>
        </w:rPr>
        <w:t xml:space="preserve">Toezicht kan en hoeft niet overal in gelijke mate plaats te vinden. (…) De overheid kiest voor de vorm en omvang van toezicht voor elke situatie de juiste maatvoering. (…) Toezicht is een onderdeel van een breder systeem van 'checks </w:t>
      </w:r>
      <w:proofErr w:type="spellStart"/>
      <w:r w:rsidRPr="000D09A4">
        <w:rPr>
          <w:sz w:val="16"/>
          <w:szCs w:val="16"/>
        </w:rPr>
        <w:t>and</w:t>
      </w:r>
      <w:proofErr w:type="spellEnd"/>
      <w:r w:rsidRPr="000D09A4">
        <w:rPr>
          <w:sz w:val="16"/>
          <w:szCs w:val="16"/>
        </w:rPr>
        <w:t xml:space="preserve"> </w:t>
      </w:r>
      <w:proofErr w:type="spellStart"/>
      <w:r w:rsidRPr="000D09A4">
        <w:rPr>
          <w:sz w:val="16"/>
          <w:szCs w:val="16"/>
        </w:rPr>
        <w:t>balances</w:t>
      </w:r>
      <w:proofErr w:type="spellEnd"/>
      <w:r w:rsidRPr="000D09A4">
        <w:rPr>
          <w:sz w:val="16"/>
          <w:szCs w:val="16"/>
        </w:rPr>
        <w:t>' om de doelstellingen van de overheid dichterbij te brengen. (...) Toezicht sluit zoveel mogelijk aan op andere vormen van controle en verantwoording. Gerechtvaardigd gebleken vertrouwen leidt tot minder toezicht. Geschonden vertrouwen betekent ingrijpen.”</w:t>
      </w:r>
      <w:r w:rsidRPr="000D09A4">
        <w:rPr>
          <w:rStyle w:val="Voetnootmarkering"/>
          <w:sz w:val="16"/>
          <w:szCs w:val="16"/>
        </w:rPr>
        <w:footnoteReference w:id="22"/>
      </w:r>
    </w:p>
    <w:p w:rsidRPr="000D09A4" w:rsidR="00937FA7" w:rsidP="00BB0BAA" w:rsidRDefault="00937FA7" w14:paraId="41F8BC03" w14:textId="77777777">
      <w:pPr>
        <w:spacing w:after="0" w:line="260" w:lineRule="exact"/>
        <w:rPr>
          <w:rFonts w:eastAsia="Arial Unicode MS" w:cs="Arial"/>
          <w:szCs w:val="18"/>
        </w:rPr>
      </w:pPr>
    </w:p>
    <w:p w:rsidRPr="000D09A4" w:rsidR="00A72E25" w:rsidP="00BB0BAA" w:rsidRDefault="00CB0177" w14:paraId="7E51A597" w14:textId="0A44481F">
      <w:pPr>
        <w:spacing w:after="0" w:line="260" w:lineRule="exact"/>
        <w:rPr>
          <w:szCs w:val="18"/>
        </w:rPr>
      </w:pPr>
      <w:r w:rsidRPr="000D09A4">
        <w:rPr>
          <w:szCs w:val="18"/>
        </w:rPr>
        <w:t xml:space="preserve">De </w:t>
      </w:r>
      <w:r w:rsidRPr="000D09A4" w:rsidR="00201D4B">
        <w:rPr>
          <w:szCs w:val="18"/>
        </w:rPr>
        <w:t xml:space="preserve">minister </w:t>
      </w:r>
      <w:r w:rsidRPr="000D09A4">
        <w:rPr>
          <w:szCs w:val="18"/>
        </w:rPr>
        <w:t>van Financiën is selectief in het toezicht dat hij op DNB en de AFM</w:t>
      </w:r>
      <w:r w:rsidRPr="000D09A4" w:rsidR="00BA5E14">
        <w:rPr>
          <w:szCs w:val="18"/>
        </w:rPr>
        <w:t xml:space="preserve"> houdt</w:t>
      </w:r>
      <w:r w:rsidRPr="000D09A4">
        <w:rPr>
          <w:szCs w:val="18"/>
        </w:rPr>
        <w:t xml:space="preserve">. Dit heeft allereerst te maken met het feit dat zij als </w:t>
      </w:r>
      <w:proofErr w:type="spellStart"/>
      <w:r w:rsidRPr="000D09A4" w:rsidR="008C3A4B">
        <w:rPr>
          <w:szCs w:val="18"/>
        </w:rPr>
        <w:t>zbo</w:t>
      </w:r>
      <w:r w:rsidRPr="000D09A4" w:rsidR="00BB5707">
        <w:rPr>
          <w:szCs w:val="18"/>
        </w:rPr>
        <w:t>’s</w:t>
      </w:r>
      <w:proofErr w:type="spellEnd"/>
      <w:r w:rsidRPr="000D09A4" w:rsidR="00D14100">
        <w:rPr>
          <w:szCs w:val="18"/>
        </w:rPr>
        <w:t>, in verband met het hiervoor genoemde onafhankelijkheidsmotief,</w:t>
      </w:r>
      <w:r w:rsidRPr="000D09A4" w:rsidR="00BB5707">
        <w:rPr>
          <w:szCs w:val="18"/>
        </w:rPr>
        <w:t xml:space="preserve"> </w:t>
      </w:r>
      <w:r w:rsidRPr="000D09A4">
        <w:rPr>
          <w:szCs w:val="18"/>
        </w:rPr>
        <w:t>op afstand zijn geplaatst</w:t>
      </w:r>
      <w:r w:rsidRPr="000D09A4" w:rsidR="00D319C0">
        <w:rPr>
          <w:szCs w:val="18"/>
        </w:rPr>
        <w:t xml:space="preserve">. </w:t>
      </w:r>
      <w:r w:rsidRPr="000D09A4" w:rsidR="00DF7DFA">
        <w:rPr>
          <w:szCs w:val="18"/>
        </w:rPr>
        <w:t xml:space="preserve">Het toezicht </w:t>
      </w:r>
      <w:r w:rsidRPr="000D09A4" w:rsidR="00BB5707">
        <w:rPr>
          <w:szCs w:val="18"/>
        </w:rPr>
        <w:t xml:space="preserve">door de minister is </w:t>
      </w:r>
      <w:r w:rsidRPr="000D09A4" w:rsidR="00BA5E14">
        <w:rPr>
          <w:szCs w:val="18"/>
        </w:rPr>
        <w:t>hiermee</w:t>
      </w:r>
      <w:r w:rsidRPr="000D09A4" w:rsidR="00BB5707">
        <w:rPr>
          <w:szCs w:val="18"/>
        </w:rPr>
        <w:t xml:space="preserve"> toezicht op afstand. </w:t>
      </w:r>
      <w:r w:rsidRPr="000D09A4" w:rsidR="004905D4">
        <w:rPr>
          <w:szCs w:val="18"/>
        </w:rPr>
        <w:t>V</w:t>
      </w:r>
      <w:r w:rsidRPr="000D09A4" w:rsidR="001E3B0F">
        <w:rPr>
          <w:szCs w:val="18"/>
        </w:rPr>
        <w:t xml:space="preserve">oor de </w:t>
      </w:r>
      <w:r w:rsidRPr="000D09A4" w:rsidR="002625E8">
        <w:rPr>
          <w:szCs w:val="18"/>
        </w:rPr>
        <w:t xml:space="preserve">minister </w:t>
      </w:r>
      <w:r w:rsidRPr="000D09A4" w:rsidR="005B43A1">
        <w:rPr>
          <w:szCs w:val="18"/>
        </w:rPr>
        <w:t>is</w:t>
      </w:r>
      <w:r w:rsidRPr="000D09A4" w:rsidR="001E3B0F">
        <w:rPr>
          <w:szCs w:val="18"/>
        </w:rPr>
        <w:t xml:space="preserve"> van belang dat </w:t>
      </w:r>
      <w:r w:rsidRPr="000D09A4" w:rsidR="00B26BA2">
        <w:rPr>
          <w:szCs w:val="18"/>
        </w:rPr>
        <w:t>er voldoende waarborgen zijn voor een goed</w:t>
      </w:r>
      <w:r w:rsidRPr="000D09A4" w:rsidR="00BA5E14">
        <w:rPr>
          <w:szCs w:val="18"/>
        </w:rPr>
        <w:t>e taakuitoefening door DNB en de AFM</w:t>
      </w:r>
      <w:r w:rsidRPr="000D09A4" w:rsidR="00B26BA2">
        <w:rPr>
          <w:szCs w:val="18"/>
        </w:rPr>
        <w:t>.</w:t>
      </w:r>
      <w:r w:rsidRPr="000D09A4" w:rsidR="001E3B0F">
        <w:rPr>
          <w:szCs w:val="18"/>
        </w:rPr>
        <w:t xml:space="preserve"> </w:t>
      </w:r>
      <w:r w:rsidRPr="000D09A4" w:rsidR="00C6779C">
        <w:rPr>
          <w:szCs w:val="18"/>
        </w:rPr>
        <w:t xml:space="preserve">Hij beziet of </w:t>
      </w:r>
      <w:r w:rsidRPr="000D09A4" w:rsidR="00BA5E14">
        <w:rPr>
          <w:szCs w:val="18"/>
        </w:rPr>
        <w:t xml:space="preserve">er </w:t>
      </w:r>
      <w:r w:rsidRPr="000D09A4" w:rsidR="00C6779C">
        <w:rPr>
          <w:szCs w:val="18"/>
        </w:rPr>
        <w:t>in de</w:t>
      </w:r>
      <w:r w:rsidRPr="000D09A4" w:rsidR="00BA5E14">
        <w:rPr>
          <w:szCs w:val="18"/>
        </w:rPr>
        <w:t>ze</w:t>
      </w:r>
      <w:r w:rsidRPr="000D09A4" w:rsidR="00C6779C">
        <w:rPr>
          <w:szCs w:val="18"/>
        </w:rPr>
        <w:t xml:space="preserve"> </w:t>
      </w:r>
      <w:r w:rsidRPr="000D09A4" w:rsidR="00BA5E14">
        <w:rPr>
          <w:szCs w:val="18"/>
        </w:rPr>
        <w:t>taakuitoefening</w:t>
      </w:r>
      <w:r w:rsidRPr="000D09A4" w:rsidR="00D07C8D">
        <w:rPr>
          <w:szCs w:val="18"/>
        </w:rPr>
        <w:t xml:space="preserve"> </w:t>
      </w:r>
      <w:r w:rsidRPr="000D09A4" w:rsidR="00C6779C">
        <w:rPr>
          <w:szCs w:val="18"/>
        </w:rPr>
        <w:t xml:space="preserve">voldoende waarborgen bestaan en grijpt alleen in wanneer deze waarborgen onvoldoende aanwezig zijn. </w:t>
      </w:r>
      <w:r w:rsidRPr="000D09A4" w:rsidR="00FF5B0B">
        <w:rPr>
          <w:szCs w:val="18"/>
        </w:rPr>
        <w:t>Zijn mogelijkheden om in te grijpen worden hierna behandeld onder het principe slagvaardig als</w:t>
      </w:r>
      <w:r w:rsidRPr="000D09A4" w:rsidR="002625E8">
        <w:rPr>
          <w:szCs w:val="18"/>
        </w:rPr>
        <w:t xml:space="preserve"> </w:t>
      </w:r>
      <w:r w:rsidRPr="000D09A4" w:rsidR="00FF5B0B">
        <w:rPr>
          <w:szCs w:val="18"/>
        </w:rPr>
        <w:t xml:space="preserve">ook </w:t>
      </w:r>
      <w:r w:rsidRPr="000D09A4" w:rsidR="00F73D73">
        <w:rPr>
          <w:szCs w:val="18"/>
        </w:rPr>
        <w:t xml:space="preserve">in </w:t>
      </w:r>
      <w:r w:rsidRPr="000D09A4" w:rsidR="000C49C6">
        <w:rPr>
          <w:szCs w:val="18"/>
        </w:rPr>
        <w:t>paragraaf</w:t>
      </w:r>
      <w:r w:rsidRPr="000D09A4" w:rsidR="002625E8">
        <w:rPr>
          <w:szCs w:val="18"/>
        </w:rPr>
        <w:t xml:space="preserve"> </w:t>
      </w:r>
      <w:r w:rsidRPr="000D09A4" w:rsidR="00FF5B0B">
        <w:rPr>
          <w:szCs w:val="18"/>
        </w:rPr>
        <w:t xml:space="preserve">3 van het toezichtarrangement. </w:t>
      </w:r>
    </w:p>
    <w:p w:rsidRPr="000D09A4" w:rsidR="00CA3CCE" w:rsidP="00BB0BAA" w:rsidRDefault="00CA3CCE" w14:paraId="1D4A7E47" w14:textId="77777777">
      <w:pPr>
        <w:spacing w:after="0" w:line="260" w:lineRule="exact"/>
        <w:rPr>
          <w:rFonts w:eastAsia="Arial Unicode MS" w:cs="Arial"/>
          <w:szCs w:val="18"/>
        </w:rPr>
      </w:pPr>
    </w:p>
    <w:p w:rsidRPr="000D09A4" w:rsidR="003545A4" w:rsidP="00BB0BAA" w:rsidRDefault="00B91963" w14:paraId="4DDB3D56" w14:textId="3113F310">
      <w:pPr>
        <w:spacing w:after="0" w:line="260" w:lineRule="exact"/>
        <w:rPr>
          <w:szCs w:val="18"/>
        </w:rPr>
      </w:pPr>
      <w:r w:rsidRPr="000D09A4">
        <w:rPr>
          <w:szCs w:val="18"/>
        </w:rPr>
        <w:t xml:space="preserve">De minister is ook selectief in zijn toezicht op </w:t>
      </w:r>
      <w:r w:rsidRPr="000D09A4" w:rsidR="009C7D20">
        <w:rPr>
          <w:szCs w:val="18"/>
        </w:rPr>
        <w:t xml:space="preserve">DNB en </w:t>
      </w:r>
      <w:r w:rsidRPr="000D09A4">
        <w:rPr>
          <w:szCs w:val="18"/>
        </w:rPr>
        <w:t xml:space="preserve">de </w:t>
      </w:r>
      <w:r w:rsidRPr="000D09A4" w:rsidR="009C7D20">
        <w:rPr>
          <w:szCs w:val="18"/>
        </w:rPr>
        <w:t>AFM</w:t>
      </w:r>
      <w:r w:rsidRPr="000D09A4" w:rsidR="00CE0E40">
        <w:rPr>
          <w:szCs w:val="18"/>
        </w:rPr>
        <w:t>,</w:t>
      </w:r>
      <w:r w:rsidRPr="000D09A4">
        <w:rPr>
          <w:szCs w:val="18"/>
        </w:rPr>
        <w:t xml:space="preserve"> </w:t>
      </w:r>
      <w:r w:rsidRPr="000D09A4" w:rsidR="00C61AE0">
        <w:rPr>
          <w:szCs w:val="18"/>
        </w:rPr>
        <w:t>doordat</w:t>
      </w:r>
      <w:r w:rsidRPr="000D09A4">
        <w:rPr>
          <w:szCs w:val="18"/>
        </w:rPr>
        <w:t xml:space="preserve"> hij </w:t>
      </w:r>
      <w:r w:rsidRPr="000D09A4" w:rsidR="00D14660">
        <w:rPr>
          <w:szCs w:val="18"/>
        </w:rPr>
        <w:t xml:space="preserve">hierbij </w:t>
      </w:r>
      <w:r w:rsidRPr="000D09A4">
        <w:rPr>
          <w:szCs w:val="18"/>
        </w:rPr>
        <w:t xml:space="preserve">in grote mate vertrouwt op het interne systeem van </w:t>
      </w:r>
      <w:r w:rsidRPr="000D09A4">
        <w:rPr>
          <w:i/>
          <w:szCs w:val="18"/>
        </w:rPr>
        <w:t xml:space="preserve">checks </w:t>
      </w:r>
      <w:proofErr w:type="spellStart"/>
      <w:r w:rsidRPr="000D09A4">
        <w:rPr>
          <w:i/>
          <w:szCs w:val="18"/>
        </w:rPr>
        <w:t>and</w:t>
      </w:r>
      <w:proofErr w:type="spellEnd"/>
      <w:r w:rsidRPr="000D09A4">
        <w:rPr>
          <w:i/>
          <w:szCs w:val="18"/>
        </w:rPr>
        <w:t xml:space="preserve"> </w:t>
      </w:r>
      <w:proofErr w:type="spellStart"/>
      <w:r w:rsidRPr="000D09A4">
        <w:rPr>
          <w:i/>
          <w:szCs w:val="18"/>
        </w:rPr>
        <w:t>balances</w:t>
      </w:r>
      <w:proofErr w:type="spellEnd"/>
      <w:r w:rsidRPr="000D09A4">
        <w:rPr>
          <w:szCs w:val="18"/>
        </w:rPr>
        <w:t xml:space="preserve"> </w:t>
      </w:r>
      <w:r w:rsidRPr="000D09A4" w:rsidR="00FB27C5">
        <w:rPr>
          <w:szCs w:val="18"/>
        </w:rPr>
        <w:t xml:space="preserve">binnen de </w:t>
      </w:r>
      <w:proofErr w:type="spellStart"/>
      <w:r w:rsidRPr="000D09A4" w:rsidR="008C3A4B">
        <w:rPr>
          <w:szCs w:val="18"/>
        </w:rPr>
        <w:t>zbo</w:t>
      </w:r>
      <w:r w:rsidRPr="000D09A4" w:rsidR="00CE0E40">
        <w:rPr>
          <w:szCs w:val="18"/>
        </w:rPr>
        <w:t>’s</w:t>
      </w:r>
      <w:proofErr w:type="spellEnd"/>
      <w:r w:rsidRPr="000D09A4" w:rsidR="00CE0E40">
        <w:rPr>
          <w:szCs w:val="18"/>
        </w:rPr>
        <w:t xml:space="preserve"> </w:t>
      </w:r>
      <w:r w:rsidRPr="000D09A4" w:rsidR="00FB27C5">
        <w:rPr>
          <w:szCs w:val="18"/>
        </w:rPr>
        <w:t>zelf.</w:t>
      </w:r>
      <w:r w:rsidRPr="000D09A4" w:rsidR="00D14660">
        <w:rPr>
          <w:szCs w:val="18"/>
        </w:rPr>
        <w:t xml:space="preserve"> </w:t>
      </w:r>
      <w:r w:rsidRPr="000D09A4" w:rsidR="00FB27C5">
        <w:rPr>
          <w:szCs w:val="18"/>
        </w:rPr>
        <w:t xml:space="preserve">In </w:t>
      </w:r>
      <w:r w:rsidRPr="000D09A4" w:rsidR="00D14660">
        <w:rPr>
          <w:szCs w:val="18"/>
        </w:rPr>
        <w:t xml:space="preserve">dit </w:t>
      </w:r>
      <w:r w:rsidRPr="000D09A4" w:rsidR="00FB27C5">
        <w:rPr>
          <w:szCs w:val="18"/>
        </w:rPr>
        <w:t xml:space="preserve">systeem is een belangrijke rol weggelegd voor het intern toezichthoudend orgaan. </w:t>
      </w:r>
      <w:r w:rsidRPr="000D09A4" w:rsidR="00D14660">
        <w:rPr>
          <w:rFonts w:eastAsia="Arial Unicode MS" w:cs="Arial"/>
          <w:szCs w:val="18"/>
        </w:rPr>
        <w:t>D</w:t>
      </w:r>
      <w:r w:rsidRPr="000D09A4" w:rsidR="00334177">
        <w:rPr>
          <w:rFonts w:eastAsia="Arial Unicode MS" w:cs="Arial"/>
          <w:szCs w:val="18"/>
        </w:rPr>
        <w:t xml:space="preserve">e directie van DNB </w:t>
      </w:r>
      <w:r w:rsidRPr="000D09A4" w:rsidR="00D14660">
        <w:rPr>
          <w:rFonts w:eastAsia="Arial Unicode MS" w:cs="Arial"/>
          <w:szCs w:val="18"/>
        </w:rPr>
        <w:t xml:space="preserve">en het bestuur van de AFM </w:t>
      </w:r>
      <w:r w:rsidRPr="000D09A4" w:rsidR="00334177">
        <w:rPr>
          <w:rFonts w:eastAsia="Arial Unicode MS" w:cs="Arial"/>
          <w:szCs w:val="18"/>
        </w:rPr>
        <w:t xml:space="preserve">zijn belast met het bestuur van </w:t>
      </w:r>
      <w:r w:rsidRPr="000D09A4" w:rsidR="00D14660">
        <w:rPr>
          <w:rFonts w:eastAsia="Arial Unicode MS" w:cs="Arial"/>
          <w:szCs w:val="18"/>
        </w:rPr>
        <w:t xml:space="preserve">DNB </w:t>
      </w:r>
      <w:r w:rsidRPr="000D09A4" w:rsidR="00334177">
        <w:rPr>
          <w:rFonts w:eastAsia="Arial Unicode MS" w:cs="Arial"/>
          <w:szCs w:val="18"/>
        </w:rPr>
        <w:t xml:space="preserve">respectievelijk </w:t>
      </w:r>
      <w:r w:rsidRPr="000D09A4" w:rsidR="00D14660">
        <w:rPr>
          <w:rFonts w:eastAsia="Arial Unicode MS" w:cs="Arial"/>
          <w:szCs w:val="18"/>
        </w:rPr>
        <w:t>de AFM</w:t>
      </w:r>
      <w:r w:rsidRPr="000D09A4" w:rsidR="00334177">
        <w:rPr>
          <w:rFonts w:eastAsia="Arial Unicode MS" w:cs="Arial"/>
          <w:szCs w:val="18"/>
        </w:rPr>
        <w:t xml:space="preserve">. </w:t>
      </w:r>
      <w:r w:rsidRPr="000D09A4" w:rsidR="003545A4">
        <w:rPr>
          <w:rFonts w:eastAsia="Arial Unicode MS" w:cs="Arial"/>
          <w:szCs w:val="18"/>
        </w:rPr>
        <w:t xml:space="preserve">Het interne toezicht is opgedragen aan een intern toezichthoudend orgaan: </w:t>
      </w:r>
      <w:r w:rsidRPr="000D09A4" w:rsidR="00BB0F8D">
        <w:rPr>
          <w:rFonts w:eastAsia="Arial Unicode MS" w:cs="Arial"/>
          <w:szCs w:val="18"/>
        </w:rPr>
        <w:t>bij</w:t>
      </w:r>
      <w:r w:rsidRPr="000D09A4" w:rsidR="003545A4">
        <w:rPr>
          <w:rFonts w:eastAsia="Arial Unicode MS" w:cs="Arial"/>
          <w:szCs w:val="18"/>
        </w:rPr>
        <w:t xml:space="preserve"> DNB </w:t>
      </w:r>
      <w:r w:rsidRPr="000D09A4" w:rsidR="00201D4B">
        <w:rPr>
          <w:rFonts w:eastAsia="Arial Unicode MS" w:cs="Arial"/>
          <w:szCs w:val="18"/>
        </w:rPr>
        <w:t xml:space="preserve">is </w:t>
      </w:r>
      <w:r w:rsidRPr="000D09A4" w:rsidR="00CE0E40">
        <w:rPr>
          <w:rFonts w:eastAsia="Arial Unicode MS" w:cs="Arial"/>
          <w:szCs w:val="18"/>
        </w:rPr>
        <w:t xml:space="preserve">dit </w:t>
      </w:r>
      <w:r w:rsidRPr="000D09A4" w:rsidR="003545A4">
        <w:rPr>
          <w:rFonts w:eastAsia="Arial Unicode MS" w:cs="Arial"/>
          <w:szCs w:val="18"/>
        </w:rPr>
        <w:t>orgaan de raad van commissarissen</w:t>
      </w:r>
      <w:r w:rsidRPr="000D09A4" w:rsidR="00D14660">
        <w:rPr>
          <w:rFonts w:eastAsia="Arial Unicode MS" w:cs="Arial"/>
          <w:szCs w:val="18"/>
        </w:rPr>
        <w:t xml:space="preserve"> en binnen de AFM is </w:t>
      </w:r>
      <w:r w:rsidRPr="000D09A4" w:rsidR="00CE0E40">
        <w:rPr>
          <w:rFonts w:eastAsia="Arial Unicode MS" w:cs="Arial"/>
          <w:szCs w:val="18"/>
        </w:rPr>
        <w:t>dit</w:t>
      </w:r>
      <w:r w:rsidRPr="000D09A4" w:rsidR="00D14660">
        <w:rPr>
          <w:rFonts w:eastAsia="Arial Unicode MS" w:cs="Arial"/>
          <w:szCs w:val="18"/>
        </w:rPr>
        <w:t xml:space="preserve"> de raad van toezicht</w:t>
      </w:r>
      <w:r w:rsidRPr="000D09A4" w:rsidR="003545A4">
        <w:rPr>
          <w:rFonts w:eastAsia="Arial Unicode MS" w:cs="Arial"/>
          <w:szCs w:val="18"/>
        </w:rPr>
        <w:t>. Deze raden zien toe op het beleid</w:t>
      </w:r>
      <w:r w:rsidRPr="000D09A4" w:rsidR="003545A4">
        <w:rPr>
          <w:rStyle w:val="Voetnootmarkering"/>
          <w:rFonts w:eastAsia="Arial Unicode MS" w:cs="Arial"/>
          <w:szCs w:val="18"/>
        </w:rPr>
        <w:footnoteReference w:id="23"/>
      </w:r>
      <w:r w:rsidRPr="000D09A4" w:rsidR="003545A4">
        <w:rPr>
          <w:rFonts w:eastAsia="Arial Unicode MS" w:cs="Arial"/>
          <w:szCs w:val="18"/>
        </w:rPr>
        <w:t xml:space="preserve"> van de directie</w:t>
      </w:r>
      <w:r w:rsidRPr="000D09A4" w:rsidR="003545A4">
        <w:rPr>
          <w:rStyle w:val="Voetnootmarkering"/>
          <w:rFonts w:eastAsia="Arial Unicode MS" w:cs="Arial"/>
          <w:szCs w:val="18"/>
        </w:rPr>
        <w:footnoteReference w:id="24"/>
      </w:r>
      <w:r w:rsidRPr="000D09A4" w:rsidR="003545A4">
        <w:rPr>
          <w:rFonts w:eastAsia="Arial Unicode MS" w:cs="Arial"/>
          <w:szCs w:val="18"/>
        </w:rPr>
        <w:t xml:space="preserve"> respectievelijk het bestuur en de algemene gang van zaken. Ook staan zij de directie respectievelijk het bestuur met raad ter zijde.</w:t>
      </w:r>
      <w:r w:rsidRPr="000D09A4" w:rsidR="003545A4">
        <w:rPr>
          <w:rStyle w:val="Voetnootmarkering"/>
          <w:rFonts w:eastAsia="Arial Unicode MS" w:cs="Arial"/>
          <w:szCs w:val="18"/>
        </w:rPr>
        <w:footnoteReference w:id="25"/>
      </w:r>
      <w:r w:rsidRPr="000D09A4" w:rsidR="003545A4">
        <w:rPr>
          <w:rFonts w:eastAsia="Arial Unicode MS" w:cs="Arial"/>
          <w:szCs w:val="18"/>
        </w:rPr>
        <w:t xml:space="preserve"> De rad</w:t>
      </w:r>
      <w:r w:rsidRPr="000D09A4" w:rsidR="00305EB0">
        <w:rPr>
          <w:rFonts w:eastAsia="Arial Unicode MS" w:cs="Arial"/>
          <w:szCs w:val="18"/>
        </w:rPr>
        <w:t>en</w:t>
      </w:r>
      <w:r w:rsidRPr="000D09A4" w:rsidR="003545A4">
        <w:rPr>
          <w:rFonts w:eastAsia="Arial Unicode MS" w:cs="Arial"/>
          <w:szCs w:val="18"/>
        </w:rPr>
        <w:t xml:space="preserve"> zien </w:t>
      </w:r>
      <w:r w:rsidRPr="000D09A4" w:rsidR="00D14660">
        <w:rPr>
          <w:rFonts w:eastAsia="Arial Unicode MS" w:cs="Arial"/>
          <w:szCs w:val="18"/>
        </w:rPr>
        <w:t xml:space="preserve">hiermee </w:t>
      </w:r>
      <w:r w:rsidRPr="000D09A4" w:rsidR="003545A4">
        <w:rPr>
          <w:rFonts w:eastAsia="Arial Unicode MS" w:cs="Arial"/>
          <w:szCs w:val="18"/>
        </w:rPr>
        <w:t xml:space="preserve">toe op de </w:t>
      </w:r>
      <w:r w:rsidRPr="000D09A4" w:rsidR="003545A4">
        <w:rPr>
          <w:szCs w:val="18"/>
        </w:rPr>
        <w:t xml:space="preserve">bedrijfs- en beheersmatige aspecten van het opereren van DNB </w:t>
      </w:r>
      <w:r w:rsidRPr="000D09A4" w:rsidR="00305EB0">
        <w:rPr>
          <w:szCs w:val="18"/>
        </w:rPr>
        <w:t>dan wel</w:t>
      </w:r>
      <w:r w:rsidRPr="000D09A4" w:rsidR="003545A4">
        <w:rPr>
          <w:szCs w:val="18"/>
        </w:rPr>
        <w:t xml:space="preserve"> de AFM en op (de waarborgen voor) beleidsmatige aspecten, te weten de </w:t>
      </w:r>
      <w:r w:rsidRPr="000D09A4" w:rsidR="00436E22">
        <w:rPr>
          <w:szCs w:val="18"/>
        </w:rPr>
        <w:t>taakuitoefening</w:t>
      </w:r>
      <w:r w:rsidRPr="000D09A4" w:rsidR="00961FA3">
        <w:rPr>
          <w:szCs w:val="18"/>
        </w:rPr>
        <w:t xml:space="preserve"> </w:t>
      </w:r>
      <w:r w:rsidRPr="000D09A4" w:rsidR="003545A4">
        <w:rPr>
          <w:szCs w:val="18"/>
        </w:rPr>
        <w:t xml:space="preserve">in algemene zin en de borging van de kwaliteit en effectiviteit van </w:t>
      </w:r>
      <w:r w:rsidRPr="000D09A4" w:rsidR="00436E22">
        <w:rPr>
          <w:szCs w:val="18"/>
        </w:rPr>
        <w:t xml:space="preserve">het </w:t>
      </w:r>
      <w:r w:rsidRPr="000D09A4" w:rsidR="003545A4">
        <w:rPr>
          <w:szCs w:val="18"/>
        </w:rPr>
        <w:t>beleid</w:t>
      </w:r>
      <w:r w:rsidRPr="000D09A4" w:rsidR="00436E22">
        <w:rPr>
          <w:szCs w:val="18"/>
        </w:rPr>
        <w:t xml:space="preserve"> </w:t>
      </w:r>
      <w:r w:rsidRPr="000D09A4" w:rsidR="00BB0F8D">
        <w:rPr>
          <w:szCs w:val="18"/>
        </w:rPr>
        <w:t>daaromtrent</w:t>
      </w:r>
      <w:r w:rsidRPr="000D09A4" w:rsidR="003545A4">
        <w:rPr>
          <w:szCs w:val="18"/>
        </w:rPr>
        <w:t>.</w:t>
      </w:r>
      <w:r w:rsidRPr="000D09A4" w:rsidR="00305EB0">
        <w:rPr>
          <w:szCs w:val="18"/>
        </w:rPr>
        <w:t xml:space="preserve"> </w:t>
      </w:r>
      <w:r w:rsidRPr="000D09A4" w:rsidR="003545A4">
        <w:rPr>
          <w:rFonts w:eastAsia="Arial Unicode MS" w:cs="Arial"/>
          <w:szCs w:val="18"/>
        </w:rPr>
        <w:t xml:space="preserve">Om hun interne toezicht goed te kunnen uitoefenen zijn de raad van commissarissen en de raad van toezicht </w:t>
      </w:r>
      <w:r w:rsidRPr="000D09A4" w:rsidR="00BB0F8D">
        <w:rPr>
          <w:rFonts w:eastAsia="Arial Unicode MS" w:cs="Arial"/>
          <w:szCs w:val="18"/>
        </w:rPr>
        <w:t xml:space="preserve">bij wet </w:t>
      </w:r>
      <w:r w:rsidRPr="000D09A4" w:rsidR="003545A4">
        <w:rPr>
          <w:rFonts w:eastAsia="Arial Unicode MS" w:cs="Arial"/>
          <w:szCs w:val="18"/>
        </w:rPr>
        <w:t>diverse bevoegdheden toe</w:t>
      </w:r>
      <w:r w:rsidRPr="000D09A4" w:rsidR="00E04594">
        <w:rPr>
          <w:rFonts w:eastAsia="Arial Unicode MS" w:cs="Arial"/>
          <w:szCs w:val="18"/>
        </w:rPr>
        <w:t>gekend</w:t>
      </w:r>
      <w:r w:rsidRPr="000D09A4" w:rsidR="002F2898">
        <w:rPr>
          <w:rFonts w:eastAsia="Arial Unicode MS" w:cs="Arial"/>
          <w:szCs w:val="18"/>
        </w:rPr>
        <w:t xml:space="preserve">, zoals het aanbevelen </w:t>
      </w:r>
      <w:r w:rsidRPr="000D09A4" w:rsidR="00201D4B">
        <w:rPr>
          <w:rFonts w:eastAsia="Arial Unicode MS" w:cs="Arial"/>
          <w:szCs w:val="18"/>
        </w:rPr>
        <w:t xml:space="preserve">of voordragen </w:t>
      </w:r>
      <w:r w:rsidRPr="000D09A4" w:rsidR="002F2898">
        <w:rPr>
          <w:rFonts w:eastAsia="Arial Unicode MS" w:cs="Arial"/>
          <w:szCs w:val="18"/>
        </w:rPr>
        <w:t xml:space="preserve">van een nieuw directielid </w:t>
      </w:r>
      <w:r w:rsidRPr="000D09A4" w:rsidR="00D14660">
        <w:rPr>
          <w:rFonts w:eastAsia="Arial Unicode MS" w:cs="Arial"/>
          <w:szCs w:val="18"/>
        </w:rPr>
        <w:t xml:space="preserve">c.q. bestuurslid </w:t>
      </w:r>
      <w:r w:rsidRPr="000D09A4" w:rsidR="002F2898">
        <w:rPr>
          <w:rFonts w:eastAsia="Arial Unicode MS" w:cs="Arial"/>
          <w:szCs w:val="18"/>
        </w:rPr>
        <w:t>en het goedkeuren van de verantwoording</w:t>
      </w:r>
      <w:r w:rsidRPr="000D09A4" w:rsidR="00D14660">
        <w:rPr>
          <w:rFonts w:eastAsia="Arial Unicode MS" w:cs="Arial"/>
          <w:szCs w:val="18"/>
        </w:rPr>
        <w:t xml:space="preserve"> c.q. jaarrekening</w:t>
      </w:r>
      <w:r w:rsidRPr="000D09A4" w:rsidR="002F2898">
        <w:rPr>
          <w:rFonts w:eastAsia="Arial Unicode MS" w:cs="Arial"/>
          <w:szCs w:val="18"/>
        </w:rPr>
        <w:t>.</w:t>
      </w:r>
      <w:r w:rsidRPr="000D09A4" w:rsidR="002867C3">
        <w:rPr>
          <w:rStyle w:val="Voetnootmarkering"/>
          <w:rFonts w:eastAsia="Arial Unicode MS" w:cs="Arial"/>
          <w:szCs w:val="18"/>
        </w:rPr>
        <w:footnoteReference w:id="26"/>
      </w:r>
      <w:r w:rsidRPr="000D09A4" w:rsidR="00FB27C5">
        <w:rPr>
          <w:rFonts w:eastAsia="Arial Unicode MS" w:cs="Arial"/>
          <w:szCs w:val="18"/>
        </w:rPr>
        <w:t xml:space="preserve"> Hierop</w:t>
      </w:r>
      <w:r w:rsidRPr="000D09A4" w:rsidR="00BB0F8D">
        <w:rPr>
          <w:rFonts w:eastAsia="Arial Unicode MS" w:cs="Arial"/>
          <w:szCs w:val="18"/>
        </w:rPr>
        <w:t xml:space="preserve"> wordt </w:t>
      </w:r>
      <w:r w:rsidRPr="000D09A4" w:rsidR="001C5A73">
        <w:rPr>
          <w:rFonts w:eastAsia="Arial Unicode MS" w:cs="Arial"/>
          <w:szCs w:val="18"/>
        </w:rPr>
        <w:t>in paragraaf 3.1</w:t>
      </w:r>
      <w:r w:rsidRPr="000D09A4" w:rsidR="00FB27C5">
        <w:rPr>
          <w:rFonts w:eastAsia="Arial Unicode MS" w:cs="Arial"/>
          <w:szCs w:val="18"/>
        </w:rPr>
        <w:t xml:space="preserve"> </w:t>
      </w:r>
      <w:r w:rsidRPr="000D09A4" w:rsidR="002500E2">
        <w:rPr>
          <w:rFonts w:eastAsia="Arial Unicode MS" w:cs="Arial"/>
          <w:szCs w:val="18"/>
        </w:rPr>
        <w:t>van</w:t>
      </w:r>
      <w:r w:rsidRPr="000D09A4" w:rsidR="00BB0F8D">
        <w:rPr>
          <w:rFonts w:eastAsia="Arial Unicode MS" w:cs="Arial"/>
          <w:szCs w:val="18"/>
        </w:rPr>
        <w:t xml:space="preserve"> het toezichtarrangement nader ingegaan. </w:t>
      </w:r>
    </w:p>
    <w:p w:rsidRPr="000D09A4" w:rsidR="00120307" w:rsidP="00BB0BAA" w:rsidRDefault="00120307" w14:paraId="6ECCFA62" w14:textId="77777777">
      <w:pPr>
        <w:spacing w:after="0" w:line="260" w:lineRule="exact"/>
        <w:rPr>
          <w:szCs w:val="18"/>
        </w:rPr>
      </w:pPr>
    </w:p>
    <w:p w:rsidRPr="000D09A4" w:rsidR="00F25FEB" w:rsidP="003627A6" w:rsidRDefault="00811519" w14:paraId="48AE8241" w14:textId="1A0D2E08">
      <w:pPr>
        <w:spacing w:after="0" w:line="260" w:lineRule="exact"/>
        <w:rPr>
          <w:rStyle w:val="Subtieleverwijzing"/>
          <w:rFonts w:eastAsia="Arial Unicode MS" w:cs="Arial"/>
          <w:smallCaps w:val="0"/>
          <w:color w:val="auto"/>
        </w:rPr>
      </w:pPr>
      <w:r w:rsidRPr="000D09A4">
        <w:rPr>
          <w:szCs w:val="18"/>
        </w:rPr>
        <w:t xml:space="preserve">Een goed functionerende interne </w:t>
      </w:r>
      <w:proofErr w:type="spellStart"/>
      <w:r w:rsidRPr="000D09A4">
        <w:rPr>
          <w:szCs w:val="18"/>
        </w:rPr>
        <w:t>governance</w:t>
      </w:r>
      <w:proofErr w:type="spellEnd"/>
      <w:r w:rsidRPr="000D09A4">
        <w:rPr>
          <w:szCs w:val="18"/>
        </w:rPr>
        <w:t xml:space="preserve"> </w:t>
      </w:r>
      <w:r w:rsidRPr="000D09A4" w:rsidR="00E71816">
        <w:rPr>
          <w:szCs w:val="18"/>
        </w:rPr>
        <w:t xml:space="preserve">is </w:t>
      </w:r>
      <w:r w:rsidRPr="000D09A4" w:rsidR="00245FD9">
        <w:rPr>
          <w:szCs w:val="18"/>
        </w:rPr>
        <w:t xml:space="preserve">overigens </w:t>
      </w:r>
      <w:r w:rsidRPr="000D09A4" w:rsidR="00E71816">
        <w:rPr>
          <w:szCs w:val="18"/>
        </w:rPr>
        <w:t>geen vervanging voor</w:t>
      </w:r>
      <w:r w:rsidRPr="000D09A4">
        <w:rPr>
          <w:szCs w:val="18"/>
        </w:rPr>
        <w:t xml:space="preserve"> het toezicht dat de minister </w:t>
      </w:r>
      <w:r w:rsidRPr="000D09A4" w:rsidR="00D14660">
        <w:rPr>
          <w:szCs w:val="18"/>
        </w:rPr>
        <w:t>uitoefent</w:t>
      </w:r>
      <w:r w:rsidRPr="000D09A4" w:rsidR="00E71816">
        <w:rPr>
          <w:szCs w:val="18"/>
        </w:rPr>
        <w:t xml:space="preserve"> maar biedt daaraan wel ondersteuning</w:t>
      </w:r>
      <w:r w:rsidRPr="000D09A4">
        <w:rPr>
          <w:szCs w:val="18"/>
        </w:rPr>
        <w:t xml:space="preserve">. Het stelt de minister in staat </w:t>
      </w:r>
      <w:r w:rsidRPr="000D09A4" w:rsidR="00D14660">
        <w:rPr>
          <w:szCs w:val="18"/>
        </w:rPr>
        <w:t xml:space="preserve">om </w:t>
      </w:r>
      <w:r w:rsidRPr="000D09A4">
        <w:rPr>
          <w:szCs w:val="18"/>
        </w:rPr>
        <w:t xml:space="preserve">selectief te blijven in zijn toezicht en doet </w:t>
      </w:r>
      <w:r w:rsidRPr="000D09A4" w:rsidR="00436E22">
        <w:rPr>
          <w:szCs w:val="18"/>
        </w:rPr>
        <w:t xml:space="preserve">hiermee </w:t>
      </w:r>
      <w:r w:rsidRPr="000D09A4">
        <w:rPr>
          <w:szCs w:val="18"/>
        </w:rPr>
        <w:t xml:space="preserve">recht aan </w:t>
      </w:r>
      <w:r w:rsidRPr="000D09A4" w:rsidR="00992334">
        <w:rPr>
          <w:szCs w:val="18"/>
        </w:rPr>
        <w:t xml:space="preserve">de positie van </w:t>
      </w:r>
      <w:r w:rsidRPr="000D09A4">
        <w:rPr>
          <w:szCs w:val="18"/>
        </w:rPr>
        <w:t xml:space="preserve">DNB </w:t>
      </w:r>
      <w:r w:rsidRPr="000D09A4" w:rsidR="00D14660">
        <w:rPr>
          <w:szCs w:val="18"/>
        </w:rPr>
        <w:t xml:space="preserve">en de AFM </w:t>
      </w:r>
      <w:r w:rsidRPr="000D09A4">
        <w:rPr>
          <w:szCs w:val="18"/>
        </w:rPr>
        <w:t>als</w:t>
      </w:r>
      <w:r w:rsidRPr="000D09A4" w:rsidR="00436E22">
        <w:rPr>
          <w:szCs w:val="18"/>
        </w:rPr>
        <w:t xml:space="preserve"> </w:t>
      </w:r>
      <w:proofErr w:type="spellStart"/>
      <w:r w:rsidRPr="000D09A4" w:rsidR="008C3A4B">
        <w:rPr>
          <w:szCs w:val="18"/>
        </w:rPr>
        <w:t>zbo</w:t>
      </w:r>
      <w:r w:rsidRPr="000D09A4" w:rsidR="00436E22">
        <w:rPr>
          <w:szCs w:val="18"/>
        </w:rPr>
        <w:t>’s</w:t>
      </w:r>
      <w:proofErr w:type="spellEnd"/>
      <w:r w:rsidRPr="000D09A4" w:rsidR="0080446F">
        <w:rPr>
          <w:szCs w:val="18"/>
        </w:rPr>
        <w:t>.</w:t>
      </w:r>
      <w:r w:rsidRPr="000D09A4" w:rsidR="0072186A">
        <w:rPr>
          <w:rStyle w:val="Voetnootmarkering"/>
          <w:szCs w:val="18"/>
        </w:rPr>
        <w:footnoteReference w:id="27"/>
      </w:r>
      <w:bookmarkStart w:name="_Toc6298691" w:id="16"/>
      <w:bookmarkStart w:name="_Toc6560024" w:id="17"/>
    </w:p>
    <w:p w:rsidRPr="000D09A4" w:rsidR="00E91FD4" w:rsidP="00CE0E40" w:rsidRDefault="00D14660" w14:paraId="69C7CCCE" w14:textId="77777777">
      <w:pPr>
        <w:pStyle w:val="kop02"/>
      </w:pPr>
      <w:r w:rsidRPr="000D09A4">
        <w:rPr>
          <w:rStyle w:val="Subtieleverwijzing"/>
        </w:rPr>
        <w:t>3.2</w:t>
      </w:r>
      <w:r w:rsidRPr="000D09A4">
        <w:rPr>
          <w:rStyle w:val="Subtieleverwijzing"/>
        </w:rPr>
        <w:tab/>
        <w:t>Slagvaardig</w:t>
      </w:r>
      <w:bookmarkEnd w:id="16"/>
      <w:bookmarkEnd w:id="17"/>
    </w:p>
    <w:p w:rsidRPr="000D09A4" w:rsidR="00022E0C" w:rsidP="00E874C7" w:rsidRDefault="00022E0C" w14:paraId="3108E8D5" w14:textId="77777777">
      <w:pPr>
        <w:spacing w:after="0" w:line="260" w:lineRule="exact"/>
        <w:rPr>
          <w:rFonts w:eastAsia="Arial Unicode MS" w:cs="Arial"/>
          <w:szCs w:val="18"/>
        </w:rPr>
      </w:pPr>
      <w:r w:rsidRPr="000D09A4">
        <w:rPr>
          <w:rFonts w:eastAsia="Arial Unicode MS" w:cs="Arial"/>
          <w:szCs w:val="18"/>
        </w:rPr>
        <w:t xml:space="preserve">De </w:t>
      </w:r>
      <w:proofErr w:type="spellStart"/>
      <w:r w:rsidRPr="000D09A4" w:rsidR="00436E22">
        <w:rPr>
          <w:szCs w:val="18"/>
        </w:rPr>
        <w:t>k</w:t>
      </w:r>
      <w:r w:rsidRPr="000D09A4" w:rsidR="0077584E">
        <w:rPr>
          <w:szCs w:val="18"/>
        </w:rPr>
        <w:t>aderstellende</w:t>
      </w:r>
      <w:proofErr w:type="spellEnd"/>
      <w:r w:rsidRPr="000D09A4" w:rsidR="0077584E">
        <w:rPr>
          <w:szCs w:val="18"/>
        </w:rPr>
        <w:t xml:space="preserve"> </w:t>
      </w:r>
      <w:r w:rsidRPr="000D09A4" w:rsidR="00436E22">
        <w:rPr>
          <w:szCs w:val="18"/>
        </w:rPr>
        <w:t>v</w:t>
      </w:r>
      <w:r w:rsidRPr="000D09A4" w:rsidR="0077584E">
        <w:rPr>
          <w:szCs w:val="18"/>
        </w:rPr>
        <w:t xml:space="preserve">isie op </w:t>
      </w:r>
      <w:r w:rsidRPr="000D09A4" w:rsidR="00436E22">
        <w:rPr>
          <w:szCs w:val="18"/>
        </w:rPr>
        <w:t>t</w:t>
      </w:r>
      <w:r w:rsidRPr="000D09A4" w:rsidR="0077584E">
        <w:rPr>
          <w:szCs w:val="18"/>
        </w:rPr>
        <w:t xml:space="preserve">oezicht </w:t>
      </w:r>
      <w:r w:rsidRPr="000D09A4">
        <w:rPr>
          <w:rFonts w:eastAsia="Arial Unicode MS" w:cs="Arial"/>
          <w:szCs w:val="18"/>
        </w:rPr>
        <w:t xml:space="preserve">stelt </w:t>
      </w:r>
      <w:r w:rsidRPr="000D09A4" w:rsidR="00D14660">
        <w:rPr>
          <w:rFonts w:eastAsia="Arial Unicode MS" w:cs="Arial"/>
          <w:szCs w:val="18"/>
        </w:rPr>
        <w:t xml:space="preserve">voorts </w:t>
      </w:r>
      <w:r w:rsidRPr="000D09A4">
        <w:rPr>
          <w:rFonts w:eastAsia="Arial Unicode MS" w:cs="Arial"/>
          <w:szCs w:val="18"/>
        </w:rPr>
        <w:t>dat toezicht slagvaardig dient te zijn. D</w:t>
      </w:r>
      <w:r w:rsidRPr="000D09A4" w:rsidR="00DD56EB">
        <w:rPr>
          <w:rFonts w:eastAsia="Arial Unicode MS" w:cs="Arial"/>
          <w:szCs w:val="18"/>
        </w:rPr>
        <w:t>it principe wordt als volgt omschreven</w:t>
      </w:r>
      <w:r w:rsidRPr="000D09A4">
        <w:rPr>
          <w:rFonts w:eastAsia="Arial Unicode MS" w:cs="Arial"/>
          <w:szCs w:val="18"/>
        </w:rPr>
        <w:t>:</w:t>
      </w:r>
    </w:p>
    <w:p w:rsidRPr="000D09A4" w:rsidR="00D14660" w:rsidP="00E874C7" w:rsidRDefault="00D14660" w14:paraId="3DD8FFBB" w14:textId="77777777">
      <w:pPr>
        <w:spacing w:after="0" w:line="260" w:lineRule="exact"/>
        <w:rPr>
          <w:i/>
          <w:szCs w:val="18"/>
        </w:rPr>
      </w:pPr>
    </w:p>
    <w:p w:rsidRPr="000D09A4" w:rsidR="00D61A4C" w:rsidP="00D14660" w:rsidRDefault="00D61A4C" w14:paraId="48D7864B" w14:textId="77777777">
      <w:pPr>
        <w:spacing w:after="0" w:line="260" w:lineRule="exact"/>
        <w:ind w:left="708"/>
        <w:rPr>
          <w:sz w:val="16"/>
          <w:szCs w:val="16"/>
        </w:rPr>
      </w:pPr>
      <w:r w:rsidRPr="000D09A4">
        <w:rPr>
          <w:sz w:val="16"/>
          <w:szCs w:val="16"/>
        </w:rPr>
        <w:t>“Toezicht dient geen papieren tijger te zijn, maar een tijger met tanden. Om slagvaardig te zijn is toezicht zacht waar het kan en hard waar het moet. (...) Slagvaardigheid vereist niet alleen dat de verantwoordelijke toezichthouder over de juiste interventiebevoegdheden beschikt, maar ook dat daarvan een passend gebruik wordt gemaakt.”</w:t>
      </w:r>
      <w:r w:rsidRPr="000D09A4">
        <w:rPr>
          <w:sz w:val="16"/>
          <w:szCs w:val="16"/>
          <w:vertAlign w:val="superscript"/>
        </w:rPr>
        <w:footnoteReference w:id="28"/>
      </w:r>
    </w:p>
    <w:p w:rsidRPr="000D09A4" w:rsidR="00582FDD" w:rsidP="000E0E4B" w:rsidRDefault="00582FDD" w14:paraId="0F47D187" w14:textId="77777777">
      <w:pPr>
        <w:spacing w:after="0" w:line="260" w:lineRule="exact"/>
        <w:rPr>
          <w:szCs w:val="18"/>
        </w:rPr>
      </w:pPr>
    </w:p>
    <w:p w:rsidRPr="000D09A4" w:rsidR="00801EC3" w:rsidP="00801EC3" w:rsidRDefault="00801EC3" w14:paraId="513DD932" w14:textId="1A30086A">
      <w:pPr>
        <w:spacing w:after="0" w:line="260" w:lineRule="exact"/>
        <w:rPr>
          <w:color w:val="000000"/>
          <w:szCs w:val="18"/>
        </w:rPr>
      </w:pPr>
      <w:r w:rsidRPr="000D09A4">
        <w:rPr>
          <w:rFonts w:eastAsia="Arial Unicode MS" w:cs="Arial" w:asciiTheme="minorHAnsi" w:hAnsiTheme="minorHAnsi"/>
          <w:iCs/>
          <w:noProof/>
          <w:lang w:eastAsia="nl-NL"/>
        </w:rPr>
        <w:drawing>
          <wp:anchor distT="0" distB="0" distL="114300" distR="114300" simplePos="0" relativeHeight="251658240" behindDoc="1" locked="0" layoutInCell="1" allowOverlap="1" wp14:editId="719F0BB6" wp14:anchorId="39A9DC6E">
            <wp:simplePos x="0" y="0"/>
            <wp:positionH relativeFrom="column">
              <wp:posOffset>4445</wp:posOffset>
            </wp:positionH>
            <wp:positionV relativeFrom="paragraph">
              <wp:posOffset>411480</wp:posOffset>
            </wp:positionV>
            <wp:extent cx="2876550" cy="1704975"/>
            <wp:effectExtent l="0" t="0" r="19050" b="9525"/>
            <wp:wrapSquare wrapText="bothSides"/>
            <wp:docPr id="8"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r w:rsidRPr="000D09A4" w:rsidR="00582FDD">
        <w:rPr>
          <w:color w:val="000000"/>
          <w:szCs w:val="18"/>
        </w:rPr>
        <w:t xml:space="preserve">Om zo nodig slagvaardig te kunnen optreden </w:t>
      </w:r>
      <w:r w:rsidRPr="000D09A4" w:rsidR="00EF0708">
        <w:rPr>
          <w:color w:val="000000"/>
          <w:szCs w:val="18"/>
        </w:rPr>
        <w:t>heeft</w:t>
      </w:r>
      <w:r w:rsidRPr="000D09A4" w:rsidR="00582FDD">
        <w:rPr>
          <w:color w:val="000000"/>
          <w:szCs w:val="18"/>
        </w:rPr>
        <w:t xml:space="preserve"> de </w:t>
      </w:r>
      <w:r w:rsidRPr="000D09A4" w:rsidR="00201D4B">
        <w:rPr>
          <w:color w:val="000000"/>
          <w:szCs w:val="18"/>
        </w:rPr>
        <w:t xml:space="preserve">minister </w:t>
      </w:r>
      <w:r w:rsidRPr="000D09A4" w:rsidR="00582FDD">
        <w:rPr>
          <w:color w:val="000000"/>
          <w:szCs w:val="18"/>
        </w:rPr>
        <w:t xml:space="preserve">van Financiën </w:t>
      </w:r>
      <w:r w:rsidRPr="000D09A4" w:rsidR="00071F07">
        <w:rPr>
          <w:color w:val="000000"/>
          <w:szCs w:val="18"/>
        </w:rPr>
        <w:t>diverse</w:t>
      </w:r>
      <w:r w:rsidRPr="000D09A4" w:rsidR="00EF0708">
        <w:rPr>
          <w:color w:val="000000"/>
          <w:szCs w:val="18"/>
        </w:rPr>
        <w:t xml:space="preserve"> </w:t>
      </w:r>
      <w:r w:rsidRPr="000D09A4">
        <w:rPr>
          <w:color w:val="000000"/>
          <w:szCs w:val="18"/>
        </w:rPr>
        <w:t xml:space="preserve">wettelijke </w:t>
      </w:r>
      <w:r w:rsidRPr="000D09A4" w:rsidR="00EF0708">
        <w:rPr>
          <w:color w:val="000000"/>
          <w:szCs w:val="18"/>
        </w:rPr>
        <w:t>mogelijkheden</w:t>
      </w:r>
      <w:r w:rsidRPr="000D09A4" w:rsidR="00582FDD">
        <w:rPr>
          <w:color w:val="000000"/>
          <w:szCs w:val="18"/>
        </w:rPr>
        <w:t xml:space="preserve">. </w:t>
      </w:r>
      <w:r w:rsidRPr="000D09A4" w:rsidR="006D2868">
        <w:rPr>
          <w:color w:val="000000"/>
          <w:szCs w:val="18"/>
        </w:rPr>
        <w:t>Deze mogelijkheden en hun onderlinge verhouding kunnen het best</w:t>
      </w:r>
      <w:r w:rsidRPr="000D09A4" w:rsidR="00F36B74">
        <w:rPr>
          <w:color w:val="000000"/>
          <w:szCs w:val="18"/>
        </w:rPr>
        <w:t>e</w:t>
      </w:r>
      <w:r w:rsidRPr="000D09A4" w:rsidR="006D2868">
        <w:rPr>
          <w:color w:val="000000"/>
          <w:szCs w:val="18"/>
        </w:rPr>
        <w:t xml:space="preserve"> </w:t>
      </w:r>
      <w:r w:rsidRPr="000D09A4" w:rsidR="00E754C0">
        <w:rPr>
          <w:color w:val="000000"/>
          <w:szCs w:val="18"/>
        </w:rPr>
        <w:t>worden weergegeven in een zogenaamde</w:t>
      </w:r>
      <w:r w:rsidRPr="000D09A4" w:rsidR="00071F07">
        <w:rPr>
          <w:color w:val="000000"/>
          <w:szCs w:val="18"/>
        </w:rPr>
        <w:t xml:space="preserve"> interventiepiramide waarin deze mogelijkheden zijn onderverdeeld</w:t>
      </w:r>
      <w:r w:rsidRPr="000D09A4" w:rsidR="00E754C0">
        <w:rPr>
          <w:color w:val="000000"/>
          <w:szCs w:val="18"/>
        </w:rPr>
        <w:t xml:space="preserve"> in drie groepen</w:t>
      </w:r>
      <w:r w:rsidRPr="000D09A4" w:rsidR="00071F07">
        <w:rPr>
          <w:color w:val="000000"/>
          <w:szCs w:val="18"/>
        </w:rPr>
        <w:t xml:space="preserve">: overreding, </w:t>
      </w:r>
      <w:r w:rsidRPr="000D09A4">
        <w:rPr>
          <w:color w:val="000000"/>
          <w:szCs w:val="18"/>
        </w:rPr>
        <w:t>‘</w:t>
      </w:r>
      <w:r w:rsidRPr="000D09A4" w:rsidR="00071F07">
        <w:rPr>
          <w:color w:val="000000"/>
          <w:szCs w:val="18"/>
        </w:rPr>
        <w:t>zachte</w:t>
      </w:r>
      <w:r w:rsidRPr="000D09A4">
        <w:rPr>
          <w:color w:val="000000"/>
          <w:szCs w:val="18"/>
        </w:rPr>
        <w:t>’</w:t>
      </w:r>
      <w:r w:rsidRPr="000D09A4" w:rsidR="00071F07">
        <w:rPr>
          <w:color w:val="000000"/>
          <w:szCs w:val="18"/>
        </w:rPr>
        <w:t xml:space="preserve"> </w:t>
      </w:r>
      <w:r w:rsidRPr="000D09A4" w:rsidR="00D07C8D">
        <w:rPr>
          <w:color w:val="000000"/>
          <w:szCs w:val="18"/>
        </w:rPr>
        <w:t xml:space="preserve">wettelijke </w:t>
      </w:r>
      <w:r w:rsidRPr="000D09A4" w:rsidR="00071F07">
        <w:rPr>
          <w:color w:val="000000"/>
          <w:szCs w:val="18"/>
        </w:rPr>
        <w:t xml:space="preserve">bevoegdheden en </w:t>
      </w:r>
      <w:r w:rsidRPr="000D09A4">
        <w:rPr>
          <w:color w:val="000000"/>
          <w:szCs w:val="18"/>
        </w:rPr>
        <w:t>‘</w:t>
      </w:r>
      <w:r w:rsidRPr="000D09A4" w:rsidR="00071F07">
        <w:rPr>
          <w:color w:val="000000"/>
          <w:szCs w:val="18"/>
        </w:rPr>
        <w:t>harde</w:t>
      </w:r>
      <w:r w:rsidRPr="000D09A4">
        <w:rPr>
          <w:color w:val="000000"/>
          <w:szCs w:val="18"/>
        </w:rPr>
        <w:t>’</w:t>
      </w:r>
      <w:r w:rsidRPr="000D09A4" w:rsidR="00071F07">
        <w:rPr>
          <w:color w:val="000000"/>
          <w:szCs w:val="18"/>
        </w:rPr>
        <w:t xml:space="preserve"> </w:t>
      </w:r>
      <w:r w:rsidRPr="000D09A4" w:rsidR="00D07C8D">
        <w:rPr>
          <w:color w:val="000000"/>
          <w:szCs w:val="18"/>
        </w:rPr>
        <w:t xml:space="preserve">wettelijke </w:t>
      </w:r>
      <w:r w:rsidRPr="000D09A4" w:rsidR="00071F07">
        <w:rPr>
          <w:color w:val="000000"/>
          <w:szCs w:val="18"/>
        </w:rPr>
        <w:t xml:space="preserve">bevoegdheden. Elke groep bestaat uit meerdere mogelijkheden om </w:t>
      </w:r>
      <w:r w:rsidRPr="000D09A4" w:rsidR="00436E22">
        <w:rPr>
          <w:color w:val="000000"/>
          <w:szCs w:val="18"/>
        </w:rPr>
        <w:t xml:space="preserve">te </w:t>
      </w:r>
      <w:r w:rsidRPr="000D09A4" w:rsidR="00071F07">
        <w:rPr>
          <w:color w:val="000000"/>
          <w:szCs w:val="18"/>
        </w:rPr>
        <w:t>interveniëren, waarbij geldt</w:t>
      </w:r>
      <w:r w:rsidRPr="000D09A4" w:rsidR="00F36B74">
        <w:rPr>
          <w:color w:val="000000"/>
          <w:szCs w:val="18"/>
        </w:rPr>
        <w:t>:</w:t>
      </w:r>
      <w:r w:rsidRPr="000D09A4">
        <w:rPr>
          <w:color w:val="000000"/>
          <w:szCs w:val="18"/>
        </w:rPr>
        <w:t xml:space="preserve"> </w:t>
      </w:r>
      <w:r w:rsidRPr="000D09A4" w:rsidR="00071F07">
        <w:rPr>
          <w:color w:val="000000"/>
          <w:szCs w:val="18"/>
        </w:rPr>
        <w:t>hoe hoger de groep in de piramide</w:t>
      </w:r>
      <w:r w:rsidRPr="000D09A4" w:rsidR="00F36B74">
        <w:rPr>
          <w:color w:val="000000"/>
          <w:szCs w:val="18"/>
        </w:rPr>
        <w:t>,</w:t>
      </w:r>
      <w:r w:rsidRPr="000D09A4" w:rsidR="00071F07">
        <w:rPr>
          <w:color w:val="000000"/>
          <w:szCs w:val="18"/>
        </w:rPr>
        <w:t xml:space="preserve"> des te ingrijpender de mogelijkheden tot ingrijpen.</w:t>
      </w:r>
      <w:r w:rsidRPr="000D09A4" w:rsidR="00E754C0">
        <w:rPr>
          <w:color w:val="000000"/>
          <w:szCs w:val="18"/>
        </w:rPr>
        <w:t xml:space="preserve"> P</w:t>
      </w:r>
      <w:r w:rsidRPr="000D09A4" w:rsidR="00231FA2">
        <w:rPr>
          <w:color w:val="000000"/>
          <w:szCs w:val="18"/>
        </w:rPr>
        <w:t xml:space="preserve">aragraaf 3.2 van het toezichtarrangement </w:t>
      </w:r>
      <w:r w:rsidRPr="000D09A4" w:rsidR="00E754C0">
        <w:rPr>
          <w:color w:val="000000"/>
          <w:szCs w:val="18"/>
        </w:rPr>
        <w:t>gaat</w:t>
      </w:r>
      <w:r w:rsidRPr="000D09A4" w:rsidR="00231FA2">
        <w:rPr>
          <w:color w:val="000000"/>
          <w:szCs w:val="18"/>
        </w:rPr>
        <w:t xml:space="preserve"> uitgebreid </w:t>
      </w:r>
      <w:r w:rsidRPr="000D09A4" w:rsidR="00E754C0">
        <w:rPr>
          <w:color w:val="000000"/>
          <w:szCs w:val="18"/>
        </w:rPr>
        <w:t>hierop in</w:t>
      </w:r>
      <w:r w:rsidRPr="000D09A4" w:rsidR="00231FA2">
        <w:rPr>
          <w:color w:val="000000"/>
          <w:szCs w:val="18"/>
        </w:rPr>
        <w:t>.</w:t>
      </w:r>
    </w:p>
    <w:p w:rsidRPr="000D09A4" w:rsidR="00E754C0" w:rsidP="00E874C7" w:rsidRDefault="00801EC3" w14:paraId="4CC232FF" w14:textId="77777777">
      <w:pPr>
        <w:spacing w:after="0" w:line="260" w:lineRule="exact"/>
        <w:rPr>
          <w:color w:val="000000"/>
          <w:szCs w:val="18"/>
        </w:rPr>
      </w:pPr>
      <w:r w:rsidRPr="000D09A4">
        <w:rPr>
          <w:color w:val="000000"/>
          <w:sz w:val="16"/>
          <w:szCs w:val="16"/>
        </w:rPr>
        <w:t>Figuur: interventiepiramide</w:t>
      </w:r>
    </w:p>
    <w:p w:rsidRPr="000D09A4" w:rsidR="00BD7791" w:rsidP="00E874C7" w:rsidRDefault="00BD7791" w14:paraId="1568FE40" w14:textId="77777777">
      <w:pPr>
        <w:spacing w:after="0" w:line="260" w:lineRule="exact"/>
        <w:rPr>
          <w:color w:val="000000"/>
          <w:szCs w:val="18"/>
        </w:rPr>
      </w:pPr>
    </w:p>
    <w:p w:rsidRPr="000D09A4" w:rsidR="00EB0AD0" w:rsidP="00E874C7" w:rsidRDefault="00071F07" w14:paraId="0443B6EA" w14:textId="6DA6070A">
      <w:pPr>
        <w:spacing w:after="0" w:line="260" w:lineRule="exact"/>
        <w:rPr>
          <w:color w:val="000000"/>
          <w:szCs w:val="18"/>
        </w:rPr>
      </w:pPr>
      <w:r w:rsidRPr="000D09A4">
        <w:rPr>
          <w:color w:val="000000"/>
          <w:szCs w:val="18"/>
        </w:rPr>
        <w:t xml:space="preserve">Uit deze onderverdeling wordt duidelijk dat de minister </w:t>
      </w:r>
      <w:r w:rsidRPr="000D09A4" w:rsidR="00D572BD">
        <w:rPr>
          <w:color w:val="000000"/>
          <w:szCs w:val="18"/>
        </w:rPr>
        <w:t xml:space="preserve">op verschillende niveaus </w:t>
      </w:r>
      <w:r w:rsidRPr="000D09A4">
        <w:rPr>
          <w:color w:val="000000"/>
          <w:szCs w:val="18"/>
        </w:rPr>
        <w:t>verschillende mogelijkheden heeft om</w:t>
      </w:r>
      <w:r w:rsidRPr="000D09A4" w:rsidR="00D572BD">
        <w:rPr>
          <w:color w:val="000000"/>
          <w:szCs w:val="18"/>
        </w:rPr>
        <w:t xml:space="preserve">, </w:t>
      </w:r>
      <w:r w:rsidRPr="000D09A4" w:rsidR="00801EC3">
        <w:rPr>
          <w:color w:val="000000"/>
          <w:szCs w:val="18"/>
        </w:rPr>
        <w:t>als</w:t>
      </w:r>
      <w:r w:rsidRPr="000D09A4" w:rsidR="00D572BD">
        <w:rPr>
          <w:color w:val="000000"/>
          <w:szCs w:val="18"/>
        </w:rPr>
        <w:t xml:space="preserve"> nodig, te interveniëren</w:t>
      </w:r>
      <w:r w:rsidRPr="000D09A4">
        <w:rPr>
          <w:color w:val="000000"/>
          <w:szCs w:val="18"/>
        </w:rPr>
        <w:t xml:space="preserve">. </w:t>
      </w:r>
      <w:r w:rsidRPr="000D09A4" w:rsidR="00CB0A12">
        <w:rPr>
          <w:color w:val="000000"/>
          <w:szCs w:val="18"/>
        </w:rPr>
        <w:t xml:space="preserve">Waar ingrijpen nodig is, zal de minister zo mogelijk en passend altijd eerst </w:t>
      </w:r>
      <w:r w:rsidRPr="000D09A4" w:rsidR="00801EC3">
        <w:rPr>
          <w:color w:val="000000"/>
          <w:szCs w:val="18"/>
        </w:rPr>
        <w:t>proberen</w:t>
      </w:r>
      <w:r w:rsidRPr="000D09A4" w:rsidR="00CB0A12">
        <w:rPr>
          <w:color w:val="000000"/>
          <w:szCs w:val="18"/>
        </w:rPr>
        <w:t xml:space="preserve"> </w:t>
      </w:r>
      <w:r w:rsidRPr="000D09A4" w:rsidR="00801EC3">
        <w:rPr>
          <w:color w:val="000000"/>
          <w:szCs w:val="18"/>
        </w:rPr>
        <w:t xml:space="preserve">om </w:t>
      </w:r>
      <w:r w:rsidRPr="000D09A4" w:rsidR="00CB0A12">
        <w:rPr>
          <w:color w:val="000000"/>
          <w:szCs w:val="18"/>
        </w:rPr>
        <w:t>via minder ingrijpende mogelijkheden het gewenste resultaat te bereiken.</w:t>
      </w:r>
      <w:r w:rsidRPr="000D09A4" w:rsidR="00405F81">
        <w:rPr>
          <w:color w:val="000000"/>
          <w:szCs w:val="18"/>
        </w:rPr>
        <w:t xml:space="preserve"> Zo </w:t>
      </w:r>
      <w:r w:rsidRPr="000D09A4" w:rsidR="00801EC3">
        <w:rPr>
          <w:color w:val="000000"/>
          <w:szCs w:val="18"/>
        </w:rPr>
        <w:t xml:space="preserve">zal hij altijd eerst met het </w:t>
      </w:r>
      <w:r w:rsidRPr="000D09A4" w:rsidR="00F257BA">
        <w:rPr>
          <w:color w:val="000000"/>
          <w:szCs w:val="18"/>
        </w:rPr>
        <w:t xml:space="preserve">betreffende </w:t>
      </w:r>
      <w:proofErr w:type="spellStart"/>
      <w:r w:rsidRPr="000D09A4" w:rsidR="00801EC3">
        <w:rPr>
          <w:color w:val="000000"/>
          <w:szCs w:val="18"/>
        </w:rPr>
        <w:t>zbo</w:t>
      </w:r>
      <w:proofErr w:type="spellEnd"/>
      <w:r w:rsidRPr="000D09A4" w:rsidR="00F257BA">
        <w:rPr>
          <w:color w:val="000000"/>
          <w:szCs w:val="18"/>
        </w:rPr>
        <w:t xml:space="preserve"> in gesprek </w:t>
      </w:r>
      <w:r w:rsidRPr="000D09A4" w:rsidR="00F25FEB">
        <w:rPr>
          <w:color w:val="000000"/>
          <w:szCs w:val="18"/>
        </w:rPr>
        <w:t xml:space="preserve">treden (overreding), </w:t>
      </w:r>
      <w:r w:rsidRPr="000D09A4" w:rsidR="00801EC3">
        <w:rPr>
          <w:color w:val="000000"/>
          <w:szCs w:val="18"/>
        </w:rPr>
        <w:t>voordat</w:t>
      </w:r>
      <w:r w:rsidRPr="000D09A4" w:rsidR="00F25FEB">
        <w:rPr>
          <w:color w:val="000000"/>
          <w:szCs w:val="18"/>
        </w:rPr>
        <w:t xml:space="preserve"> </w:t>
      </w:r>
      <w:r w:rsidRPr="000D09A4" w:rsidR="00801EC3">
        <w:rPr>
          <w:color w:val="000000"/>
          <w:szCs w:val="18"/>
        </w:rPr>
        <w:t>hij een interventiemogelijkheid uit de top van interventiepiramide</w:t>
      </w:r>
      <w:r w:rsidRPr="000D09A4" w:rsidR="00F257BA">
        <w:rPr>
          <w:color w:val="000000"/>
          <w:szCs w:val="18"/>
        </w:rPr>
        <w:t xml:space="preserve"> </w:t>
      </w:r>
      <w:r w:rsidRPr="000D09A4" w:rsidR="00801EC3">
        <w:rPr>
          <w:color w:val="000000"/>
          <w:szCs w:val="18"/>
        </w:rPr>
        <w:t xml:space="preserve">inzet </w:t>
      </w:r>
      <w:r w:rsidRPr="000D09A4" w:rsidR="00F257BA">
        <w:rPr>
          <w:color w:val="000000"/>
          <w:szCs w:val="18"/>
        </w:rPr>
        <w:t>(</w:t>
      </w:r>
      <w:r w:rsidRPr="000D09A4" w:rsidR="00801EC3">
        <w:rPr>
          <w:color w:val="000000"/>
          <w:szCs w:val="18"/>
        </w:rPr>
        <w:t xml:space="preserve">zgn. </w:t>
      </w:r>
      <w:r w:rsidRPr="000D09A4" w:rsidR="00F257BA">
        <w:rPr>
          <w:color w:val="000000"/>
          <w:szCs w:val="18"/>
        </w:rPr>
        <w:t xml:space="preserve">harde </w:t>
      </w:r>
      <w:r w:rsidRPr="000D09A4" w:rsidR="00D07C8D">
        <w:rPr>
          <w:color w:val="000000"/>
          <w:szCs w:val="18"/>
        </w:rPr>
        <w:t xml:space="preserve">wettelijke </w:t>
      </w:r>
      <w:r w:rsidRPr="000D09A4" w:rsidR="00801EC3">
        <w:rPr>
          <w:color w:val="000000"/>
          <w:szCs w:val="18"/>
        </w:rPr>
        <w:t>bevoegdheden</w:t>
      </w:r>
      <w:r w:rsidRPr="000D09A4" w:rsidR="00CE0F37">
        <w:rPr>
          <w:color w:val="000000"/>
          <w:szCs w:val="18"/>
        </w:rPr>
        <w:t>), zoals</w:t>
      </w:r>
      <w:r w:rsidRPr="000D09A4" w:rsidR="00D07C8D">
        <w:rPr>
          <w:color w:val="000000"/>
          <w:szCs w:val="18"/>
        </w:rPr>
        <w:t xml:space="preserve"> </w:t>
      </w:r>
      <w:r w:rsidRPr="000D09A4" w:rsidR="00F257BA">
        <w:rPr>
          <w:color w:val="000000"/>
          <w:szCs w:val="18"/>
        </w:rPr>
        <w:t xml:space="preserve">het onthouden van </w:t>
      </w:r>
      <w:r w:rsidRPr="000D09A4" w:rsidR="00371234">
        <w:rPr>
          <w:color w:val="000000"/>
          <w:szCs w:val="18"/>
        </w:rPr>
        <w:t>instemming</w:t>
      </w:r>
      <w:r w:rsidRPr="000D09A4" w:rsidR="006B2686">
        <w:rPr>
          <w:color w:val="000000"/>
          <w:szCs w:val="18"/>
        </w:rPr>
        <w:t xml:space="preserve"> aan het voornemen van </w:t>
      </w:r>
      <w:r w:rsidRPr="000D09A4" w:rsidR="00C36369">
        <w:rPr>
          <w:color w:val="000000"/>
          <w:szCs w:val="18"/>
        </w:rPr>
        <w:t xml:space="preserve">het </w:t>
      </w:r>
      <w:proofErr w:type="spellStart"/>
      <w:r w:rsidRPr="000D09A4" w:rsidR="00CE0F37">
        <w:rPr>
          <w:color w:val="000000"/>
          <w:szCs w:val="18"/>
        </w:rPr>
        <w:t>zbo</w:t>
      </w:r>
      <w:proofErr w:type="spellEnd"/>
      <w:r w:rsidRPr="000D09A4" w:rsidR="00CE0F37">
        <w:rPr>
          <w:color w:val="000000"/>
          <w:szCs w:val="18"/>
        </w:rPr>
        <w:t xml:space="preserve"> </w:t>
      </w:r>
      <w:r w:rsidRPr="000D09A4" w:rsidR="00371234">
        <w:rPr>
          <w:color w:val="000000"/>
          <w:szCs w:val="18"/>
        </w:rPr>
        <w:t>tot wijziging van</w:t>
      </w:r>
      <w:r w:rsidRPr="000D09A4" w:rsidR="006B2686">
        <w:rPr>
          <w:color w:val="000000"/>
          <w:szCs w:val="18"/>
        </w:rPr>
        <w:t xml:space="preserve"> </w:t>
      </w:r>
      <w:r w:rsidRPr="000D09A4" w:rsidR="00C36369">
        <w:rPr>
          <w:color w:val="000000"/>
          <w:szCs w:val="18"/>
        </w:rPr>
        <w:t xml:space="preserve">zijn </w:t>
      </w:r>
      <w:r w:rsidRPr="000D09A4" w:rsidR="00F257BA">
        <w:rPr>
          <w:color w:val="000000"/>
          <w:szCs w:val="18"/>
        </w:rPr>
        <w:t>statuten.</w:t>
      </w:r>
    </w:p>
    <w:p w:rsidRPr="000D09A4" w:rsidR="009202AD" w:rsidP="00CE0E40" w:rsidRDefault="00F36B74" w14:paraId="34CCF4D8" w14:textId="77777777">
      <w:pPr>
        <w:pStyle w:val="kop02"/>
      </w:pPr>
      <w:bookmarkStart w:name="_Toc6298692" w:id="18"/>
      <w:bookmarkStart w:name="_Toc6560025" w:id="19"/>
      <w:r w:rsidRPr="000D09A4">
        <w:rPr>
          <w:rStyle w:val="Subtieleverwijzing"/>
        </w:rPr>
        <w:t>3.3</w:t>
      </w:r>
      <w:r w:rsidRPr="000D09A4">
        <w:rPr>
          <w:rStyle w:val="Subtieleverwijzing"/>
        </w:rPr>
        <w:tab/>
        <w:t>Samenwerkend</w:t>
      </w:r>
      <w:bookmarkEnd w:id="18"/>
      <w:bookmarkEnd w:id="19"/>
    </w:p>
    <w:p w:rsidRPr="000D09A4" w:rsidR="00022E0C" w:rsidP="000E0E4B" w:rsidRDefault="009B1312" w14:paraId="35D9C109" w14:textId="77777777">
      <w:pPr>
        <w:spacing w:after="0" w:line="260" w:lineRule="exact"/>
        <w:rPr>
          <w:rFonts w:eastAsia="Arial Unicode MS" w:cs="Arial"/>
          <w:szCs w:val="18"/>
        </w:rPr>
      </w:pPr>
      <w:r w:rsidRPr="000D09A4">
        <w:rPr>
          <w:rFonts w:eastAsia="Arial Unicode MS" w:cs="Arial"/>
          <w:szCs w:val="18"/>
        </w:rPr>
        <w:t xml:space="preserve">Het derde principe uit de </w:t>
      </w:r>
      <w:proofErr w:type="spellStart"/>
      <w:r w:rsidRPr="000D09A4" w:rsidR="00C36369">
        <w:rPr>
          <w:rFonts w:eastAsia="Arial Unicode MS" w:cs="Arial"/>
          <w:szCs w:val="18"/>
        </w:rPr>
        <w:t>kaderstellende</w:t>
      </w:r>
      <w:proofErr w:type="spellEnd"/>
      <w:r w:rsidRPr="000D09A4" w:rsidR="00C36369">
        <w:rPr>
          <w:rFonts w:eastAsia="Arial Unicode MS" w:cs="Arial"/>
          <w:szCs w:val="18"/>
        </w:rPr>
        <w:t xml:space="preserve"> visie op toezicht </w:t>
      </w:r>
      <w:r w:rsidRPr="000D09A4">
        <w:rPr>
          <w:rFonts w:eastAsia="Arial Unicode MS" w:cs="Arial"/>
          <w:szCs w:val="18"/>
        </w:rPr>
        <w:t xml:space="preserve">is dat </w:t>
      </w:r>
      <w:r w:rsidRPr="000D09A4" w:rsidR="00022E0C">
        <w:rPr>
          <w:rFonts w:eastAsia="Arial Unicode MS" w:cs="Arial"/>
          <w:szCs w:val="18"/>
        </w:rPr>
        <w:t xml:space="preserve">toezicht samenwerkend dient te zijn. </w:t>
      </w:r>
      <w:r w:rsidRPr="000D09A4" w:rsidR="00DD570E">
        <w:rPr>
          <w:rFonts w:eastAsia="Arial Unicode MS" w:cs="Arial"/>
          <w:szCs w:val="18"/>
        </w:rPr>
        <w:t xml:space="preserve">Hiermee </w:t>
      </w:r>
      <w:r w:rsidRPr="000D09A4" w:rsidR="00022E0C">
        <w:rPr>
          <w:rFonts w:eastAsia="Arial Unicode MS" w:cs="Arial"/>
          <w:szCs w:val="18"/>
        </w:rPr>
        <w:t>wordt het volgende bedoeld:</w:t>
      </w:r>
    </w:p>
    <w:p w:rsidRPr="000D09A4" w:rsidR="009B1312" w:rsidP="000E0E4B" w:rsidRDefault="009B1312" w14:paraId="7DCF4371" w14:textId="77777777">
      <w:pPr>
        <w:spacing w:after="0" w:line="260" w:lineRule="exact"/>
        <w:rPr>
          <w:rFonts w:eastAsia="Arial Unicode MS" w:cs="Arial"/>
          <w:szCs w:val="18"/>
        </w:rPr>
      </w:pPr>
    </w:p>
    <w:p w:rsidRPr="000D09A4" w:rsidR="00EF3E8A" w:rsidP="009B1312" w:rsidRDefault="00EF3E8A" w14:paraId="135B49B4" w14:textId="77777777">
      <w:pPr>
        <w:spacing w:after="0" w:line="260" w:lineRule="exact"/>
        <w:ind w:left="708"/>
        <w:rPr>
          <w:sz w:val="16"/>
          <w:szCs w:val="16"/>
        </w:rPr>
      </w:pPr>
      <w:r w:rsidRPr="000D09A4">
        <w:rPr>
          <w:sz w:val="16"/>
          <w:szCs w:val="16"/>
        </w:rPr>
        <w:t>“Samenwerking is een belangrijk middel om de overlast van toezicht (...) te beperken. Door samenwerken zijn diverse doelen te bereiken met voordelen voor onder toezicht staande én toezichthouder.”</w:t>
      </w:r>
      <w:r w:rsidRPr="000D09A4">
        <w:rPr>
          <w:sz w:val="16"/>
          <w:szCs w:val="16"/>
          <w:vertAlign w:val="superscript"/>
        </w:rPr>
        <w:footnoteReference w:id="29"/>
      </w:r>
    </w:p>
    <w:p w:rsidRPr="000D09A4" w:rsidR="00EF3E8A" w:rsidP="000E0E4B" w:rsidRDefault="00EF3E8A" w14:paraId="3027376A" w14:textId="77777777">
      <w:pPr>
        <w:spacing w:after="0" w:line="260" w:lineRule="exact"/>
        <w:rPr>
          <w:color w:val="000000"/>
          <w:szCs w:val="18"/>
        </w:rPr>
      </w:pPr>
    </w:p>
    <w:p w:rsidRPr="000D09A4" w:rsidR="00F87C2C" w:rsidP="00F87C2C" w:rsidRDefault="000C4DE5" w14:paraId="6B8599BF" w14:textId="47B1A978">
      <w:pPr>
        <w:spacing w:after="0" w:line="260" w:lineRule="exact"/>
        <w:rPr>
          <w:color w:val="000000"/>
          <w:szCs w:val="18"/>
        </w:rPr>
      </w:pPr>
      <w:r w:rsidRPr="000D09A4">
        <w:rPr>
          <w:color w:val="000000"/>
          <w:szCs w:val="18"/>
        </w:rPr>
        <w:t>In het uitvoeringstoezicht op DNB en de AFM staat samenwerking in meerdere opzichten centraal. Allereerst is</w:t>
      </w:r>
      <w:r w:rsidRPr="000D09A4" w:rsidR="00F87C2C">
        <w:rPr>
          <w:color w:val="000000"/>
          <w:szCs w:val="18"/>
        </w:rPr>
        <w:t xml:space="preserve"> uiteraard de samenwerking </w:t>
      </w:r>
      <w:r w:rsidRPr="000D09A4" w:rsidR="004628F3">
        <w:rPr>
          <w:color w:val="000000"/>
          <w:szCs w:val="18"/>
        </w:rPr>
        <w:t xml:space="preserve">tussen </w:t>
      </w:r>
      <w:r w:rsidRPr="000D09A4" w:rsidR="00F87C2C">
        <w:rPr>
          <w:color w:val="000000"/>
          <w:szCs w:val="18"/>
        </w:rPr>
        <w:t>het ministerie van Financiën</w:t>
      </w:r>
      <w:r w:rsidRPr="000D09A4" w:rsidR="009B1312">
        <w:rPr>
          <w:color w:val="000000"/>
          <w:szCs w:val="18"/>
        </w:rPr>
        <w:t xml:space="preserve"> en de </w:t>
      </w:r>
      <w:proofErr w:type="spellStart"/>
      <w:r w:rsidRPr="000D09A4" w:rsidR="008C3A4B">
        <w:rPr>
          <w:color w:val="000000"/>
          <w:szCs w:val="18"/>
        </w:rPr>
        <w:t>zbo</w:t>
      </w:r>
      <w:r w:rsidRPr="000D09A4" w:rsidR="009B1312">
        <w:rPr>
          <w:color w:val="000000"/>
          <w:szCs w:val="18"/>
        </w:rPr>
        <w:t>’s</w:t>
      </w:r>
      <w:proofErr w:type="spellEnd"/>
      <w:r w:rsidRPr="000D09A4" w:rsidR="009B1312">
        <w:rPr>
          <w:color w:val="000000"/>
          <w:szCs w:val="18"/>
        </w:rPr>
        <w:t xml:space="preserve"> </w:t>
      </w:r>
      <w:r w:rsidRPr="000D09A4" w:rsidR="00F87C2C">
        <w:rPr>
          <w:color w:val="000000"/>
          <w:szCs w:val="18"/>
        </w:rPr>
        <w:t xml:space="preserve">zelf relevant. </w:t>
      </w:r>
      <w:r w:rsidRPr="000D09A4" w:rsidR="009B1312">
        <w:rPr>
          <w:color w:val="000000"/>
          <w:szCs w:val="18"/>
        </w:rPr>
        <w:t xml:space="preserve">Hierbij speelt </w:t>
      </w:r>
      <w:r w:rsidRPr="000D09A4" w:rsidR="00F87C2C">
        <w:rPr>
          <w:color w:val="000000"/>
          <w:szCs w:val="18"/>
        </w:rPr>
        <w:t xml:space="preserve">de basis van de interventiepiramide </w:t>
      </w:r>
      <w:r w:rsidRPr="000D09A4" w:rsidR="002857C7">
        <w:rPr>
          <w:color w:val="000000"/>
          <w:szCs w:val="18"/>
        </w:rPr>
        <w:t xml:space="preserve">(overreding) </w:t>
      </w:r>
      <w:r w:rsidRPr="000D09A4" w:rsidR="009B1312">
        <w:rPr>
          <w:color w:val="000000"/>
          <w:szCs w:val="18"/>
        </w:rPr>
        <w:t>een belangrijke rol</w:t>
      </w:r>
      <w:r w:rsidRPr="000D09A4" w:rsidR="00F87C2C">
        <w:rPr>
          <w:color w:val="000000"/>
          <w:szCs w:val="18"/>
        </w:rPr>
        <w:t>; er vind</w:t>
      </w:r>
      <w:r w:rsidRPr="000D09A4" w:rsidR="00450939">
        <w:rPr>
          <w:color w:val="000000"/>
          <w:szCs w:val="18"/>
        </w:rPr>
        <w:t>en</w:t>
      </w:r>
      <w:r w:rsidRPr="000D09A4" w:rsidR="00F87C2C">
        <w:rPr>
          <w:color w:val="000000"/>
          <w:szCs w:val="18"/>
        </w:rPr>
        <w:t xml:space="preserve"> op </w:t>
      </w:r>
      <w:r w:rsidRPr="000D09A4" w:rsidR="0000675A">
        <w:rPr>
          <w:color w:val="000000"/>
          <w:szCs w:val="18"/>
        </w:rPr>
        <w:t xml:space="preserve">reguliere basis en op </w:t>
      </w:r>
      <w:r w:rsidRPr="000D09A4" w:rsidR="00F87C2C">
        <w:rPr>
          <w:color w:val="000000"/>
          <w:szCs w:val="18"/>
        </w:rPr>
        <w:t>verschillende niveaus overleg</w:t>
      </w:r>
      <w:r w:rsidRPr="000D09A4" w:rsidR="00450939">
        <w:rPr>
          <w:color w:val="000000"/>
          <w:szCs w:val="18"/>
        </w:rPr>
        <w:t>gen</w:t>
      </w:r>
      <w:r w:rsidRPr="000D09A4" w:rsidR="00F87C2C">
        <w:rPr>
          <w:color w:val="000000"/>
          <w:szCs w:val="18"/>
        </w:rPr>
        <w:t xml:space="preserve"> plaats tussen </w:t>
      </w:r>
      <w:r w:rsidRPr="000D09A4" w:rsidR="00A0021F">
        <w:rPr>
          <w:color w:val="000000"/>
          <w:szCs w:val="18"/>
        </w:rPr>
        <w:t xml:space="preserve">(verschillende onderdelen van) </w:t>
      </w:r>
      <w:r w:rsidRPr="000D09A4" w:rsidR="00F87C2C">
        <w:rPr>
          <w:color w:val="000000"/>
          <w:szCs w:val="18"/>
        </w:rPr>
        <w:t>het ministerie</w:t>
      </w:r>
      <w:r w:rsidRPr="000D09A4" w:rsidR="009B1312">
        <w:rPr>
          <w:color w:val="000000"/>
          <w:szCs w:val="18"/>
        </w:rPr>
        <w:t xml:space="preserve"> en DNB en de AFM</w:t>
      </w:r>
      <w:r w:rsidRPr="000D09A4" w:rsidR="00F87C2C">
        <w:rPr>
          <w:color w:val="000000"/>
          <w:szCs w:val="18"/>
        </w:rPr>
        <w:t xml:space="preserve">. </w:t>
      </w:r>
      <w:r w:rsidRPr="000D09A4" w:rsidR="00EE172D">
        <w:rPr>
          <w:color w:val="000000"/>
          <w:szCs w:val="18"/>
        </w:rPr>
        <w:t>In p</w:t>
      </w:r>
      <w:r w:rsidRPr="000D09A4" w:rsidR="00F87C2C">
        <w:rPr>
          <w:color w:val="000000"/>
          <w:szCs w:val="18"/>
        </w:rPr>
        <w:t xml:space="preserve">aragraaf 3.2 van het toezichtarrangement </w:t>
      </w:r>
      <w:r w:rsidRPr="000D09A4" w:rsidR="00EE172D">
        <w:rPr>
          <w:color w:val="000000"/>
          <w:szCs w:val="18"/>
        </w:rPr>
        <w:t>wordt</w:t>
      </w:r>
      <w:r w:rsidRPr="000D09A4" w:rsidR="00F87C2C">
        <w:rPr>
          <w:color w:val="000000"/>
          <w:szCs w:val="18"/>
        </w:rPr>
        <w:t xml:space="preserve"> </w:t>
      </w:r>
      <w:r w:rsidRPr="000D09A4" w:rsidR="00C36369">
        <w:rPr>
          <w:color w:val="000000"/>
          <w:szCs w:val="18"/>
        </w:rPr>
        <w:t xml:space="preserve">hier </w:t>
      </w:r>
      <w:r w:rsidRPr="000D09A4" w:rsidR="00F87C2C">
        <w:rPr>
          <w:color w:val="000000"/>
          <w:szCs w:val="18"/>
        </w:rPr>
        <w:t xml:space="preserve">nader </w:t>
      </w:r>
      <w:r w:rsidRPr="000D09A4" w:rsidR="00C36369">
        <w:rPr>
          <w:color w:val="000000"/>
          <w:szCs w:val="18"/>
        </w:rPr>
        <w:t xml:space="preserve">op </w:t>
      </w:r>
      <w:r w:rsidRPr="000D09A4" w:rsidR="00F87C2C">
        <w:rPr>
          <w:color w:val="000000"/>
          <w:szCs w:val="18"/>
        </w:rPr>
        <w:t>in</w:t>
      </w:r>
      <w:r w:rsidRPr="000D09A4" w:rsidR="00EE172D">
        <w:rPr>
          <w:color w:val="000000"/>
          <w:szCs w:val="18"/>
        </w:rPr>
        <w:t>gegaan</w:t>
      </w:r>
      <w:r w:rsidRPr="000D09A4" w:rsidR="00F87C2C">
        <w:rPr>
          <w:color w:val="000000"/>
          <w:szCs w:val="18"/>
        </w:rPr>
        <w:t>. Daarnaast vinden er ook ad hoc overleggen plaats indien dat nodig is.</w:t>
      </w:r>
    </w:p>
    <w:p w:rsidRPr="000D09A4" w:rsidR="00F87C2C" w:rsidP="000E0E4B" w:rsidRDefault="00F87C2C" w14:paraId="7F683616" w14:textId="77777777">
      <w:pPr>
        <w:spacing w:after="0" w:line="260" w:lineRule="exact"/>
        <w:rPr>
          <w:color w:val="000000"/>
          <w:szCs w:val="18"/>
        </w:rPr>
      </w:pPr>
    </w:p>
    <w:p w:rsidRPr="000D09A4" w:rsidR="00FE5539" w:rsidP="000E0E4B" w:rsidRDefault="009B1312" w14:paraId="5BEFD404" w14:textId="01372EBA">
      <w:pPr>
        <w:spacing w:after="0" w:line="260" w:lineRule="exact"/>
        <w:rPr>
          <w:rFonts w:eastAsia="Verdana" w:cs="Times New Roman"/>
          <w:szCs w:val="18"/>
        </w:rPr>
      </w:pPr>
      <w:r w:rsidRPr="000D09A4">
        <w:rPr>
          <w:color w:val="000000"/>
          <w:szCs w:val="18"/>
        </w:rPr>
        <w:t xml:space="preserve">Naast </w:t>
      </w:r>
      <w:r w:rsidRPr="000D09A4" w:rsidR="00F91375">
        <w:rPr>
          <w:color w:val="000000"/>
          <w:szCs w:val="18"/>
        </w:rPr>
        <w:t xml:space="preserve">de samenwerking met </w:t>
      </w:r>
      <w:r w:rsidRPr="000D09A4">
        <w:rPr>
          <w:color w:val="000000"/>
          <w:szCs w:val="18"/>
        </w:rPr>
        <w:t xml:space="preserve">DNB en de AFM </w:t>
      </w:r>
      <w:r w:rsidRPr="000D09A4" w:rsidR="00F91375">
        <w:rPr>
          <w:color w:val="000000"/>
          <w:szCs w:val="18"/>
        </w:rPr>
        <w:t>werkt d</w:t>
      </w:r>
      <w:r w:rsidRPr="000D09A4" w:rsidR="00105F20">
        <w:rPr>
          <w:color w:val="000000"/>
          <w:szCs w:val="18"/>
        </w:rPr>
        <w:t xml:space="preserve">e </w:t>
      </w:r>
      <w:r w:rsidRPr="000D09A4" w:rsidR="00A52889">
        <w:rPr>
          <w:color w:val="000000"/>
          <w:szCs w:val="18"/>
        </w:rPr>
        <w:t xml:space="preserve">minister </w:t>
      </w:r>
      <w:r w:rsidRPr="000D09A4" w:rsidR="00105F20">
        <w:rPr>
          <w:color w:val="000000"/>
          <w:szCs w:val="18"/>
        </w:rPr>
        <w:t xml:space="preserve">van Financiën in het kader van het uitvoeringstoezicht </w:t>
      </w:r>
      <w:r w:rsidRPr="000D09A4" w:rsidR="00F91375">
        <w:rPr>
          <w:color w:val="000000"/>
          <w:szCs w:val="18"/>
        </w:rPr>
        <w:t xml:space="preserve">ook </w:t>
      </w:r>
      <w:r w:rsidRPr="000D09A4" w:rsidR="00105F20">
        <w:rPr>
          <w:color w:val="000000"/>
          <w:szCs w:val="18"/>
        </w:rPr>
        <w:t xml:space="preserve">samen met de </w:t>
      </w:r>
      <w:r w:rsidRPr="000D09A4" w:rsidR="00A52889">
        <w:rPr>
          <w:color w:val="000000"/>
          <w:szCs w:val="18"/>
        </w:rPr>
        <w:t xml:space="preserve">minister </w:t>
      </w:r>
      <w:r w:rsidRPr="000D09A4" w:rsidR="00105F20">
        <w:rPr>
          <w:color w:val="000000"/>
          <w:szCs w:val="18"/>
        </w:rPr>
        <w:t>van Sociale Zaken en Werkgelegenheid</w:t>
      </w:r>
      <w:r w:rsidRPr="000D09A4" w:rsidR="001304B3">
        <w:rPr>
          <w:color w:val="000000"/>
          <w:szCs w:val="18"/>
        </w:rPr>
        <w:t xml:space="preserve"> </w:t>
      </w:r>
      <w:r w:rsidRPr="000D09A4" w:rsidR="00F56CE4">
        <w:rPr>
          <w:color w:val="000000"/>
          <w:szCs w:val="18"/>
        </w:rPr>
        <w:t xml:space="preserve">in verband met diens </w:t>
      </w:r>
      <w:r w:rsidRPr="000D09A4" w:rsidR="001304B3">
        <w:rPr>
          <w:color w:val="000000"/>
          <w:szCs w:val="18"/>
        </w:rPr>
        <w:t>verantwoordelijk</w:t>
      </w:r>
      <w:r w:rsidRPr="000D09A4" w:rsidR="00F56CE4">
        <w:rPr>
          <w:color w:val="000000"/>
          <w:szCs w:val="18"/>
        </w:rPr>
        <w:t>heid</w:t>
      </w:r>
      <w:r w:rsidRPr="000D09A4" w:rsidR="008054C7">
        <w:rPr>
          <w:color w:val="000000"/>
          <w:szCs w:val="18"/>
        </w:rPr>
        <w:t xml:space="preserve"> </w:t>
      </w:r>
      <w:r w:rsidRPr="000D09A4" w:rsidR="00105F20">
        <w:rPr>
          <w:color w:val="000000"/>
          <w:szCs w:val="18"/>
        </w:rPr>
        <w:t xml:space="preserve">voor </w:t>
      </w:r>
      <w:r w:rsidRPr="000D09A4" w:rsidR="001304B3">
        <w:rPr>
          <w:color w:val="000000"/>
          <w:szCs w:val="18"/>
        </w:rPr>
        <w:t xml:space="preserve">het </w:t>
      </w:r>
      <w:r w:rsidRPr="000D09A4" w:rsidR="00105F20">
        <w:rPr>
          <w:color w:val="000000"/>
          <w:szCs w:val="18"/>
        </w:rPr>
        <w:t xml:space="preserve">toezicht op </w:t>
      </w:r>
      <w:r w:rsidRPr="000D09A4" w:rsidR="00F56CE4">
        <w:rPr>
          <w:color w:val="000000"/>
          <w:szCs w:val="18"/>
        </w:rPr>
        <w:t>de</w:t>
      </w:r>
      <w:r w:rsidRPr="000D09A4" w:rsidR="00105F20">
        <w:rPr>
          <w:color w:val="000000"/>
          <w:szCs w:val="18"/>
        </w:rPr>
        <w:t xml:space="preserve"> pensioen</w:t>
      </w:r>
      <w:r w:rsidRPr="000D09A4" w:rsidR="00F56CE4">
        <w:rPr>
          <w:color w:val="000000"/>
          <w:szCs w:val="18"/>
        </w:rPr>
        <w:t>sector</w:t>
      </w:r>
      <w:r w:rsidRPr="000D09A4" w:rsidR="00105F20">
        <w:rPr>
          <w:color w:val="000000"/>
          <w:szCs w:val="18"/>
        </w:rPr>
        <w:t>.</w:t>
      </w:r>
      <w:r w:rsidRPr="000D09A4" w:rsidR="001C7EAB">
        <w:rPr>
          <w:rStyle w:val="Voetnootmarkering"/>
          <w:color w:val="000000"/>
          <w:szCs w:val="18"/>
        </w:rPr>
        <w:footnoteReference w:id="30"/>
      </w:r>
      <w:r w:rsidRPr="000D09A4" w:rsidR="008054C7">
        <w:rPr>
          <w:color w:val="000000"/>
          <w:szCs w:val="18"/>
        </w:rPr>
        <w:t xml:space="preserve"> </w:t>
      </w:r>
      <w:r w:rsidRPr="000D09A4" w:rsidR="000675E3">
        <w:rPr>
          <w:color w:val="000000"/>
          <w:szCs w:val="18"/>
        </w:rPr>
        <w:t>Hoewel beide ministers formeel hun eigen verantwoordelijkheid hebben, raken deze verantwoordelijkheden elkaar zodat samenwerking gewenst is.</w:t>
      </w:r>
      <w:r w:rsidRPr="000D09A4" w:rsidR="00233694">
        <w:rPr>
          <w:color w:val="000000"/>
          <w:szCs w:val="18"/>
        </w:rPr>
        <w:t xml:space="preserve"> </w:t>
      </w:r>
      <w:r w:rsidRPr="000D09A4" w:rsidR="001C7EAB">
        <w:rPr>
          <w:color w:val="000000"/>
          <w:szCs w:val="18"/>
        </w:rPr>
        <w:t>Hierbij kan in het bijzonder gedacht worden aan afstemming rondom de beoordeling van de begroting en de verantwoording van</w:t>
      </w:r>
      <w:r w:rsidRPr="000D09A4">
        <w:rPr>
          <w:color w:val="000000"/>
          <w:szCs w:val="18"/>
        </w:rPr>
        <w:t xml:space="preserve"> DNB en de AFM</w:t>
      </w:r>
      <w:r w:rsidRPr="000D09A4" w:rsidR="001C7EAB">
        <w:rPr>
          <w:color w:val="000000"/>
          <w:szCs w:val="18"/>
        </w:rPr>
        <w:t xml:space="preserve">, zodat </w:t>
      </w:r>
      <w:r w:rsidRPr="000D09A4">
        <w:rPr>
          <w:rFonts w:eastAsia="Verdana" w:cs="Times New Roman"/>
          <w:szCs w:val="18"/>
        </w:rPr>
        <w:t xml:space="preserve">DNB en de AFM </w:t>
      </w:r>
      <w:r w:rsidRPr="000D09A4" w:rsidR="001C7EAB">
        <w:rPr>
          <w:rFonts w:eastAsia="Verdana" w:cs="Times New Roman"/>
          <w:szCs w:val="18"/>
        </w:rPr>
        <w:t xml:space="preserve">van een gelijktijdig en eensluidend oordeel van beide ministers worden voorzien. </w:t>
      </w:r>
      <w:r w:rsidRPr="000D09A4">
        <w:rPr>
          <w:color w:val="000000"/>
          <w:szCs w:val="18"/>
        </w:rPr>
        <w:t xml:space="preserve">Hiertoe </w:t>
      </w:r>
      <w:r w:rsidRPr="000D09A4" w:rsidR="00233694">
        <w:rPr>
          <w:color w:val="000000"/>
          <w:szCs w:val="18"/>
        </w:rPr>
        <w:t xml:space="preserve">zijn de ministers een protocol </w:t>
      </w:r>
      <w:r w:rsidRPr="000D09A4" w:rsidR="00BB0F8D">
        <w:rPr>
          <w:color w:val="000000"/>
          <w:szCs w:val="18"/>
        </w:rPr>
        <w:t>overeengekomen</w:t>
      </w:r>
      <w:r w:rsidRPr="000D09A4" w:rsidR="00233694">
        <w:rPr>
          <w:color w:val="000000"/>
          <w:szCs w:val="18"/>
        </w:rPr>
        <w:t xml:space="preserve"> </w:t>
      </w:r>
      <w:r w:rsidRPr="000D09A4" w:rsidR="009D4AA6">
        <w:rPr>
          <w:rFonts w:eastAsia="Verdana" w:cs="Times New Roman"/>
          <w:szCs w:val="18"/>
        </w:rPr>
        <w:t xml:space="preserve">waarin </w:t>
      </w:r>
      <w:r w:rsidRPr="000D09A4" w:rsidR="0097038A">
        <w:rPr>
          <w:rFonts w:eastAsia="Verdana" w:cs="Times New Roman"/>
          <w:szCs w:val="18"/>
        </w:rPr>
        <w:t xml:space="preserve">de </w:t>
      </w:r>
      <w:r w:rsidRPr="000D09A4" w:rsidR="00233694">
        <w:rPr>
          <w:rFonts w:eastAsia="Verdana" w:cs="Times New Roman"/>
          <w:szCs w:val="18"/>
        </w:rPr>
        <w:t>afspraken over de</w:t>
      </w:r>
      <w:r w:rsidRPr="000D09A4" w:rsidR="0097038A">
        <w:rPr>
          <w:rFonts w:eastAsia="Verdana" w:cs="Times New Roman"/>
          <w:szCs w:val="18"/>
        </w:rPr>
        <w:t xml:space="preserve"> onderlinge</w:t>
      </w:r>
      <w:r w:rsidRPr="000D09A4" w:rsidR="00233694">
        <w:rPr>
          <w:rFonts w:eastAsia="Verdana" w:cs="Times New Roman"/>
          <w:szCs w:val="18"/>
        </w:rPr>
        <w:t xml:space="preserve"> samenwerking</w:t>
      </w:r>
      <w:r w:rsidRPr="000D09A4" w:rsidR="0097038A">
        <w:rPr>
          <w:rFonts w:eastAsia="Verdana" w:cs="Times New Roman"/>
          <w:szCs w:val="18"/>
        </w:rPr>
        <w:t xml:space="preserve"> zijn neergelegd</w:t>
      </w:r>
      <w:r w:rsidRPr="000D09A4" w:rsidR="00805392">
        <w:rPr>
          <w:rFonts w:eastAsia="Verdana" w:cs="Times New Roman"/>
          <w:szCs w:val="18"/>
        </w:rPr>
        <w:t xml:space="preserve"> (opgenomen in bijlage 3).</w:t>
      </w:r>
    </w:p>
    <w:p w:rsidRPr="000D09A4" w:rsidR="0081694E" w:rsidP="000E0E4B" w:rsidRDefault="0081694E" w14:paraId="1AA57832" w14:textId="77777777">
      <w:pPr>
        <w:spacing w:after="0" w:line="260" w:lineRule="exact"/>
        <w:rPr>
          <w:color w:val="000000"/>
          <w:szCs w:val="18"/>
        </w:rPr>
      </w:pPr>
    </w:p>
    <w:p w:rsidRPr="000D09A4" w:rsidR="0081613E" w:rsidP="00EB0AD0" w:rsidRDefault="0081694E" w14:paraId="5900C85D" w14:textId="5D4AC480">
      <w:pPr>
        <w:spacing w:after="0" w:line="260" w:lineRule="exact"/>
        <w:rPr>
          <w:color w:val="000000"/>
          <w:szCs w:val="18"/>
        </w:rPr>
      </w:pPr>
      <w:r w:rsidRPr="000D09A4">
        <w:rPr>
          <w:color w:val="000000"/>
          <w:szCs w:val="18"/>
        </w:rPr>
        <w:t xml:space="preserve">In het kader van samenwerking in het </w:t>
      </w:r>
      <w:r w:rsidRPr="000D09A4" w:rsidR="00BB0F8D">
        <w:rPr>
          <w:color w:val="000000"/>
          <w:szCs w:val="18"/>
        </w:rPr>
        <w:t>toezicht</w:t>
      </w:r>
      <w:r w:rsidRPr="000D09A4">
        <w:rPr>
          <w:color w:val="000000"/>
          <w:szCs w:val="18"/>
        </w:rPr>
        <w:t xml:space="preserve"> is </w:t>
      </w:r>
      <w:r w:rsidRPr="000D09A4" w:rsidR="00BB0F8D">
        <w:rPr>
          <w:color w:val="000000"/>
          <w:szCs w:val="18"/>
        </w:rPr>
        <w:t xml:space="preserve">daarnaast </w:t>
      </w:r>
      <w:r w:rsidRPr="000D09A4">
        <w:rPr>
          <w:color w:val="000000"/>
          <w:szCs w:val="18"/>
        </w:rPr>
        <w:t xml:space="preserve">de samenwerking </w:t>
      </w:r>
      <w:r w:rsidRPr="000D09A4" w:rsidR="00BB0F8D">
        <w:rPr>
          <w:color w:val="000000"/>
          <w:szCs w:val="18"/>
        </w:rPr>
        <w:t xml:space="preserve">relevant </w:t>
      </w:r>
      <w:r w:rsidRPr="000D09A4">
        <w:rPr>
          <w:color w:val="000000"/>
          <w:szCs w:val="18"/>
        </w:rPr>
        <w:t>tussen</w:t>
      </w:r>
      <w:r w:rsidRPr="000D09A4" w:rsidR="00ED1253">
        <w:rPr>
          <w:color w:val="000000"/>
          <w:szCs w:val="18"/>
        </w:rPr>
        <w:t xml:space="preserve"> de </w:t>
      </w:r>
      <w:r w:rsidRPr="000D09A4" w:rsidR="007D0B45">
        <w:rPr>
          <w:color w:val="000000"/>
          <w:szCs w:val="18"/>
        </w:rPr>
        <w:t xml:space="preserve">verschillende </w:t>
      </w:r>
      <w:r w:rsidRPr="000D09A4" w:rsidR="00ED1253">
        <w:rPr>
          <w:color w:val="000000"/>
          <w:szCs w:val="18"/>
        </w:rPr>
        <w:t xml:space="preserve">onderdelen van het ministerie van </w:t>
      </w:r>
      <w:r w:rsidRPr="000D09A4" w:rsidR="00BF0822">
        <w:rPr>
          <w:color w:val="000000"/>
          <w:szCs w:val="18"/>
        </w:rPr>
        <w:t>Financiën</w:t>
      </w:r>
      <w:r w:rsidRPr="000D09A4" w:rsidR="00ED1253">
        <w:rPr>
          <w:color w:val="000000"/>
          <w:szCs w:val="18"/>
        </w:rPr>
        <w:t xml:space="preserve"> die de rol van eigenaar </w:t>
      </w:r>
      <w:r w:rsidRPr="000D09A4" w:rsidR="009C54BA">
        <w:rPr>
          <w:color w:val="000000"/>
          <w:szCs w:val="18"/>
        </w:rPr>
        <w:t>respectievelijk</w:t>
      </w:r>
      <w:r w:rsidRPr="000D09A4" w:rsidR="00ED1253">
        <w:rPr>
          <w:color w:val="000000"/>
          <w:szCs w:val="18"/>
        </w:rPr>
        <w:t xml:space="preserve"> de r</w:t>
      </w:r>
      <w:r w:rsidRPr="000D09A4" w:rsidR="009C54BA">
        <w:rPr>
          <w:color w:val="000000"/>
          <w:szCs w:val="18"/>
        </w:rPr>
        <w:t xml:space="preserve">ol van opdrachtgever </w:t>
      </w:r>
      <w:r w:rsidRPr="000D09A4" w:rsidR="009B1312">
        <w:rPr>
          <w:color w:val="000000"/>
          <w:szCs w:val="18"/>
        </w:rPr>
        <w:t xml:space="preserve">van DNB en de AFM </w:t>
      </w:r>
      <w:r w:rsidRPr="000D09A4" w:rsidR="009C54BA">
        <w:rPr>
          <w:color w:val="000000"/>
          <w:szCs w:val="18"/>
        </w:rPr>
        <w:t>vervullen.</w:t>
      </w:r>
      <w:r w:rsidRPr="000D09A4" w:rsidR="009B1312">
        <w:rPr>
          <w:color w:val="000000"/>
          <w:szCs w:val="18"/>
        </w:rPr>
        <w:t xml:space="preserve"> </w:t>
      </w:r>
      <w:r w:rsidRPr="000D09A4" w:rsidR="007D0B45">
        <w:rPr>
          <w:color w:val="000000"/>
          <w:szCs w:val="18"/>
        </w:rPr>
        <w:t xml:space="preserve">Voor de invulling hiervan is aangesloten bij de circulaire </w:t>
      </w:r>
      <w:proofErr w:type="spellStart"/>
      <w:r w:rsidRPr="000D09A4" w:rsidR="007D0B45">
        <w:rPr>
          <w:i/>
          <w:color w:val="000000"/>
          <w:szCs w:val="18"/>
        </w:rPr>
        <w:t>Governance</w:t>
      </w:r>
      <w:proofErr w:type="spellEnd"/>
      <w:r w:rsidRPr="000D09A4" w:rsidR="007D0B45">
        <w:rPr>
          <w:i/>
          <w:color w:val="000000"/>
          <w:szCs w:val="18"/>
        </w:rPr>
        <w:t xml:space="preserve"> ten aanzien van </w:t>
      </w:r>
      <w:proofErr w:type="spellStart"/>
      <w:r w:rsidRPr="000D09A4" w:rsidR="008C3A4B">
        <w:rPr>
          <w:i/>
          <w:color w:val="000000"/>
          <w:szCs w:val="18"/>
        </w:rPr>
        <w:t>z</w:t>
      </w:r>
      <w:r w:rsidRPr="000D09A4" w:rsidR="00395087">
        <w:rPr>
          <w:i/>
          <w:color w:val="000000"/>
          <w:szCs w:val="18"/>
        </w:rPr>
        <w:t>bo</w:t>
      </w:r>
      <w:r w:rsidRPr="000D09A4" w:rsidR="007D0B45">
        <w:rPr>
          <w:i/>
          <w:color w:val="000000"/>
          <w:szCs w:val="18"/>
        </w:rPr>
        <w:t>’s</w:t>
      </w:r>
      <w:proofErr w:type="spellEnd"/>
      <w:r w:rsidRPr="000D09A4" w:rsidR="007D0B45">
        <w:rPr>
          <w:color w:val="000000"/>
          <w:szCs w:val="18"/>
        </w:rPr>
        <w:t xml:space="preserve"> </w:t>
      </w:r>
      <w:r w:rsidRPr="000D09A4" w:rsidR="002C2303">
        <w:rPr>
          <w:color w:val="000000"/>
          <w:szCs w:val="18"/>
        </w:rPr>
        <w:t>uit</w:t>
      </w:r>
      <w:r w:rsidRPr="000D09A4" w:rsidR="0097038A">
        <w:rPr>
          <w:color w:val="000000"/>
          <w:szCs w:val="18"/>
        </w:rPr>
        <w:t xml:space="preserve"> 2015.</w:t>
      </w:r>
      <w:r w:rsidRPr="000D09A4" w:rsidR="00ED1253">
        <w:rPr>
          <w:rStyle w:val="Voetnootmarkering"/>
          <w:szCs w:val="18"/>
        </w:rPr>
        <w:footnoteReference w:id="31"/>
      </w:r>
      <w:r w:rsidRPr="000D09A4" w:rsidR="00ED1253">
        <w:rPr>
          <w:szCs w:val="18"/>
        </w:rPr>
        <w:t xml:space="preserve"> Een belangrijk uitgangspunt van deze circulaire is het op </w:t>
      </w:r>
      <w:proofErr w:type="spellStart"/>
      <w:r w:rsidRPr="000D09A4" w:rsidR="00ED1253">
        <w:rPr>
          <w:szCs w:val="18"/>
        </w:rPr>
        <w:t>hoogambtelijk</w:t>
      </w:r>
      <w:proofErr w:type="spellEnd"/>
      <w:r w:rsidRPr="000D09A4" w:rsidR="00ED1253">
        <w:rPr>
          <w:szCs w:val="18"/>
        </w:rPr>
        <w:t xml:space="preserve"> niveau binnen een departement creëren van een functionele scheiding tussen de rol van eigenaar en de rol van opdrachtgever van </w:t>
      </w:r>
      <w:r w:rsidRPr="000D09A4" w:rsidR="009C54BA">
        <w:rPr>
          <w:szCs w:val="18"/>
        </w:rPr>
        <w:t>een</w:t>
      </w:r>
      <w:r w:rsidRPr="000D09A4" w:rsidR="0097038A">
        <w:rPr>
          <w:szCs w:val="18"/>
        </w:rPr>
        <w:t xml:space="preserve"> </w:t>
      </w:r>
      <w:proofErr w:type="spellStart"/>
      <w:r w:rsidRPr="000D09A4" w:rsidR="008C3A4B">
        <w:rPr>
          <w:szCs w:val="18"/>
        </w:rPr>
        <w:t>zbo</w:t>
      </w:r>
      <w:proofErr w:type="spellEnd"/>
      <w:r w:rsidRPr="000D09A4" w:rsidR="009C54BA">
        <w:rPr>
          <w:szCs w:val="18"/>
        </w:rPr>
        <w:t>.</w:t>
      </w:r>
      <w:r w:rsidRPr="000D09A4" w:rsidR="007D0B45">
        <w:rPr>
          <w:szCs w:val="18"/>
        </w:rPr>
        <w:t xml:space="preserve"> </w:t>
      </w:r>
      <w:r w:rsidRPr="000D09A4" w:rsidR="00ED1253">
        <w:rPr>
          <w:szCs w:val="18"/>
        </w:rPr>
        <w:t xml:space="preserve">Binnen het ministerie van Financiën is het toezicht op DNB en de AFM mede aan de hand van </w:t>
      </w:r>
      <w:r w:rsidRPr="000D09A4" w:rsidR="007D0B45">
        <w:rPr>
          <w:szCs w:val="18"/>
        </w:rPr>
        <w:t xml:space="preserve">dit </w:t>
      </w:r>
      <w:r w:rsidRPr="000D09A4" w:rsidR="00ED1253">
        <w:rPr>
          <w:szCs w:val="18"/>
        </w:rPr>
        <w:t>uitgangspunt vormgegeven</w:t>
      </w:r>
      <w:r w:rsidRPr="000D09A4" w:rsidR="00502A8F">
        <w:rPr>
          <w:szCs w:val="18"/>
        </w:rPr>
        <w:t xml:space="preserve">: het </w:t>
      </w:r>
      <w:r w:rsidRPr="000D09A4" w:rsidR="00A55A6A">
        <w:rPr>
          <w:szCs w:val="18"/>
        </w:rPr>
        <w:t>opdrachtgeverschap is neergelegd bij de directie Financiële Markten (onderdeel van de Generale Thesaurie)</w:t>
      </w:r>
      <w:r w:rsidRPr="000D09A4" w:rsidR="00B06FDD">
        <w:rPr>
          <w:szCs w:val="18"/>
        </w:rPr>
        <w:t>,</w:t>
      </w:r>
      <w:r w:rsidRPr="000D09A4" w:rsidR="00055487">
        <w:rPr>
          <w:rStyle w:val="Voetnootmarkering"/>
          <w:szCs w:val="18"/>
        </w:rPr>
        <w:footnoteReference w:id="32"/>
      </w:r>
      <w:r w:rsidRPr="000D09A4" w:rsidR="007D0B45">
        <w:rPr>
          <w:szCs w:val="18"/>
        </w:rPr>
        <w:t xml:space="preserve"> en het eigenaarschap is belegd bij de </w:t>
      </w:r>
      <w:r w:rsidRPr="000D09A4" w:rsidR="007D0B45">
        <w:rPr>
          <w:color w:val="000000"/>
          <w:szCs w:val="18"/>
        </w:rPr>
        <w:t>secretaris-generaal</w:t>
      </w:r>
      <w:r w:rsidRPr="000D09A4" w:rsidR="007D0B45">
        <w:rPr>
          <w:szCs w:val="18"/>
        </w:rPr>
        <w:t xml:space="preserve"> van het </w:t>
      </w:r>
      <w:r w:rsidRPr="000D09A4" w:rsidR="008E54EA">
        <w:rPr>
          <w:szCs w:val="18"/>
        </w:rPr>
        <w:t>ministerie van Financiën</w:t>
      </w:r>
      <w:r w:rsidRPr="000D09A4" w:rsidR="007D0B45">
        <w:rPr>
          <w:szCs w:val="18"/>
        </w:rPr>
        <w:t xml:space="preserve">. </w:t>
      </w:r>
      <w:r w:rsidRPr="000D09A4" w:rsidR="009C54BA">
        <w:rPr>
          <w:szCs w:val="18"/>
        </w:rPr>
        <w:t xml:space="preserve">De directie </w:t>
      </w:r>
      <w:r w:rsidRPr="000D09A4" w:rsidR="007D0B45">
        <w:rPr>
          <w:szCs w:val="18"/>
        </w:rPr>
        <w:t xml:space="preserve">Financiële Markten </w:t>
      </w:r>
      <w:r w:rsidRPr="000D09A4" w:rsidR="009C54BA">
        <w:rPr>
          <w:szCs w:val="18"/>
        </w:rPr>
        <w:t>houdt</w:t>
      </w:r>
      <w:r w:rsidRPr="000D09A4" w:rsidR="00A55A6A">
        <w:rPr>
          <w:szCs w:val="18"/>
        </w:rPr>
        <w:t xml:space="preserve"> zich als opdrachtgever met name bezig met de taken die aan</w:t>
      </w:r>
      <w:r w:rsidRPr="000D09A4" w:rsidR="007D0B45">
        <w:rPr>
          <w:szCs w:val="18"/>
        </w:rPr>
        <w:t xml:space="preserve"> DNB en</w:t>
      </w:r>
      <w:r w:rsidRPr="000D09A4" w:rsidR="00A55A6A">
        <w:rPr>
          <w:szCs w:val="18"/>
        </w:rPr>
        <w:t xml:space="preserve"> de AFM zijn toebedeeld en </w:t>
      </w:r>
      <w:r w:rsidRPr="000D09A4" w:rsidR="003931E8">
        <w:rPr>
          <w:szCs w:val="18"/>
        </w:rPr>
        <w:t xml:space="preserve">is </w:t>
      </w:r>
      <w:r w:rsidRPr="000D09A4" w:rsidR="00A55A6A">
        <w:rPr>
          <w:szCs w:val="18"/>
        </w:rPr>
        <w:t>beleidsverantwoordelijk voor de wetgeving waarin deze taken zijn neergelegd</w:t>
      </w:r>
      <w:r w:rsidRPr="000D09A4" w:rsidR="003931E8">
        <w:rPr>
          <w:szCs w:val="18"/>
        </w:rPr>
        <w:t xml:space="preserve">. </w:t>
      </w:r>
      <w:r w:rsidRPr="000D09A4" w:rsidR="007D0B45">
        <w:rPr>
          <w:szCs w:val="18"/>
        </w:rPr>
        <w:t>D</w:t>
      </w:r>
      <w:r w:rsidRPr="000D09A4" w:rsidR="00A55A6A">
        <w:rPr>
          <w:szCs w:val="18"/>
        </w:rPr>
        <w:t xml:space="preserve">e secretaris-generaal </w:t>
      </w:r>
      <w:r w:rsidRPr="000D09A4" w:rsidR="007D0B45">
        <w:rPr>
          <w:szCs w:val="18"/>
        </w:rPr>
        <w:t xml:space="preserve">houdt </w:t>
      </w:r>
      <w:r w:rsidRPr="000D09A4" w:rsidR="00A55A6A">
        <w:rPr>
          <w:szCs w:val="18"/>
        </w:rPr>
        <w:t xml:space="preserve">zich </w:t>
      </w:r>
      <w:r w:rsidRPr="000D09A4" w:rsidR="007D0B45">
        <w:rPr>
          <w:szCs w:val="18"/>
        </w:rPr>
        <w:t xml:space="preserve">als eigenaar </w:t>
      </w:r>
      <w:r w:rsidRPr="000D09A4" w:rsidR="00BB0F8D">
        <w:rPr>
          <w:szCs w:val="18"/>
        </w:rPr>
        <w:t xml:space="preserve">vooral </w:t>
      </w:r>
      <w:r w:rsidRPr="000D09A4" w:rsidR="00A55A6A">
        <w:rPr>
          <w:szCs w:val="18"/>
        </w:rPr>
        <w:t>bezig met de bedrijfsmatige en beheersmatige aspecten van het toezicht op</w:t>
      </w:r>
      <w:r w:rsidRPr="000D09A4" w:rsidR="007D0B45">
        <w:rPr>
          <w:szCs w:val="18"/>
        </w:rPr>
        <w:t xml:space="preserve"> DNB en de AFM</w:t>
      </w:r>
      <w:r w:rsidRPr="000D09A4" w:rsidR="007A4FCE">
        <w:rPr>
          <w:szCs w:val="18"/>
        </w:rPr>
        <w:t>, en is aanspreekbaar op vraagstukken die DNB en de AFM als organisatie betreffen</w:t>
      </w:r>
      <w:r w:rsidRPr="000D09A4" w:rsidR="00A55A6A">
        <w:rPr>
          <w:szCs w:val="18"/>
        </w:rPr>
        <w:t>.</w:t>
      </w:r>
      <w:r w:rsidRPr="000D09A4" w:rsidR="00D07C8D">
        <w:rPr>
          <w:szCs w:val="18"/>
        </w:rPr>
        <w:t xml:space="preserve"> Daarnaast heeft de secretaris-generaal als eigenaar oog voor de kwaliteit en de effectiviteit van </w:t>
      </w:r>
      <w:r w:rsidRPr="000D09A4" w:rsidR="00A52889">
        <w:rPr>
          <w:szCs w:val="18"/>
        </w:rPr>
        <w:t xml:space="preserve">de </w:t>
      </w:r>
      <w:r w:rsidRPr="000D09A4" w:rsidR="00D07C8D">
        <w:rPr>
          <w:szCs w:val="18"/>
        </w:rPr>
        <w:t xml:space="preserve">taakuitvoering door de </w:t>
      </w:r>
      <w:proofErr w:type="spellStart"/>
      <w:r w:rsidRPr="000D09A4" w:rsidR="00D07C8D">
        <w:rPr>
          <w:szCs w:val="18"/>
        </w:rPr>
        <w:t>zbo’s</w:t>
      </w:r>
      <w:proofErr w:type="spellEnd"/>
      <w:r w:rsidRPr="000D09A4" w:rsidR="00D07C8D">
        <w:rPr>
          <w:szCs w:val="18"/>
        </w:rPr>
        <w:t xml:space="preserve"> en de daarmee gepaard gaande middelen.</w:t>
      </w:r>
      <w:r w:rsidRPr="000D09A4" w:rsidR="00A55A6A">
        <w:rPr>
          <w:szCs w:val="18"/>
        </w:rPr>
        <w:t xml:space="preserve"> </w:t>
      </w:r>
      <w:r w:rsidRPr="000D09A4" w:rsidR="00502A8F">
        <w:rPr>
          <w:szCs w:val="18"/>
        </w:rPr>
        <w:t xml:space="preserve">In paragraaf </w:t>
      </w:r>
      <w:r w:rsidRPr="000D09A4" w:rsidR="00F56FD6">
        <w:rPr>
          <w:szCs w:val="18"/>
        </w:rPr>
        <w:t>3.2</w:t>
      </w:r>
      <w:r w:rsidRPr="000D09A4" w:rsidR="00502A8F">
        <w:rPr>
          <w:szCs w:val="18"/>
        </w:rPr>
        <w:t xml:space="preserve"> van het toezichtarrangement wordt nader ingegaan op deze functionele scheiding. </w:t>
      </w:r>
      <w:r w:rsidRPr="000D09A4" w:rsidR="00F56FD6">
        <w:rPr>
          <w:szCs w:val="18"/>
        </w:rPr>
        <w:t xml:space="preserve">Relevant </w:t>
      </w:r>
      <w:r w:rsidRPr="000D09A4" w:rsidR="00BB0F8D">
        <w:rPr>
          <w:szCs w:val="18"/>
        </w:rPr>
        <w:t>op deze plaats</w:t>
      </w:r>
      <w:r w:rsidRPr="000D09A4" w:rsidR="00F901C0">
        <w:rPr>
          <w:szCs w:val="18"/>
        </w:rPr>
        <w:t xml:space="preserve"> is</w:t>
      </w:r>
      <w:r w:rsidRPr="000D09A4" w:rsidR="00F56FD6">
        <w:rPr>
          <w:szCs w:val="18"/>
        </w:rPr>
        <w:t xml:space="preserve"> vooral </w:t>
      </w:r>
      <w:r w:rsidRPr="000D09A4" w:rsidR="001D7BB9">
        <w:rPr>
          <w:szCs w:val="18"/>
        </w:rPr>
        <w:t>dat de</w:t>
      </w:r>
      <w:r w:rsidRPr="000D09A4" w:rsidR="00F56FD6">
        <w:rPr>
          <w:szCs w:val="18"/>
        </w:rPr>
        <w:t xml:space="preserve"> </w:t>
      </w:r>
      <w:r w:rsidRPr="000D09A4" w:rsidR="007D0B45">
        <w:rPr>
          <w:szCs w:val="18"/>
        </w:rPr>
        <w:t xml:space="preserve">opdrachtgever </w:t>
      </w:r>
      <w:r w:rsidRPr="000D09A4" w:rsidR="001D7BB9">
        <w:rPr>
          <w:szCs w:val="18"/>
        </w:rPr>
        <w:t xml:space="preserve">en de </w:t>
      </w:r>
      <w:r w:rsidRPr="000D09A4" w:rsidR="007D0B45">
        <w:rPr>
          <w:szCs w:val="18"/>
        </w:rPr>
        <w:t xml:space="preserve">eigenaar </w:t>
      </w:r>
      <w:r w:rsidRPr="000D09A4" w:rsidR="001D7BB9">
        <w:rPr>
          <w:szCs w:val="18"/>
        </w:rPr>
        <w:t xml:space="preserve">in het uitvoeringstoezicht op DNB en de AFM </w:t>
      </w:r>
      <w:r w:rsidRPr="000D09A4" w:rsidR="0053477D">
        <w:rPr>
          <w:szCs w:val="18"/>
        </w:rPr>
        <w:t xml:space="preserve">actief </w:t>
      </w:r>
      <w:r w:rsidRPr="000D09A4" w:rsidR="001D7BB9">
        <w:rPr>
          <w:szCs w:val="18"/>
        </w:rPr>
        <w:t xml:space="preserve">samenwerken op gebieden die raken aan zowel </w:t>
      </w:r>
      <w:r w:rsidRPr="000D09A4" w:rsidR="0053477D">
        <w:rPr>
          <w:szCs w:val="18"/>
        </w:rPr>
        <w:t>het opdracht</w:t>
      </w:r>
      <w:r w:rsidRPr="000D09A4" w:rsidR="00BB0F8D">
        <w:rPr>
          <w:szCs w:val="18"/>
        </w:rPr>
        <w:t xml:space="preserve">- </w:t>
      </w:r>
      <w:r w:rsidRPr="000D09A4" w:rsidR="007D0B45">
        <w:rPr>
          <w:szCs w:val="18"/>
        </w:rPr>
        <w:t>als het eigenaarschap</w:t>
      </w:r>
      <w:r w:rsidRPr="000D09A4" w:rsidR="0053477D">
        <w:rPr>
          <w:szCs w:val="18"/>
        </w:rPr>
        <w:t xml:space="preserve">. Zo heeft bijvoorbeeld het toebedelen van een nieuwe taak aan </w:t>
      </w:r>
      <w:r w:rsidRPr="000D09A4" w:rsidR="00F901C0">
        <w:rPr>
          <w:szCs w:val="18"/>
        </w:rPr>
        <w:t>DNB en de A</w:t>
      </w:r>
      <w:r w:rsidRPr="000D09A4" w:rsidR="007D0B45">
        <w:rPr>
          <w:szCs w:val="18"/>
        </w:rPr>
        <w:t xml:space="preserve">FM </w:t>
      </w:r>
      <w:r w:rsidRPr="000D09A4" w:rsidR="0053477D">
        <w:rPr>
          <w:szCs w:val="18"/>
        </w:rPr>
        <w:t xml:space="preserve">gevolgen </w:t>
      </w:r>
      <w:r w:rsidRPr="000D09A4" w:rsidR="00617D21">
        <w:rPr>
          <w:szCs w:val="18"/>
        </w:rPr>
        <w:t xml:space="preserve">voor zowel </w:t>
      </w:r>
      <w:r w:rsidRPr="000D09A4" w:rsidR="0053477D">
        <w:rPr>
          <w:szCs w:val="18"/>
        </w:rPr>
        <w:t xml:space="preserve">de wetgeving waarin deze taak </w:t>
      </w:r>
      <w:r w:rsidRPr="000D09A4" w:rsidR="0097038A">
        <w:rPr>
          <w:szCs w:val="18"/>
        </w:rPr>
        <w:t>wordt neergelegd</w:t>
      </w:r>
      <w:r w:rsidRPr="000D09A4" w:rsidR="007D0B45">
        <w:rPr>
          <w:szCs w:val="18"/>
        </w:rPr>
        <w:t>,</w:t>
      </w:r>
      <w:r w:rsidRPr="000D09A4" w:rsidR="0053477D">
        <w:rPr>
          <w:szCs w:val="18"/>
        </w:rPr>
        <w:t xml:space="preserve"> als voor de beg</w:t>
      </w:r>
      <w:r w:rsidRPr="000D09A4" w:rsidR="00617D21">
        <w:rPr>
          <w:szCs w:val="18"/>
        </w:rPr>
        <w:t>roting van</w:t>
      </w:r>
      <w:r w:rsidRPr="000D09A4" w:rsidR="007D0B45">
        <w:rPr>
          <w:szCs w:val="18"/>
        </w:rPr>
        <w:t xml:space="preserve"> de </w:t>
      </w:r>
      <w:proofErr w:type="spellStart"/>
      <w:r w:rsidRPr="000D09A4" w:rsidR="008C3A4B">
        <w:rPr>
          <w:szCs w:val="18"/>
        </w:rPr>
        <w:t>zbo</w:t>
      </w:r>
      <w:r w:rsidRPr="000D09A4" w:rsidR="007D0B45">
        <w:rPr>
          <w:szCs w:val="18"/>
        </w:rPr>
        <w:t>’s</w:t>
      </w:r>
      <w:proofErr w:type="spellEnd"/>
      <w:r w:rsidRPr="000D09A4" w:rsidR="00617D21">
        <w:rPr>
          <w:szCs w:val="18"/>
        </w:rPr>
        <w:t>.</w:t>
      </w:r>
      <w:r w:rsidRPr="000D09A4" w:rsidR="00E773D5">
        <w:rPr>
          <w:szCs w:val="18"/>
        </w:rPr>
        <w:t xml:space="preserve"> Nu wetgeving een onderwerp is waarmee de opdrachtgever zich bezighoudt en de begroting vooral op het terrein van de eigenaar ligt, is samenwerking hier belangrijk.</w:t>
      </w:r>
      <w:r w:rsidRPr="000D09A4" w:rsidR="00F65C18">
        <w:rPr>
          <w:rStyle w:val="Voetnootmarkering"/>
          <w:szCs w:val="18"/>
        </w:rPr>
        <w:footnoteReference w:id="33"/>
      </w:r>
    </w:p>
    <w:p w:rsidRPr="000D09A4" w:rsidR="00CE0E40" w:rsidP="00CE0E40" w:rsidRDefault="00CE0E40" w14:paraId="0E138C74" w14:textId="77777777">
      <w:pPr>
        <w:pStyle w:val="kop02"/>
      </w:pPr>
      <w:bookmarkStart w:name="_Toc6298693" w:id="20"/>
      <w:bookmarkStart w:name="_Toc6560026" w:id="21"/>
      <w:r w:rsidRPr="000D09A4">
        <w:rPr>
          <w:rStyle w:val="Subtieleverwijzing"/>
        </w:rPr>
        <w:t>3.4</w:t>
      </w:r>
      <w:r w:rsidRPr="000D09A4">
        <w:rPr>
          <w:rStyle w:val="Subtieleverwijzing"/>
        </w:rPr>
        <w:tab/>
        <w:t>Onafhankelijk</w:t>
      </w:r>
      <w:bookmarkEnd w:id="20"/>
      <w:bookmarkEnd w:id="21"/>
      <w:r w:rsidRPr="000D09A4">
        <w:rPr>
          <w:rStyle w:val="Subtieleverwijzing"/>
        </w:rPr>
        <w:t xml:space="preserve"> </w:t>
      </w:r>
    </w:p>
    <w:p w:rsidRPr="000D09A4" w:rsidR="00022E0C" w:rsidP="00EB0AD0" w:rsidRDefault="00022E0C" w14:paraId="1EFFEA80" w14:textId="77777777">
      <w:pPr>
        <w:spacing w:after="0" w:line="260" w:lineRule="exact"/>
        <w:rPr>
          <w:rFonts w:eastAsia="Arial Unicode MS" w:cs="Arial"/>
          <w:szCs w:val="18"/>
        </w:rPr>
      </w:pPr>
      <w:r w:rsidRPr="000D09A4">
        <w:rPr>
          <w:rFonts w:eastAsia="Arial Unicode MS" w:cs="Arial"/>
          <w:szCs w:val="18"/>
        </w:rPr>
        <w:t xml:space="preserve">De </w:t>
      </w:r>
      <w:proofErr w:type="spellStart"/>
      <w:r w:rsidRPr="000D09A4" w:rsidR="0097038A">
        <w:rPr>
          <w:szCs w:val="18"/>
        </w:rPr>
        <w:t>k</w:t>
      </w:r>
      <w:r w:rsidRPr="000D09A4" w:rsidR="003F4AFB">
        <w:rPr>
          <w:szCs w:val="18"/>
        </w:rPr>
        <w:t>aderstellende</w:t>
      </w:r>
      <w:proofErr w:type="spellEnd"/>
      <w:r w:rsidRPr="000D09A4" w:rsidR="003F4AFB">
        <w:rPr>
          <w:szCs w:val="18"/>
        </w:rPr>
        <w:t xml:space="preserve"> </w:t>
      </w:r>
      <w:r w:rsidRPr="000D09A4" w:rsidR="0097038A">
        <w:rPr>
          <w:szCs w:val="18"/>
        </w:rPr>
        <w:t>v</w:t>
      </w:r>
      <w:r w:rsidRPr="000D09A4" w:rsidR="003F4AFB">
        <w:rPr>
          <w:szCs w:val="18"/>
        </w:rPr>
        <w:t xml:space="preserve">isie op </w:t>
      </w:r>
      <w:r w:rsidRPr="000D09A4" w:rsidR="0097038A">
        <w:rPr>
          <w:szCs w:val="18"/>
        </w:rPr>
        <w:t>t</w:t>
      </w:r>
      <w:r w:rsidRPr="000D09A4" w:rsidR="003F4AFB">
        <w:rPr>
          <w:szCs w:val="18"/>
        </w:rPr>
        <w:t xml:space="preserve">oezicht </w:t>
      </w:r>
      <w:r w:rsidRPr="000D09A4">
        <w:rPr>
          <w:rFonts w:eastAsia="Arial Unicode MS" w:cs="Arial"/>
          <w:szCs w:val="18"/>
        </w:rPr>
        <w:t xml:space="preserve">stelt </w:t>
      </w:r>
      <w:r w:rsidRPr="000D09A4" w:rsidR="00F901C0">
        <w:rPr>
          <w:rFonts w:eastAsia="Arial Unicode MS" w:cs="Arial"/>
          <w:szCs w:val="18"/>
        </w:rPr>
        <w:t xml:space="preserve">in de vierde plaats </w:t>
      </w:r>
      <w:r w:rsidRPr="000D09A4">
        <w:rPr>
          <w:rFonts w:eastAsia="Arial Unicode MS" w:cs="Arial"/>
          <w:szCs w:val="18"/>
        </w:rPr>
        <w:t xml:space="preserve">dat toezicht onafhankelijk dient te zijn. </w:t>
      </w:r>
      <w:r w:rsidRPr="000D09A4" w:rsidR="00DD56EB">
        <w:rPr>
          <w:rFonts w:eastAsia="Arial Unicode MS" w:cs="Arial"/>
          <w:szCs w:val="18"/>
        </w:rPr>
        <w:t>Dit principe wordt als volgt omschreven</w:t>
      </w:r>
      <w:r w:rsidRPr="000D09A4">
        <w:rPr>
          <w:rFonts w:eastAsia="Arial Unicode MS" w:cs="Arial"/>
          <w:szCs w:val="18"/>
        </w:rPr>
        <w:t>:</w:t>
      </w:r>
    </w:p>
    <w:p w:rsidRPr="000D09A4" w:rsidR="00F901C0" w:rsidP="00DC6BAA" w:rsidRDefault="00F901C0" w14:paraId="5AD3F85B" w14:textId="77777777">
      <w:pPr>
        <w:spacing w:after="0" w:line="260" w:lineRule="exact"/>
        <w:rPr>
          <w:i/>
          <w:szCs w:val="18"/>
        </w:rPr>
      </w:pPr>
    </w:p>
    <w:p w:rsidRPr="000D09A4" w:rsidR="00FF513F" w:rsidP="00F901C0" w:rsidRDefault="00FF513F" w14:paraId="10EB9C52" w14:textId="77777777">
      <w:pPr>
        <w:spacing w:after="0" w:line="260" w:lineRule="exact"/>
        <w:ind w:left="708"/>
        <w:rPr>
          <w:sz w:val="16"/>
          <w:szCs w:val="16"/>
        </w:rPr>
      </w:pPr>
      <w:r w:rsidRPr="000D09A4">
        <w:rPr>
          <w:sz w:val="16"/>
          <w:szCs w:val="16"/>
        </w:rPr>
        <w:t>“De samenleving moet erop kunnen vertrouwen dat toezicht zoveel mogelijk onafhankelijk wordt uitgeoefend. Het principe van onafhankelijk toezicht houdt in dat toezichthouders de drie kernactiviteiten van toezicht, te weten informatie verzamelen, oordelen en interveniëren zonder ongeoorloofde beïnvloeding (...) kunnen verrichten”.</w:t>
      </w:r>
      <w:r w:rsidRPr="000D09A4">
        <w:rPr>
          <w:sz w:val="16"/>
          <w:szCs w:val="16"/>
          <w:vertAlign w:val="superscript"/>
        </w:rPr>
        <w:footnoteReference w:id="34"/>
      </w:r>
    </w:p>
    <w:p w:rsidRPr="000D09A4" w:rsidR="00FF513F" w:rsidP="00DC6BAA" w:rsidRDefault="00FF513F" w14:paraId="39D8A06D" w14:textId="77777777">
      <w:pPr>
        <w:spacing w:after="0" w:line="260" w:lineRule="exact"/>
        <w:rPr>
          <w:color w:val="000000"/>
          <w:szCs w:val="18"/>
        </w:rPr>
      </w:pPr>
    </w:p>
    <w:p w:rsidRPr="000D09A4" w:rsidR="00012BA9" w:rsidP="00DC6BAA" w:rsidRDefault="005534AE" w14:paraId="468F36A3" w14:textId="54BBF75C">
      <w:pPr>
        <w:spacing w:after="0" w:line="260" w:lineRule="exact"/>
        <w:rPr>
          <w:szCs w:val="18"/>
        </w:rPr>
      </w:pPr>
      <w:r w:rsidRPr="000D09A4">
        <w:rPr>
          <w:rFonts w:eastAsia="Arial Unicode MS" w:cs="Arial"/>
          <w:szCs w:val="18"/>
        </w:rPr>
        <w:t xml:space="preserve">Voor de invulling van dit principe is van belang </w:t>
      </w:r>
      <w:r w:rsidRPr="000D09A4" w:rsidR="0097038A">
        <w:rPr>
          <w:rFonts w:eastAsia="Arial Unicode MS" w:cs="Arial"/>
          <w:szCs w:val="18"/>
        </w:rPr>
        <w:t xml:space="preserve">wat </w:t>
      </w:r>
      <w:r w:rsidRPr="000D09A4" w:rsidR="00F901C0">
        <w:rPr>
          <w:rFonts w:eastAsia="Arial Unicode MS" w:cs="Arial"/>
          <w:szCs w:val="18"/>
        </w:rPr>
        <w:t xml:space="preserve">hiervoor </w:t>
      </w:r>
      <w:r w:rsidRPr="000D09A4">
        <w:rPr>
          <w:rFonts w:eastAsia="Arial Unicode MS" w:cs="Arial"/>
          <w:szCs w:val="18"/>
        </w:rPr>
        <w:t xml:space="preserve">al </w:t>
      </w:r>
      <w:r w:rsidRPr="000D09A4" w:rsidR="00F901C0">
        <w:rPr>
          <w:rFonts w:eastAsia="Arial Unicode MS" w:cs="Arial"/>
          <w:szCs w:val="18"/>
        </w:rPr>
        <w:t xml:space="preserve">is </w:t>
      </w:r>
      <w:r w:rsidRPr="000D09A4">
        <w:rPr>
          <w:rFonts w:eastAsia="Arial Unicode MS" w:cs="Arial"/>
          <w:szCs w:val="18"/>
        </w:rPr>
        <w:t>opgemerkt over de onafhankelijke positi</w:t>
      </w:r>
      <w:r w:rsidRPr="000D09A4" w:rsidR="002001A7">
        <w:rPr>
          <w:rFonts w:eastAsia="Arial Unicode MS" w:cs="Arial"/>
          <w:szCs w:val="18"/>
        </w:rPr>
        <w:t>onering</w:t>
      </w:r>
      <w:r w:rsidRPr="000D09A4">
        <w:rPr>
          <w:rFonts w:eastAsia="Arial Unicode MS" w:cs="Arial"/>
          <w:szCs w:val="18"/>
        </w:rPr>
        <w:t xml:space="preserve"> van </w:t>
      </w:r>
      <w:r w:rsidRPr="000D09A4" w:rsidR="00F901C0">
        <w:rPr>
          <w:rFonts w:eastAsia="Arial Unicode MS" w:cs="Arial"/>
          <w:szCs w:val="18"/>
        </w:rPr>
        <w:t>DNB en de AFM</w:t>
      </w:r>
      <w:r w:rsidRPr="000D09A4">
        <w:rPr>
          <w:rFonts w:eastAsia="Arial Unicode MS" w:cs="Arial"/>
          <w:szCs w:val="18"/>
        </w:rPr>
        <w:t xml:space="preserve">: </w:t>
      </w:r>
      <w:r w:rsidRPr="000D09A4" w:rsidR="00F901C0">
        <w:rPr>
          <w:rFonts w:eastAsia="Arial Unicode MS" w:cs="Arial"/>
          <w:szCs w:val="18"/>
        </w:rPr>
        <w:t>zij</w:t>
      </w:r>
      <w:r w:rsidRPr="000D09A4">
        <w:rPr>
          <w:rFonts w:eastAsia="Arial Unicode MS" w:cs="Arial"/>
          <w:szCs w:val="18"/>
        </w:rPr>
        <w:t xml:space="preserve"> </w:t>
      </w:r>
      <w:r w:rsidRPr="000D09A4">
        <w:rPr>
          <w:color w:val="000000"/>
          <w:szCs w:val="18"/>
        </w:rPr>
        <w:t xml:space="preserve">zijn </w:t>
      </w:r>
      <w:r w:rsidRPr="000D09A4" w:rsidR="00AD4E4A">
        <w:rPr>
          <w:rFonts w:eastAsia="Arial Unicode MS" w:cs="Arial"/>
          <w:szCs w:val="18"/>
        </w:rPr>
        <w:t xml:space="preserve">als </w:t>
      </w:r>
      <w:proofErr w:type="spellStart"/>
      <w:r w:rsidRPr="000D09A4" w:rsidR="00AD4E4A">
        <w:rPr>
          <w:rFonts w:eastAsia="Arial Unicode MS" w:cs="Arial"/>
          <w:szCs w:val="18"/>
        </w:rPr>
        <w:t>zbo’s</w:t>
      </w:r>
      <w:proofErr w:type="spellEnd"/>
      <w:r w:rsidRPr="000D09A4" w:rsidR="00AD4E4A">
        <w:rPr>
          <w:rFonts w:eastAsia="Arial Unicode MS" w:cs="Arial"/>
          <w:szCs w:val="18"/>
        </w:rPr>
        <w:t xml:space="preserve"> </w:t>
      </w:r>
      <w:r w:rsidRPr="000D09A4" w:rsidR="00AD4E4A">
        <w:rPr>
          <w:color w:val="000000"/>
          <w:szCs w:val="18"/>
        </w:rPr>
        <w:t xml:space="preserve">niet ondergeschikt aan de </w:t>
      </w:r>
      <w:r w:rsidRPr="000D09A4" w:rsidR="00773353">
        <w:rPr>
          <w:color w:val="000000"/>
          <w:szCs w:val="18"/>
        </w:rPr>
        <w:t xml:space="preserve">minister </w:t>
      </w:r>
      <w:r w:rsidRPr="000D09A4" w:rsidR="00AD4E4A">
        <w:rPr>
          <w:color w:val="000000"/>
          <w:szCs w:val="18"/>
        </w:rPr>
        <w:t>van Financiën</w:t>
      </w:r>
      <w:r w:rsidRPr="000D09A4" w:rsidR="002001A7">
        <w:rPr>
          <w:color w:val="000000"/>
          <w:szCs w:val="18"/>
        </w:rPr>
        <w:t xml:space="preserve">, waarbij </w:t>
      </w:r>
      <w:r w:rsidRPr="000D09A4" w:rsidR="00E038E9">
        <w:rPr>
          <w:color w:val="000000"/>
          <w:szCs w:val="18"/>
        </w:rPr>
        <w:t xml:space="preserve">van belang is dat het motief om DNB en de AFM als </w:t>
      </w:r>
      <w:proofErr w:type="spellStart"/>
      <w:r w:rsidRPr="000D09A4" w:rsidR="00E038E9">
        <w:rPr>
          <w:color w:val="000000"/>
          <w:szCs w:val="18"/>
        </w:rPr>
        <w:t>zbo’s</w:t>
      </w:r>
      <w:proofErr w:type="spellEnd"/>
      <w:r w:rsidRPr="000D09A4" w:rsidR="00E038E9">
        <w:rPr>
          <w:color w:val="000000"/>
          <w:szCs w:val="18"/>
        </w:rPr>
        <w:t xml:space="preserve"> vorm te geven juist gelegen </w:t>
      </w:r>
      <w:r w:rsidRPr="000D09A4" w:rsidR="00773353">
        <w:rPr>
          <w:color w:val="000000"/>
          <w:szCs w:val="18"/>
        </w:rPr>
        <w:t xml:space="preserve">is </w:t>
      </w:r>
      <w:r w:rsidRPr="000D09A4" w:rsidR="00E038E9">
        <w:rPr>
          <w:color w:val="000000"/>
          <w:szCs w:val="18"/>
        </w:rPr>
        <w:t xml:space="preserve">in de </w:t>
      </w:r>
      <w:r w:rsidRPr="000D09A4" w:rsidR="002001A7">
        <w:rPr>
          <w:color w:val="000000"/>
          <w:szCs w:val="18"/>
        </w:rPr>
        <w:t xml:space="preserve">onafhankelijke </w:t>
      </w:r>
      <w:r w:rsidRPr="000D09A4" w:rsidR="00E038E9">
        <w:rPr>
          <w:color w:val="000000"/>
          <w:szCs w:val="18"/>
        </w:rPr>
        <w:t xml:space="preserve">uitoefening van taken en bevoegdheden (onafhankelijkheidsmotief). </w:t>
      </w:r>
      <w:r w:rsidRPr="000D09A4" w:rsidR="002001A7">
        <w:rPr>
          <w:szCs w:val="18"/>
        </w:rPr>
        <w:t>Onafhankelijkheid van financieel toezichthouders ten opzichte van politieke organen is bovendien een internationaal erkende toezichtstandaard.</w:t>
      </w:r>
      <w:r w:rsidRPr="000D09A4" w:rsidR="00F65C18">
        <w:rPr>
          <w:rStyle w:val="Voetnootmarkering"/>
          <w:szCs w:val="18"/>
        </w:rPr>
        <w:footnoteReference w:id="35"/>
      </w:r>
      <w:r w:rsidRPr="000D09A4" w:rsidR="002001A7">
        <w:rPr>
          <w:szCs w:val="18"/>
        </w:rPr>
        <w:t xml:space="preserve"> </w:t>
      </w:r>
      <w:r w:rsidRPr="000D09A4">
        <w:rPr>
          <w:rFonts w:eastAsia="Arial Unicode MS" w:cs="Arial"/>
          <w:szCs w:val="18"/>
        </w:rPr>
        <w:t xml:space="preserve">De verantwoordelijkheid van de minister ziet </w:t>
      </w:r>
      <w:r w:rsidRPr="000D09A4">
        <w:rPr>
          <w:szCs w:val="18"/>
        </w:rPr>
        <w:t>op het functioneren van het toezichtsysteem als geheel</w:t>
      </w:r>
      <w:r w:rsidRPr="000D09A4" w:rsidR="00F901C0">
        <w:rPr>
          <w:szCs w:val="18"/>
        </w:rPr>
        <w:t>,</w:t>
      </w:r>
      <w:r w:rsidRPr="000D09A4">
        <w:rPr>
          <w:szCs w:val="18"/>
        </w:rPr>
        <w:t xml:space="preserve"> dat wil zeggen de instelling en inrichting van het toezicht als zodanig en het functioneren van </w:t>
      </w:r>
      <w:r w:rsidRPr="000D09A4" w:rsidR="00F901C0">
        <w:rPr>
          <w:szCs w:val="18"/>
        </w:rPr>
        <w:t xml:space="preserve">DNB en </w:t>
      </w:r>
      <w:r w:rsidRPr="000D09A4">
        <w:rPr>
          <w:szCs w:val="18"/>
        </w:rPr>
        <w:t xml:space="preserve">de AFM. De </w:t>
      </w:r>
      <w:r w:rsidRPr="000D09A4" w:rsidR="00F901C0">
        <w:rPr>
          <w:szCs w:val="18"/>
        </w:rPr>
        <w:t>taak</w:t>
      </w:r>
      <w:r w:rsidRPr="000D09A4">
        <w:rPr>
          <w:szCs w:val="18"/>
        </w:rPr>
        <w:t xml:space="preserve">uitvoering is primair de verantwoordelijkheid van de </w:t>
      </w:r>
      <w:proofErr w:type="spellStart"/>
      <w:r w:rsidRPr="000D09A4" w:rsidR="008C3A4B">
        <w:rPr>
          <w:szCs w:val="18"/>
        </w:rPr>
        <w:t>zbo</w:t>
      </w:r>
      <w:r w:rsidRPr="000D09A4" w:rsidR="00A25083">
        <w:rPr>
          <w:szCs w:val="18"/>
        </w:rPr>
        <w:t>’</w:t>
      </w:r>
      <w:r w:rsidRPr="000D09A4" w:rsidR="00F901C0">
        <w:rPr>
          <w:szCs w:val="18"/>
        </w:rPr>
        <w:t>s</w:t>
      </w:r>
      <w:proofErr w:type="spellEnd"/>
      <w:r w:rsidRPr="000D09A4" w:rsidR="00F901C0">
        <w:rPr>
          <w:szCs w:val="18"/>
        </w:rPr>
        <w:t xml:space="preserve"> </w:t>
      </w:r>
      <w:r w:rsidRPr="000D09A4">
        <w:rPr>
          <w:szCs w:val="18"/>
        </w:rPr>
        <w:t>zelf</w:t>
      </w:r>
      <w:r w:rsidRPr="000D09A4" w:rsidR="00A25083">
        <w:rPr>
          <w:szCs w:val="18"/>
        </w:rPr>
        <w:t xml:space="preserve">; aan hen komt een grote mate van zelfstandigheid toe. De minister beziet of in de taakuitvoering door DNB en de AFM voldoende waarborgen bestaan, </w:t>
      </w:r>
      <w:r w:rsidRPr="000D09A4" w:rsidR="00A25083">
        <w:t xml:space="preserve">waarbij zijn invloedsfeer is beperkt tot specifieke </w:t>
      </w:r>
      <w:r w:rsidRPr="000D09A4" w:rsidR="007862C6">
        <w:t xml:space="preserve">wettelijke </w:t>
      </w:r>
      <w:r w:rsidRPr="000D09A4" w:rsidR="00A25083">
        <w:t xml:space="preserve">bevoegdheden ten aanzien van deze </w:t>
      </w:r>
      <w:proofErr w:type="spellStart"/>
      <w:r w:rsidRPr="000D09A4" w:rsidR="00A25083">
        <w:t>zbo’s</w:t>
      </w:r>
      <w:proofErr w:type="spellEnd"/>
      <w:r w:rsidRPr="000D09A4" w:rsidR="00A25083">
        <w:t>.</w:t>
      </w:r>
    </w:p>
    <w:p w:rsidRPr="000D09A4" w:rsidR="00A25083" w:rsidP="00A25083" w:rsidRDefault="00A25083" w14:paraId="39741872" w14:textId="5B64D55D">
      <w:pPr>
        <w:spacing w:after="0" w:line="260" w:lineRule="atLeast"/>
        <w:rPr>
          <w:rFonts w:ascii="Georgia" w:hAnsi="Georgia" w:cs="Arial"/>
          <w:color w:val="333333"/>
        </w:rPr>
      </w:pPr>
    </w:p>
    <w:p w:rsidRPr="000D09A4" w:rsidR="00A25083" w:rsidP="00A25083" w:rsidRDefault="00AE4DA7" w14:paraId="5A46FEAF" w14:textId="65EC803B">
      <w:pPr>
        <w:pStyle w:val="Geenafstand"/>
        <w:spacing w:line="260" w:lineRule="atLeast"/>
      </w:pPr>
      <w:r w:rsidRPr="000D09A4">
        <w:t xml:space="preserve">In de praktijk bestaat </w:t>
      </w:r>
      <w:r w:rsidRPr="000D09A4" w:rsidR="00A25083">
        <w:t xml:space="preserve">een zekere spanning tussen de onafhankelijke uitvoering van de primaire, wettelijke taak door de </w:t>
      </w:r>
      <w:proofErr w:type="spellStart"/>
      <w:r w:rsidRPr="000D09A4" w:rsidR="00A25083">
        <w:t>zbo’s</w:t>
      </w:r>
      <w:proofErr w:type="spellEnd"/>
      <w:r w:rsidRPr="000D09A4" w:rsidR="00A25083">
        <w:t xml:space="preserve"> en de verantwoordelijkheid </w:t>
      </w:r>
      <w:r w:rsidRPr="000D09A4" w:rsidR="00793279">
        <w:t xml:space="preserve">van de minister </w:t>
      </w:r>
      <w:r w:rsidRPr="000D09A4" w:rsidR="00A25083">
        <w:t xml:space="preserve">voor het functioneren van de </w:t>
      </w:r>
      <w:proofErr w:type="spellStart"/>
      <w:r w:rsidRPr="000D09A4" w:rsidR="00A25083">
        <w:t>zbo’</w:t>
      </w:r>
      <w:r w:rsidRPr="000D09A4" w:rsidR="00B94FB8">
        <w:t>s</w:t>
      </w:r>
      <w:proofErr w:type="spellEnd"/>
      <w:r w:rsidRPr="000D09A4" w:rsidR="00B94FB8">
        <w:t xml:space="preserve">. </w:t>
      </w:r>
      <w:r w:rsidRPr="000D09A4" w:rsidR="00214BD3">
        <w:t xml:space="preserve">Zeker waar het de bedrijfsvoering betreft, </w:t>
      </w:r>
      <w:r w:rsidRPr="000D09A4" w:rsidR="00A25083">
        <w:t xml:space="preserve">zijn de </w:t>
      </w:r>
      <w:proofErr w:type="spellStart"/>
      <w:r w:rsidRPr="000D09A4" w:rsidR="00A25083">
        <w:t>zbo</w:t>
      </w:r>
      <w:r w:rsidRPr="000D09A4" w:rsidR="00214BD3">
        <w:t>’</w:t>
      </w:r>
      <w:r w:rsidRPr="000D09A4" w:rsidR="00A25083">
        <w:t>s</w:t>
      </w:r>
      <w:proofErr w:type="spellEnd"/>
      <w:r w:rsidRPr="000D09A4" w:rsidR="00447C75">
        <w:t>, binnen de wettelijke kaders,</w:t>
      </w:r>
      <w:r w:rsidRPr="000D09A4" w:rsidR="00A25083">
        <w:t xml:space="preserve"> </w:t>
      </w:r>
      <w:r w:rsidRPr="000D09A4" w:rsidR="00214BD3">
        <w:t xml:space="preserve">ook </w:t>
      </w:r>
      <w:r w:rsidRPr="000D09A4" w:rsidR="00A25083">
        <w:t>afhankelijk van en rapporteren zij aan</w:t>
      </w:r>
      <w:r w:rsidRPr="000D09A4" w:rsidR="00447C75">
        <w:t xml:space="preserve"> de minister</w:t>
      </w:r>
      <w:r w:rsidRPr="000D09A4" w:rsidR="00A25083">
        <w:t xml:space="preserve">. Het zal </w:t>
      </w:r>
      <w:r w:rsidRPr="000D09A4" w:rsidR="00214BD3">
        <w:t xml:space="preserve">daarom </w:t>
      </w:r>
      <w:r w:rsidRPr="000D09A4" w:rsidR="00A25083">
        <w:t xml:space="preserve">zoeken zijn naar een juiste balans tussen de onafhankelijke </w:t>
      </w:r>
      <w:r w:rsidRPr="000D09A4" w:rsidR="00793279">
        <w:t>taak</w:t>
      </w:r>
      <w:r w:rsidRPr="000D09A4" w:rsidR="00A25083">
        <w:t xml:space="preserve">uitvoering door DNB en de AFM en de inzet door de minister van diens bevoegdheden in het kader van het toezicht op </w:t>
      </w:r>
      <w:r w:rsidRPr="000D09A4" w:rsidR="00793279">
        <w:t>afstand.</w:t>
      </w:r>
    </w:p>
    <w:p w:rsidRPr="000D09A4" w:rsidR="00793279" w:rsidP="00A25083" w:rsidRDefault="00793279" w14:paraId="44995626" w14:textId="2A284111">
      <w:pPr>
        <w:pStyle w:val="Geenafstand"/>
        <w:spacing w:line="260" w:lineRule="atLeast"/>
      </w:pPr>
    </w:p>
    <w:p w:rsidRPr="000D09A4" w:rsidR="00012BA9" w:rsidP="00EB0AD0" w:rsidRDefault="000378CC" w14:paraId="6984B200" w14:textId="016523F0">
      <w:pPr>
        <w:spacing w:after="0" w:line="260" w:lineRule="exact"/>
        <w:rPr>
          <w:color w:val="000000"/>
          <w:szCs w:val="18"/>
        </w:rPr>
      </w:pPr>
      <w:r w:rsidRPr="000D09A4">
        <w:t xml:space="preserve">De onafhankelijkheid wordt in de eerste plaats geborgd </w:t>
      </w:r>
      <w:r w:rsidRPr="000D09A4" w:rsidR="00B94FB8">
        <w:t>doordat</w:t>
      </w:r>
      <w:r w:rsidRPr="000D09A4">
        <w:t xml:space="preserve"> de minister alleen kan </w:t>
      </w:r>
      <w:r w:rsidRPr="000D09A4" w:rsidR="00B94FB8">
        <w:t xml:space="preserve">sturen </w:t>
      </w:r>
      <w:r w:rsidRPr="000D09A4">
        <w:t xml:space="preserve">voor zover </w:t>
      </w:r>
      <w:r w:rsidRPr="000D09A4" w:rsidR="00B94FB8">
        <w:t xml:space="preserve">hij </w:t>
      </w:r>
      <w:r w:rsidRPr="000D09A4">
        <w:t xml:space="preserve">over wettelijke bevoegdheden beschikt. </w:t>
      </w:r>
      <w:r w:rsidRPr="000D09A4" w:rsidR="00B94FB8">
        <w:t xml:space="preserve">Hij vertrouwt hierbij bovendien in grote mate </w:t>
      </w:r>
      <w:r w:rsidRPr="000D09A4" w:rsidR="00A3161B">
        <w:t xml:space="preserve">op het interne systeem van </w:t>
      </w:r>
      <w:r w:rsidRPr="000D09A4" w:rsidR="00A3161B">
        <w:rPr>
          <w:i/>
        </w:rPr>
        <w:t xml:space="preserve">checks </w:t>
      </w:r>
      <w:proofErr w:type="spellStart"/>
      <w:r w:rsidRPr="000D09A4" w:rsidR="00A3161B">
        <w:rPr>
          <w:i/>
        </w:rPr>
        <w:t>and</w:t>
      </w:r>
      <w:proofErr w:type="spellEnd"/>
      <w:r w:rsidRPr="000D09A4" w:rsidR="00A3161B">
        <w:rPr>
          <w:i/>
        </w:rPr>
        <w:t xml:space="preserve"> </w:t>
      </w:r>
      <w:proofErr w:type="spellStart"/>
      <w:r w:rsidRPr="000D09A4" w:rsidR="00A3161B">
        <w:rPr>
          <w:i/>
        </w:rPr>
        <w:t>balances</w:t>
      </w:r>
      <w:proofErr w:type="spellEnd"/>
      <w:r w:rsidRPr="000D09A4" w:rsidR="00A3161B">
        <w:t xml:space="preserve"> binnen de </w:t>
      </w:r>
      <w:proofErr w:type="spellStart"/>
      <w:r w:rsidRPr="000D09A4" w:rsidR="00A3161B">
        <w:t>zbo’s</w:t>
      </w:r>
      <w:proofErr w:type="spellEnd"/>
      <w:r w:rsidRPr="000D09A4" w:rsidR="00A3161B">
        <w:t xml:space="preserve"> zelf. De interne toezichthoudende organen zien toe op de bedrijfs- en beheersmatige aspecten van het opereren van DNB en de AFM en op (de waarborgen voor) beleidsmatige aspecten, te weten de taakuitoefening in algemene zin en de borging van de kwaliteit en effectiviteit van het beleid daaromtrent.</w:t>
      </w:r>
      <w:r w:rsidRPr="000D09A4" w:rsidR="0072186A">
        <w:rPr>
          <w:rStyle w:val="Voetnootmarkering"/>
        </w:rPr>
        <w:footnoteReference w:id="36"/>
      </w:r>
      <w:r w:rsidRPr="000D09A4" w:rsidR="00A3161B">
        <w:t xml:space="preserve"> </w:t>
      </w:r>
      <w:r w:rsidRPr="000D09A4" w:rsidR="00D6289E">
        <w:t xml:space="preserve">Het </w:t>
      </w:r>
      <w:r w:rsidRPr="000D09A4" w:rsidR="00214BD3">
        <w:t xml:space="preserve">uitvoeringstoezicht </w:t>
      </w:r>
      <w:r w:rsidRPr="000D09A4" w:rsidR="00D6289E">
        <w:t>wordt aldus</w:t>
      </w:r>
      <w:r w:rsidRPr="000D09A4" w:rsidR="00214BD3">
        <w:t xml:space="preserve"> uitgeoefend </w:t>
      </w:r>
      <w:r w:rsidRPr="000D09A4" w:rsidR="00F901C0">
        <w:rPr>
          <w:color w:val="000000"/>
          <w:szCs w:val="18"/>
        </w:rPr>
        <w:t xml:space="preserve">met inachtneming van </w:t>
      </w:r>
      <w:r w:rsidRPr="000D09A4" w:rsidR="00D6289E">
        <w:rPr>
          <w:color w:val="000000"/>
          <w:szCs w:val="18"/>
        </w:rPr>
        <w:t xml:space="preserve">de </w:t>
      </w:r>
      <w:r w:rsidRPr="000D09A4" w:rsidR="00A533C1">
        <w:rPr>
          <w:color w:val="000000"/>
          <w:szCs w:val="18"/>
        </w:rPr>
        <w:t xml:space="preserve">zelfstandige, </w:t>
      </w:r>
      <w:r w:rsidRPr="000D09A4" w:rsidR="00F901C0">
        <w:rPr>
          <w:color w:val="000000"/>
          <w:szCs w:val="18"/>
        </w:rPr>
        <w:t>onafhankelijke</w:t>
      </w:r>
      <w:r w:rsidRPr="000D09A4" w:rsidR="00A533C1">
        <w:rPr>
          <w:color w:val="000000"/>
          <w:szCs w:val="18"/>
        </w:rPr>
        <w:t xml:space="preserve"> positie</w:t>
      </w:r>
      <w:r w:rsidRPr="000D09A4" w:rsidR="00D6289E">
        <w:rPr>
          <w:color w:val="000000"/>
          <w:szCs w:val="18"/>
        </w:rPr>
        <w:t xml:space="preserve"> van DNB en de AFM</w:t>
      </w:r>
      <w:r w:rsidRPr="000D09A4" w:rsidR="00F901C0">
        <w:rPr>
          <w:color w:val="000000"/>
          <w:szCs w:val="18"/>
        </w:rPr>
        <w:t>.</w:t>
      </w:r>
      <w:r w:rsidRPr="000D09A4" w:rsidR="00012BA9">
        <w:rPr>
          <w:color w:val="000000"/>
          <w:szCs w:val="18"/>
        </w:rPr>
        <w:t xml:space="preserve"> </w:t>
      </w:r>
    </w:p>
    <w:p w:rsidRPr="000D09A4" w:rsidR="000D6C4C" w:rsidP="00CE0E40" w:rsidRDefault="00CE0E40" w14:paraId="22AD95D3" w14:textId="390D63C2">
      <w:pPr>
        <w:pStyle w:val="kop02"/>
      </w:pPr>
      <w:bookmarkStart w:name="_Toc6298694" w:id="22"/>
      <w:bookmarkStart w:name="_Toc6560027" w:id="23"/>
      <w:r w:rsidRPr="000D09A4">
        <w:rPr>
          <w:rStyle w:val="Subtieleverwijzing"/>
        </w:rPr>
        <w:t>3.5</w:t>
      </w:r>
      <w:r w:rsidRPr="000D09A4">
        <w:rPr>
          <w:rStyle w:val="Subtieleverwijzing"/>
        </w:rPr>
        <w:tab/>
        <w:t>Transparant</w:t>
      </w:r>
      <w:bookmarkEnd w:id="22"/>
      <w:bookmarkEnd w:id="23"/>
    </w:p>
    <w:p w:rsidRPr="000D09A4" w:rsidR="00022E0C" w:rsidP="00EB0AD0" w:rsidRDefault="003E2F08" w14:paraId="785981BC" w14:textId="77777777">
      <w:pPr>
        <w:spacing w:after="0" w:line="260" w:lineRule="exact"/>
        <w:rPr>
          <w:rFonts w:eastAsia="Arial Unicode MS" w:cs="Arial"/>
          <w:szCs w:val="18"/>
        </w:rPr>
      </w:pPr>
      <w:r w:rsidRPr="000D09A4">
        <w:rPr>
          <w:rFonts w:eastAsia="Arial Unicode MS" w:cs="Arial"/>
          <w:szCs w:val="18"/>
        </w:rPr>
        <w:t xml:space="preserve">Volgens het vijfde principe uit de </w:t>
      </w:r>
      <w:proofErr w:type="spellStart"/>
      <w:r w:rsidRPr="000D09A4" w:rsidR="0097038A">
        <w:rPr>
          <w:rFonts w:eastAsia="Arial Unicode MS" w:cs="Arial"/>
          <w:szCs w:val="18"/>
        </w:rPr>
        <w:t>kaderstellende</w:t>
      </w:r>
      <w:proofErr w:type="spellEnd"/>
      <w:r w:rsidRPr="000D09A4" w:rsidR="0097038A">
        <w:rPr>
          <w:rFonts w:eastAsia="Arial Unicode MS" w:cs="Arial"/>
          <w:szCs w:val="18"/>
        </w:rPr>
        <w:t xml:space="preserve"> visie op toezicht </w:t>
      </w:r>
      <w:r w:rsidRPr="000D09A4">
        <w:rPr>
          <w:rFonts w:eastAsia="Arial Unicode MS" w:cs="Arial"/>
          <w:szCs w:val="18"/>
        </w:rPr>
        <w:t xml:space="preserve">dient toezicht transparant te zijn. Hiermee </w:t>
      </w:r>
      <w:r w:rsidRPr="000D09A4" w:rsidR="00022E0C">
        <w:rPr>
          <w:rFonts w:eastAsia="Arial Unicode MS" w:cs="Arial"/>
          <w:szCs w:val="18"/>
        </w:rPr>
        <w:t>wordt het volgende bedoeld:</w:t>
      </w:r>
    </w:p>
    <w:p w:rsidRPr="000D09A4" w:rsidR="003E2F08" w:rsidP="00EB0AD0" w:rsidRDefault="003E2F08" w14:paraId="1CD31172" w14:textId="77777777">
      <w:pPr>
        <w:spacing w:after="0" w:line="260" w:lineRule="exact"/>
        <w:rPr>
          <w:color w:val="000000"/>
          <w:szCs w:val="18"/>
        </w:rPr>
      </w:pPr>
    </w:p>
    <w:p w:rsidRPr="000D09A4" w:rsidR="0078009C" w:rsidP="003E2F08" w:rsidRDefault="0078009C" w14:paraId="6850F789" w14:textId="77777777">
      <w:pPr>
        <w:spacing w:after="0" w:line="260" w:lineRule="exact"/>
        <w:ind w:left="708"/>
        <w:rPr>
          <w:sz w:val="16"/>
          <w:szCs w:val="16"/>
        </w:rPr>
      </w:pPr>
      <w:r w:rsidRPr="000D09A4">
        <w:rPr>
          <w:color w:val="000000"/>
          <w:sz w:val="16"/>
          <w:szCs w:val="16"/>
        </w:rPr>
        <w:t>“</w:t>
      </w:r>
      <w:r w:rsidRPr="000D09A4">
        <w:rPr>
          <w:sz w:val="16"/>
          <w:szCs w:val="16"/>
        </w:rPr>
        <w:t xml:space="preserve">Het principe van transparant toezicht heeft betrekking op het inzichtelijk maken van vijf aspecten van toezicht: nut en noodzaak, de waarborgen voor onafhankelijkheid, de keuzes, de bevindingen en het resultaat van het toezicht. (...) Toezichthouders maken </w:t>
      </w:r>
      <w:proofErr w:type="spellStart"/>
      <w:r w:rsidRPr="000D09A4">
        <w:rPr>
          <w:sz w:val="16"/>
          <w:szCs w:val="16"/>
        </w:rPr>
        <w:t>toezichtsbevindingen</w:t>
      </w:r>
      <w:proofErr w:type="spellEnd"/>
      <w:r w:rsidRPr="000D09A4">
        <w:rPr>
          <w:sz w:val="16"/>
          <w:szCs w:val="16"/>
        </w:rPr>
        <w:t xml:space="preserve"> (...) zoveel mogelijk actief openbaar (...). Bij de openbaarmaking van </w:t>
      </w:r>
      <w:proofErr w:type="spellStart"/>
      <w:r w:rsidRPr="000D09A4">
        <w:rPr>
          <w:sz w:val="16"/>
          <w:szCs w:val="16"/>
        </w:rPr>
        <w:t>toezichtsbevindingen</w:t>
      </w:r>
      <w:proofErr w:type="spellEnd"/>
      <w:r w:rsidRPr="000D09A4">
        <w:rPr>
          <w:sz w:val="16"/>
          <w:szCs w:val="16"/>
        </w:rPr>
        <w:t xml:space="preserve"> wordt rekening gehouden met privacygevoelige informatie, gevoelige bedrijfsgegevens of imago schade.”</w:t>
      </w:r>
      <w:r w:rsidRPr="000D09A4">
        <w:rPr>
          <w:sz w:val="16"/>
          <w:szCs w:val="16"/>
          <w:vertAlign w:val="superscript"/>
        </w:rPr>
        <w:footnoteReference w:id="37"/>
      </w:r>
    </w:p>
    <w:p w:rsidRPr="000D09A4" w:rsidR="0078009C" w:rsidP="00B424D0" w:rsidRDefault="0078009C" w14:paraId="05353AA9" w14:textId="77777777">
      <w:pPr>
        <w:spacing w:after="0" w:line="260" w:lineRule="exact"/>
        <w:rPr>
          <w:color w:val="000000"/>
          <w:szCs w:val="18"/>
        </w:rPr>
      </w:pPr>
    </w:p>
    <w:p w:rsidRPr="000D09A4" w:rsidR="000A6CC9" w:rsidP="00B424D0" w:rsidRDefault="00531AD7" w14:paraId="66180A7B" w14:textId="4A82829B">
      <w:pPr>
        <w:spacing w:after="0" w:line="260" w:lineRule="exact"/>
        <w:rPr>
          <w:color w:val="000000"/>
          <w:szCs w:val="18"/>
        </w:rPr>
      </w:pPr>
      <w:r w:rsidRPr="000D09A4">
        <w:rPr>
          <w:color w:val="000000"/>
          <w:szCs w:val="18"/>
        </w:rPr>
        <w:t xml:space="preserve">Met inachtneming van </w:t>
      </w:r>
      <w:r w:rsidRPr="000D09A4" w:rsidR="00A533C1">
        <w:rPr>
          <w:color w:val="000000"/>
          <w:szCs w:val="18"/>
        </w:rPr>
        <w:t xml:space="preserve">de </w:t>
      </w:r>
      <w:r w:rsidRPr="000D09A4">
        <w:rPr>
          <w:color w:val="000000"/>
          <w:szCs w:val="18"/>
        </w:rPr>
        <w:t>toepasselijke geheimhoudingsbepalingen wordt i</w:t>
      </w:r>
      <w:r w:rsidRPr="000D09A4" w:rsidR="004D3347">
        <w:rPr>
          <w:color w:val="000000"/>
          <w:szCs w:val="18"/>
        </w:rPr>
        <w:t xml:space="preserve">n het uitvoeringstoezicht op </w:t>
      </w:r>
      <w:r w:rsidRPr="000D09A4" w:rsidR="001A5C04">
        <w:rPr>
          <w:color w:val="000000"/>
          <w:szCs w:val="18"/>
        </w:rPr>
        <w:t xml:space="preserve">DNB en </w:t>
      </w:r>
      <w:r w:rsidRPr="000D09A4" w:rsidR="004D3347">
        <w:rPr>
          <w:color w:val="000000"/>
          <w:szCs w:val="18"/>
        </w:rPr>
        <w:t xml:space="preserve">de AFM zoveel mogelijk transparantie betracht, zowel richting de </w:t>
      </w:r>
      <w:proofErr w:type="spellStart"/>
      <w:r w:rsidRPr="000D09A4" w:rsidR="00A533C1">
        <w:rPr>
          <w:color w:val="000000"/>
          <w:szCs w:val="18"/>
        </w:rPr>
        <w:t>zbo’s</w:t>
      </w:r>
      <w:proofErr w:type="spellEnd"/>
      <w:r w:rsidRPr="000D09A4" w:rsidR="001A5C04">
        <w:rPr>
          <w:color w:val="000000"/>
          <w:szCs w:val="18"/>
        </w:rPr>
        <w:t xml:space="preserve"> </w:t>
      </w:r>
      <w:r w:rsidRPr="000D09A4" w:rsidR="004D3347">
        <w:rPr>
          <w:color w:val="000000"/>
          <w:szCs w:val="18"/>
        </w:rPr>
        <w:t>zelf als richting het parlement en de</w:t>
      </w:r>
      <w:r w:rsidRPr="000D09A4" w:rsidR="0097038A">
        <w:rPr>
          <w:color w:val="000000"/>
          <w:szCs w:val="18"/>
        </w:rPr>
        <w:t xml:space="preserve"> samenleving</w:t>
      </w:r>
      <w:r w:rsidRPr="000D09A4" w:rsidR="004D3347">
        <w:rPr>
          <w:color w:val="000000"/>
          <w:szCs w:val="18"/>
        </w:rPr>
        <w:t xml:space="preserve">. </w:t>
      </w:r>
      <w:r w:rsidRPr="000D09A4" w:rsidR="00B424D0">
        <w:rPr>
          <w:color w:val="000000"/>
          <w:szCs w:val="18"/>
        </w:rPr>
        <w:t xml:space="preserve">Dit </w:t>
      </w:r>
      <w:r w:rsidRPr="000D09A4" w:rsidR="003D4539">
        <w:rPr>
          <w:color w:val="000000"/>
          <w:szCs w:val="18"/>
        </w:rPr>
        <w:t>gebeurt</w:t>
      </w:r>
      <w:r w:rsidRPr="000D09A4" w:rsidR="00B424D0">
        <w:rPr>
          <w:color w:val="000000"/>
          <w:szCs w:val="18"/>
        </w:rPr>
        <w:t xml:space="preserve"> allereerst </w:t>
      </w:r>
      <w:r w:rsidRPr="000D09A4" w:rsidR="001601FC">
        <w:rPr>
          <w:color w:val="000000"/>
          <w:szCs w:val="18"/>
        </w:rPr>
        <w:t xml:space="preserve">door </w:t>
      </w:r>
      <w:r w:rsidRPr="000D09A4" w:rsidR="0097038A">
        <w:rPr>
          <w:color w:val="000000"/>
          <w:szCs w:val="18"/>
        </w:rPr>
        <w:t>de plicht v</w:t>
      </w:r>
      <w:r w:rsidRPr="000D09A4" w:rsidR="00AD4E4A">
        <w:rPr>
          <w:color w:val="000000"/>
          <w:szCs w:val="18"/>
        </w:rPr>
        <w:t>an</w:t>
      </w:r>
      <w:r w:rsidRPr="000D09A4" w:rsidR="0097038A">
        <w:rPr>
          <w:color w:val="000000"/>
          <w:szCs w:val="18"/>
        </w:rPr>
        <w:t xml:space="preserve"> de minister om de Kamers te informeren en verantwoording af te leggen over het door hem gevoerde beleid. </w:t>
      </w:r>
      <w:r w:rsidRPr="000D09A4" w:rsidR="001601FC">
        <w:rPr>
          <w:color w:val="000000"/>
          <w:szCs w:val="18"/>
        </w:rPr>
        <w:t xml:space="preserve">Daarnaast </w:t>
      </w:r>
      <w:r w:rsidRPr="000D09A4" w:rsidR="00B424D0">
        <w:rPr>
          <w:color w:val="000000"/>
          <w:szCs w:val="18"/>
        </w:rPr>
        <w:t xml:space="preserve">draagt het </w:t>
      </w:r>
      <w:r w:rsidRPr="000D09A4" w:rsidR="004D3347">
        <w:rPr>
          <w:color w:val="000000"/>
          <w:szCs w:val="18"/>
        </w:rPr>
        <w:t>openbaar mak</w:t>
      </w:r>
      <w:r w:rsidRPr="000D09A4" w:rsidR="00973F24">
        <w:rPr>
          <w:color w:val="000000"/>
          <w:szCs w:val="18"/>
        </w:rPr>
        <w:t xml:space="preserve">en van </w:t>
      </w:r>
      <w:r w:rsidRPr="000D09A4" w:rsidR="0097038A">
        <w:rPr>
          <w:color w:val="000000"/>
          <w:szCs w:val="18"/>
        </w:rPr>
        <w:t>dit</w:t>
      </w:r>
      <w:r w:rsidRPr="000D09A4" w:rsidR="001A5C04">
        <w:rPr>
          <w:color w:val="000000"/>
          <w:szCs w:val="18"/>
        </w:rPr>
        <w:t xml:space="preserve"> </w:t>
      </w:r>
      <w:r w:rsidRPr="000D09A4" w:rsidR="00973F24">
        <w:rPr>
          <w:color w:val="000000"/>
          <w:szCs w:val="18"/>
        </w:rPr>
        <w:t>visie</w:t>
      </w:r>
      <w:r w:rsidRPr="000D09A4" w:rsidR="0097038A">
        <w:rPr>
          <w:color w:val="000000"/>
          <w:szCs w:val="18"/>
        </w:rPr>
        <w:t>document</w:t>
      </w:r>
      <w:r w:rsidRPr="000D09A4" w:rsidR="000A6CC9">
        <w:rPr>
          <w:color w:val="000000"/>
          <w:szCs w:val="18"/>
        </w:rPr>
        <w:t xml:space="preserve"> </w:t>
      </w:r>
      <w:r w:rsidRPr="000D09A4" w:rsidR="001A5C04">
        <w:rPr>
          <w:color w:val="000000"/>
          <w:szCs w:val="18"/>
        </w:rPr>
        <w:t xml:space="preserve">met </w:t>
      </w:r>
      <w:r w:rsidRPr="000D09A4" w:rsidR="000A6CC9">
        <w:rPr>
          <w:color w:val="000000"/>
          <w:szCs w:val="18"/>
        </w:rPr>
        <w:t>de bijbehorende bijlagen</w:t>
      </w:r>
      <w:r w:rsidRPr="000D09A4" w:rsidR="00973F24">
        <w:rPr>
          <w:color w:val="000000"/>
          <w:szCs w:val="18"/>
        </w:rPr>
        <w:t xml:space="preserve"> </w:t>
      </w:r>
      <w:r w:rsidRPr="000D09A4" w:rsidR="001A5C04">
        <w:rPr>
          <w:color w:val="000000"/>
          <w:szCs w:val="18"/>
        </w:rPr>
        <w:t>die uiteenzetten</w:t>
      </w:r>
      <w:r w:rsidRPr="000D09A4" w:rsidR="00973F24">
        <w:rPr>
          <w:color w:val="000000"/>
          <w:szCs w:val="18"/>
        </w:rPr>
        <w:t xml:space="preserve"> </w:t>
      </w:r>
      <w:r w:rsidRPr="000D09A4" w:rsidR="004D3347">
        <w:rPr>
          <w:color w:val="000000"/>
          <w:szCs w:val="18"/>
        </w:rPr>
        <w:t>wat het nut, de noodzaak, de instrumenten</w:t>
      </w:r>
      <w:r w:rsidRPr="000D09A4" w:rsidR="00A633AA">
        <w:rPr>
          <w:color w:val="000000"/>
          <w:szCs w:val="18"/>
        </w:rPr>
        <w:t>,</w:t>
      </w:r>
      <w:r w:rsidRPr="000D09A4" w:rsidR="004D3347">
        <w:rPr>
          <w:color w:val="000000"/>
          <w:szCs w:val="18"/>
        </w:rPr>
        <w:t xml:space="preserve"> de waarborgen en de keuzes van het uitvoeringstoezicht </w:t>
      </w:r>
      <w:r w:rsidRPr="000D09A4" w:rsidR="001A5C04">
        <w:rPr>
          <w:color w:val="000000"/>
          <w:szCs w:val="18"/>
        </w:rPr>
        <w:t xml:space="preserve">door de minister </w:t>
      </w:r>
      <w:r w:rsidRPr="000D09A4" w:rsidR="004D3347">
        <w:rPr>
          <w:color w:val="000000"/>
          <w:szCs w:val="18"/>
        </w:rPr>
        <w:t>zijn</w:t>
      </w:r>
      <w:r w:rsidRPr="000D09A4" w:rsidR="00B424D0">
        <w:rPr>
          <w:color w:val="000000"/>
          <w:szCs w:val="18"/>
        </w:rPr>
        <w:t xml:space="preserve">, bij aan transparantie over </w:t>
      </w:r>
      <w:r w:rsidRPr="000D09A4" w:rsidR="0097038A">
        <w:rPr>
          <w:color w:val="000000"/>
          <w:szCs w:val="18"/>
        </w:rPr>
        <w:t>dit toezicht</w:t>
      </w:r>
      <w:r w:rsidRPr="000D09A4" w:rsidR="004D3347">
        <w:rPr>
          <w:color w:val="000000"/>
          <w:szCs w:val="18"/>
        </w:rPr>
        <w:t>.</w:t>
      </w:r>
    </w:p>
    <w:p w:rsidRPr="000D09A4" w:rsidR="000A6CC9" w:rsidP="00B424D0" w:rsidRDefault="000A6CC9" w14:paraId="43570D84" w14:textId="77777777">
      <w:pPr>
        <w:spacing w:after="0" w:line="260" w:lineRule="exact"/>
        <w:rPr>
          <w:color w:val="000000"/>
          <w:szCs w:val="18"/>
        </w:rPr>
      </w:pPr>
    </w:p>
    <w:p w:rsidRPr="000D09A4" w:rsidR="00DA7C66" w:rsidP="00B424D0" w:rsidRDefault="001A5C04" w14:paraId="7DAE4BF4" w14:textId="6008C66E">
      <w:pPr>
        <w:spacing w:after="0" w:line="260" w:lineRule="exact"/>
        <w:rPr>
          <w:color w:val="000000"/>
          <w:szCs w:val="18"/>
        </w:rPr>
      </w:pPr>
      <w:r w:rsidRPr="000D09A4">
        <w:rPr>
          <w:color w:val="000000"/>
          <w:szCs w:val="18"/>
        </w:rPr>
        <w:t>T</w:t>
      </w:r>
      <w:r w:rsidRPr="000D09A4" w:rsidR="00A814D8">
        <w:rPr>
          <w:color w:val="000000"/>
          <w:szCs w:val="18"/>
        </w:rPr>
        <w:t xml:space="preserve">ransparantie </w:t>
      </w:r>
      <w:r w:rsidRPr="000D09A4" w:rsidR="005C0657">
        <w:rPr>
          <w:color w:val="000000"/>
          <w:szCs w:val="18"/>
        </w:rPr>
        <w:t>over</w:t>
      </w:r>
      <w:r w:rsidRPr="000D09A4" w:rsidR="00A814D8">
        <w:rPr>
          <w:color w:val="000000"/>
          <w:szCs w:val="18"/>
        </w:rPr>
        <w:t xml:space="preserve"> het uitvoeringstoezicht </w:t>
      </w:r>
      <w:r w:rsidRPr="000D09A4">
        <w:rPr>
          <w:color w:val="000000"/>
          <w:szCs w:val="18"/>
        </w:rPr>
        <w:t xml:space="preserve">volgt </w:t>
      </w:r>
      <w:r w:rsidRPr="000D09A4" w:rsidR="007A4FCE">
        <w:rPr>
          <w:color w:val="000000"/>
          <w:szCs w:val="18"/>
        </w:rPr>
        <w:t>verder</w:t>
      </w:r>
      <w:r w:rsidRPr="000D09A4">
        <w:rPr>
          <w:color w:val="000000"/>
          <w:szCs w:val="18"/>
        </w:rPr>
        <w:t xml:space="preserve"> </w:t>
      </w:r>
      <w:r w:rsidRPr="000D09A4" w:rsidR="00A814D8">
        <w:rPr>
          <w:color w:val="000000"/>
          <w:szCs w:val="18"/>
        </w:rPr>
        <w:t xml:space="preserve">uit verschillende wettelijke bepalingen. </w:t>
      </w:r>
      <w:r w:rsidRPr="000D09A4" w:rsidR="00051EF3">
        <w:rPr>
          <w:color w:val="000000"/>
          <w:szCs w:val="18"/>
        </w:rPr>
        <w:t xml:space="preserve">Zo is de minister </w:t>
      </w:r>
      <w:r w:rsidRPr="000D09A4" w:rsidR="003C36EC">
        <w:rPr>
          <w:color w:val="000000"/>
          <w:szCs w:val="18"/>
        </w:rPr>
        <w:t>verplicht</w:t>
      </w:r>
      <w:r w:rsidRPr="000D09A4" w:rsidR="00051EF3">
        <w:rPr>
          <w:color w:val="000000"/>
          <w:szCs w:val="18"/>
        </w:rPr>
        <w:t xml:space="preserve"> om </w:t>
      </w:r>
      <w:r w:rsidRPr="000D09A4" w:rsidR="003C36EC">
        <w:rPr>
          <w:color w:val="000000"/>
          <w:szCs w:val="18"/>
        </w:rPr>
        <w:t xml:space="preserve">elke vijf jaar een verslag naar de </w:t>
      </w:r>
      <w:r w:rsidRPr="000D09A4">
        <w:rPr>
          <w:color w:val="000000"/>
          <w:szCs w:val="18"/>
        </w:rPr>
        <w:t xml:space="preserve">Kamers </w:t>
      </w:r>
      <w:r w:rsidRPr="000D09A4" w:rsidR="003C36EC">
        <w:rPr>
          <w:color w:val="000000"/>
          <w:szCs w:val="18"/>
        </w:rPr>
        <w:t>te sturen ten behoeve van de beoordeling van de doelmatigheid en doeltreffendheid van het functioneren van DNB en de AFM al</w:t>
      </w:r>
      <w:r w:rsidRPr="000D09A4" w:rsidR="005C0657">
        <w:rPr>
          <w:color w:val="000000"/>
          <w:szCs w:val="18"/>
        </w:rPr>
        <w:t>s</w:t>
      </w:r>
      <w:r w:rsidRPr="000D09A4" w:rsidR="007A4FCE">
        <w:rPr>
          <w:color w:val="000000"/>
          <w:szCs w:val="18"/>
        </w:rPr>
        <w:t xml:space="preserve"> </w:t>
      </w:r>
      <w:proofErr w:type="spellStart"/>
      <w:r w:rsidRPr="000D09A4" w:rsidR="008C3A4B">
        <w:rPr>
          <w:color w:val="000000"/>
          <w:szCs w:val="18"/>
        </w:rPr>
        <w:t>zbo</w:t>
      </w:r>
      <w:r w:rsidRPr="000D09A4" w:rsidR="007A4FCE">
        <w:rPr>
          <w:color w:val="000000"/>
          <w:szCs w:val="18"/>
        </w:rPr>
        <w:t>’s</w:t>
      </w:r>
      <w:proofErr w:type="spellEnd"/>
      <w:r w:rsidRPr="000D09A4" w:rsidR="005C0657">
        <w:rPr>
          <w:color w:val="000000"/>
          <w:szCs w:val="18"/>
        </w:rPr>
        <w:t>.</w:t>
      </w:r>
      <w:r w:rsidRPr="000D09A4" w:rsidR="00896B43">
        <w:rPr>
          <w:color w:val="000000"/>
          <w:szCs w:val="18"/>
        </w:rPr>
        <w:t xml:space="preserve"> </w:t>
      </w:r>
      <w:r w:rsidRPr="000D09A4" w:rsidR="000C0094">
        <w:rPr>
          <w:color w:val="000000"/>
          <w:szCs w:val="18"/>
        </w:rPr>
        <w:t xml:space="preserve">De meest recente verslagen </w:t>
      </w:r>
      <w:r w:rsidRPr="000D09A4" w:rsidR="007A4FCE">
        <w:rPr>
          <w:color w:val="000000"/>
          <w:szCs w:val="18"/>
        </w:rPr>
        <w:t xml:space="preserve">zijn uit </w:t>
      </w:r>
      <w:r w:rsidRPr="000D09A4" w:rsidR="00BE5D61">
        <w:rPr>
          <w:color w:val="000000"/>
          <w:szCs w:val="18"/>
        </w:rPr>
        <w:t xml:space="preserve">2021 </w:t>
      </w:r>
      <w:r w:rsidRPr="000D09A4" w:rsidR="007A4FCE">
        <w:rPr>
          <w:color w:val="000000"/>
          <w:szCs w:val="18"/>
        </w:rPr>
        <w:t xml:space="preserve">en </w:t>
      </w:r>
      <w:r w:rsidRPr="000D09A4" w:rsidR="00C1567F">
        <w:rPr>
          <w:color w:val="000000"/>
          <w:szCs w:val="18"/>
        </w:rPr>
        <w:t>zien</w:t>
      </w:r>
      <w:r w:rsidRPr="000D09A4" w:rsidR="000C0094">
        <w:rPr>
          <w:color w:val="000000"/>
          <w:szCs w:val="18"/>
        </w:rPr>
        <w:t xml:space="preserve"> op de jaren </w:t>
      </w:r>
      <w:r w:rsidRPr="000D09A4" w:rsidR="00BE5D61">
        <w:rPr>
          <w:color w:val="000000"/>
          <w:szCs w:val="18"/>
        </w:rPr>
        <w:t xml:space="preserve">2016 </w:t>
      </w:r>
      <w:r w:rsidRPr="000D09A4" w:rsidR="000C0094">
        <w:rPr>
          <w:color w:val="000000"/>
          <w:szCs w:val="18"/>
        </w:rPr>
        <w:t xml:space="preserve">tot en met </w:t>
      </w:r>
      <w:r w:rsidRPr="000D09A4" w:rsidR="00BE5D61">
        <w:rPr>
          <w:color w:val="000000"/>
          <w:szCs w:val="18"/>
        </w:rPr>
        <w:t>2020</w:t>
      </w:r>
      <w:r w:rsidRPr="000D09A4" w:rsidR="000C0094">
        <w:rPr>
          <w:color w:val="000000"/>
          <w:szCs w:val="18"/>
        </w:rPr>
        <w:t>.</w:t>
      </w:r>
      <w:r w:rsidRPr="000D09A4" w:rsidR="000C0094">
        <w:rPr>
          <w:rStyle w:val="Voetnootmarkering"/>
          <w:color w:val="000000"/>
          <w:szCs w:val="18"/>
        </w:rPr>
        <w:footnoteReference w:id="38"/>
      </w:r>
    </w:p>
    <w:p w:rsidRPr="000D09A4" w:rsidR="00AF431B" w:rsidP="00B424D0" w:rsidRDefault="00AF431B" w14:paraId="22A4C907" w14:textId="77777777">
      <w:pPr>
        <w:spacing w:after="0" w:line="260" w:lineRule="exact"/>
        <w:rPr>
          <w:color w:val="000000"/>
          <w:szCs w:val="18"/>
        </w:rPr>
      </w:pPr>
    </w:p>
    <w:p w:rsidRPr="000D09A4" w:rsidR="00F12CC5" w:rsidP="00EB0AD0" w:rsidRDefault="00AF431B" w14:paraId="26C0CEE9" w14:textId="752E832C">
      <w:pPr>
        <w:spacing w:after="0" w:line="260" w:lineRule="exact"/>
        <w:rPr>
          <w:color w:val="000000"/>
          <w:szCs w:val="18"/>
        </w:rPr>
      </w:pPr>
      <w:r w:rsidRPr="000D09A4">
        <w:rPr>
          <w:color w:val="000000"/>
          <w:szCs w:val="18"/>
        </w:rPr>
        <w:t xml:space="preserve">Ook </w:t>
      </w:r>
      <w:r w:rsidRPr="000D09A4" w:rsidR="005A7611">
        <w:rPr>
          <w:color w:val="000000"/>
          <w:szCs w:val="18"/>
        </w:rPr>
        <w:t>met</w:t>
      </w:r>
      <w:r w:rsidRPr="000D09A4">
        <w:rPr>
          <w:color w:val="000000"/>
          <w:szCs w:val="18"/>
        </w:rPr>
        <w:t xml:space="preserve"> de </w:t>
      </w:r>
      <w:proofErr w:type="spellStart"/>
      <w:r w:rsidRPr="000D09A4" w:rsidR="00600B0F">
        <w:rPr>
          <w:color w:val="000000"/>
          <w:szCs w:val="18"/>
        </w:rPr>
        <w:t>Wbft</w:t>
      </w:r>
      <w:proofErr w:type="spellEnd"/>
      <w:r w:rsidRPr="000D09A4" w:rsidR="00600B0F">
        <w:rPr>
          <w:color w:val="000000"/>
          <w:szCs w:val="18"/>
        </w:rPr>
        <w:t xml:space="preserve"> 2019 </w:t>
      </w:r>
      <w:r w:rsidRPr="000D09A4">
        <w:rPr>
          <w:color w:val="000000"/>
          <w:szCs w:val="18"/>
        </w:rPr>
        <w:t xml:space="preserve">wordt openheid over het uitvoeringstoezicht bewerkstelligd. Zo bepaalt deze wet dat de </w:t>
      </w:r>
      <w:r w:rsidRPr="000D09A4" w:rsidR="007A4FCE">
        <w:rPr>
          <w:color w:val="000000"/>
          <w:szCs w:val="18"/>
        </w:rPr>
        <w:t xml:space="preserve">Kamers </w:t>
      </w:r>
      <w:r w:rsidRPr="000D09A4" w:rsidR="001601FC">
        <w:rPr>
          <w:color w:val="000000"/>
          <w:szCs w:val="18"/>
        </w:rPr>
        <w:t xml:space="preserve">voorafgaand aan de </w:t>
      </w:r>
      <w:r w:rsidRPr="000D09A4" w:rsidR="00600B0F">
        <w:rPr>
          <w:color w:val="000000"/>
          <w:szCs w:val="18"/>
        </w:rPr>
        <w:t>vaststelling</w:t>
      </w:r>
      <w:r w:rsidRPr="000D09A4" w:rsidR="001601FC">
        <w:rPr>
          <w:color w:val="000000"/>
          <w:szCs w:val="18"/>
        </w:rPr>
        <w:t xml:space="preserve"> of</w:t>
      </w:r>
      <w:r w:rsidRPr="000D09A4" w:rsidR="00600B0F">
        <w:rPr>
          <w:color w:val="000000"/>
          <w:szCs w:val="18"/>
        </w:rPr>
        <w:t xml:space="preserve"> wijziging </w:t>
      </w:r>
      <w:r w:rsidRPr="000D09A4" w:rsidR="001601FC">
        <w:rPr>
          <w:color w:val="000000"/>
          <w:szCs w:val="18"/>
        </w:rPr>
        <w:t>van het kostenkader dan wel bij</w:t>
      </w:r>
      <w:r w:rsidRPr="000D09A4" w:rsidR="00600B0F">
        <w:rPr>
          <w:color w:val="000000"/>
          <w:szCs w:val="18"/>
        </w:rPr>
        <w:t xml:space="preserve"> overschrijding van het kostenkader</w:t>
      </w:r>
      <w:r w:rsidRPr="000D09A4" w:rsidR="001601FC">
        <w:rPr>
          <w:color w:val="000000"/>
          <w:szCs w:val="18"/>
        </w:rPr>
        <w:t xml:space="preserve"> worden geïnformeerd</w:t>
      </w:r>
      <w:r w:rsidRPr="000D09A4" w:rsidR="00AC4C59">
        <w:rPr>
          <w:color w:val="000000"/>
          <w:szCs w:val="18"/>
        </w:rPr>
        <w:t>.</w:t>
      </w:r>
      <w:r w:rsidRPr="000D09A4" w:rsidR="00600B0F">
        <w:rPr>
          <w:rStyle w:val="Voetnootmarkering"/>
          <w:color w:val="000000"/>
          <w:szCs w:val="18"/>
        </w:rPr>
        <w:footnoteReference w:id="39"/>
      </w:r>
      <w:r w:rsidRPr="000D09A4" w:rsidR="00AC4C59">
        <w:rPr>
          <w:color w:val="000000"/>
          <w:szCs w:val="18"/>
        </w:rPr>
        <w:t xml:space="preserve"> En van de goedgekeurde </w:t>
      </w:r>
      <w:proofErr w:type="spellStart"/>
      <w:r w:rsidRPr="000D09A4" w:rsidR="00E84F95">
        <w:rPr>
          <w:color w:val="000000"/>
          <w:szCs w:val="18"/>
        </w:rPr>
        <w:t>zbo</w:t>
      </w:r>
      <w:proofErr w:type="spellEnd"/>
      <w:r w:rsidRPr="000D09A4" w:rsidR="00E84F95">
        <w:rPr>
          <w:color w:val="000000"/>
          <w:szCs w:val="18"/>
        </w:rPr>
        <w:t>-</w:t>
      </w:r>
      <w:r w:rsidRPr="000D09A4" w:rsidR="00AC4C59">
        <w:rPr>
          <w:color w:val="000000"/>
          <w:szCs w:val="18"/>
        </w:rPr>
        <w:t xml:space="preserve">begroting of </w:t>
      </w:r>
      <w:proofErr w:type="spellStart"/>
      <w:r w:rsidRPr="000D09A4" w:rsidR="00E84F95">
        <w:rPr>
          <w:color w:val="000000"/>
          <w:szCs w:val="18"/>
        </w:rPr>
        <w:t>zbo</w:t>
      </w:r>
      <w:proofErr w:type="spellEnd"/>
      <w:r w:rsidRPr="000D09A4" w:rsidR="00E84F95">
        <w:rPr>
          <w:color w:val="000000"/>
          <w:szCs w:val="18"/>
        </w:rPr>
        <w:t>-</w:t>
      </w:r>
      <w:r w:rsidRPr="000D09A4" w:rsidR="00AC4C59">
        <w:rPr>
          <w:color w:val="000000"/>
          <w:szCs w:val="18"/>
        </w:rPr>
        <w:t xml:space="preserve">verantwoording dienen </w:t>
      </w:r>
      <w:r w:rsidRPr="000D09A4" w:rsidR="007A4FCE">
        <w:rPr>
          <w:color w:val="000000"/>
          <w:szCs w:val="18"/>
        </w:rPr>
        <w:t xml:space="preserve">DNB en </w:t>
      </w:r>
      <w:r w:rsidRPr="000D09A4" w:rsidR="00AC4C59">
        <w:rPr>
          <w:color w:val="000000"/>
          <w:szCs w:val="18"/>
        </w:rPr>
        <w:t xml:space="preserve">de </w:t>
      </w:r>
      <w:r w:rsidRPr="000D09A4" w:rsidR="007A4FCE">
        <w:rPr>
          <w:color w:val="000000"/>
          <w:szCs w:val="18"/>
        </w:rPr>
        <w:t xml:space="preserve">AFM </w:t>
      </w:r>
      <w:r w:rsidRPr="000D09A4" w:rsidR="00AC4C59">
        <w:rPr>
          <w:color w:val="000000"/>
          <w:szCs w:val="18"/>
        </w:rPr>
        <w:t>mededeling in de Staatscourant</w:t>
      </w:r>
      <w:r w:rsidRPr="000D09A4" w:rsidR="007A4FCE">
        <w:rPr>
          <w:color w:val="000000"/>
          <w:szCs w:val="18"/>
        </w:rPr>
        <w:t xml:space="preserve"> te doen</w:t>
      </w:r>
      <w:r w:rsidRPr="000D09A4" w:rsidR="00AC4C59">
        <w:rPr>
          <w:color w:val="000000"/>
          <w:szCs w:val="18"/>
        </w:rPr>
        <w:t>.</w:t>
      </w:r>
      <w:r w:rsidRPr="000D09A4" w:rsidR="00AC4C59">
        <w:rPr>
          <w:rStyle w:val="Voetnootmarkering"/>
          <w:color w:val="000000"/>
          <w:szCs w:val="18"/>
        </w:rPr>
        <w:footnoteReference w:id="40"/>
      </w:r>
    </w:p>
    <w:p w:rsidRPr="000D09A4" w:rsidR="00CE0E40" w:rsidP="00CE0E40" w:rsidRDefault="00CE0E40" w14:paraId="4DCE916B" w14:textId="77777777">
      <w:pPr>
        <w:pStyle w:val="kop02"/>
      </w:pPr>
      <w:bookmarkStart w:name="_Toc6298695" w:id="24"/>
      <w:bookmarkStart w:name="_Toc6560028" w:id="25"/>
      <w:r w:rsidRPr="000D09A4">
        <w:rPr>
          <w:rStyle w:val="Subtieleverwijzing"/>
        </w:rPr>
        <w:t>3.6</w:t>
      </w:r>
      <w:r w:rsidRPr="000D09A4">
        <w:rPr>
          <w:rStyle w:val="Subtieleverwijzing"/>
        </w:rPr>
        <w:tab/>
        <w:t>Professioneel</w:t>
      </w:r>
      <w:bookmarkEnd w:id="24"/>
      <w:bookmarkEnd w:id="25"/>
    </w:p>
    <w:p w:rsidRPr="000D09A4" w:rsidR="00022E0C" w:rsidP="00EB0AD0" w:rsidRDefault="007A4FCE" w14:paraId="08AD885F" w14:textId="77777777">
      <w:pPr>
        <w:spacing w:after="0" w:line="260" w:lineRule="exact"/>
        <w:rPr>
          <w:rFonts w:eastAsia="Arial Unicode MS" w:cs="Arial"/>
          <w:szCs w:val="18"/>
        </w:rPr>
      </w:pPr>
      <w:r w:rsidRPr="000D09A4">
        <w:rPr>
          <w:rFonts w:eastAsia="Arial Unicode MS" w:cs="Arial"/>
          <w:szCs w:val="18"/>
        </w:rPr>
        <w:t xml:space="preserve">De </w:t>
      </w:r>
      <w:proofErr w:type="spellStart"/>
      <w:r w:rsidRPr="000D09A4" w:rsidR="00C1567F">
        <w:rPr>
          <w:rFonts w:eastAsia="Arial Unicode MS" w:cs="Arial"/>
          <w:szCs w:val="18"/>
        </w:rPr>
        <w:t>kaderstellende</w:t>
      </w:r>
      <w:proofErr w:type="spellEnd"/>
      <w:r w:rsidRPr="000D09A4" w:rsidR="00C1567F">
        <w:rPr>
          <w:rFonts w:eastAsia="Arial Unicode MS" w:cs="Arial"/>
          <w:szCs w:val="18"/>
        </w:rPr>
        <w:t xml:space="preserve"> visie op toezicht </w:t>
      </w:r>
      <w:r w:rsidRPr="000D09A4">
        <w:rPr>
          <w:rFonts w:eastAsia="Arial Unicode MS" w:cs="Arial"/>
          <w:szCs w:val="18"/>
        </w:rPr>
        <w:t xml:space="preserve">stelt in de zesde en laatste plaats dat toezicht professioneel dient te zijn. </w:t>
      </w:r>
      <w:r w:rsidRPr="000D09A4" w:rsidR="00C1567F">
        <w:rPr>
          <w:rFonts w:eastAsia="Arial Unicode MS" w:cs="Arial"/>
          <w:szCs w:val="18"/>
        </w:rPr>
        <w:t>Het</w:t>
      </w:r>
      <w:r w:rsidRPr="000D09A4" w:rsidR="00DD56EB">
        <w:rPr>
          <w:rFonts w:eastAsia="Arial Unicode MS" w:cs="Arial"/>
          <w:szCs w:val="18"/>
        </w:rPr>
        <w:t xml:space="preserve"> </w:t>
      </w:r>
      <w:r w:rsidRPr="000D09A4" w:rsidR="00C1567F">
        <w:rPr>
          <w:rFonts w:eastAsia="Arial Unicode MS" w:cs="Arial"/>
          <w:szCs w:val="18"/>
        </w:rPr>
        <w:t>document</w:t>
      </w:r>
      <w:r w:rsidRPr="000D09A4" w:rsidR="00DD56EB">
        <w:rPr>
          <w:rFonts w:eastAsia="Arial Unicode MS" w:cs="Arial"/>
          <w:szCs w:val="18"/>
        </w:rPr>
        <w:t xml:space="preserve"> omschrijft dit principe aldus: </w:t>
      </w:r>
    </w:p>
    <w:p w:rsidRPr="000D09A4" w:rsidR="007A4FCE" w:rsidP="00EB0AD0" w:rsidRDefault="007A4FCE" w14:paraId="04555778" w14:textId="77777777">
      <w:pPr>
        <w:spacing w:after="0" w:line="260" w:lineRule="exact"/>
        <w:rPr>
          <w:rFonts w:eastAsia="Arial Unicode MS" w:cs="Arial"/>
          <w:szCs w:val="18"/>
        </w:rPr>
      </w:pPr>
    </w:p>
    <w:p w:rsidRPr="000D09A4" w:rsidR="0078009C" w:rsidP="007A4FCE" w:rsidRDefault="0078009C" w14:paraId="5909377C" w14:textId="77777777">
      <w:pPr>
        <w:spacing w:after="0" w:line="260" w:lineRule="exact"/>
        <w:ind w:left="708"/>
        <w:rPr>
          <w:sz w:val="16"/>
          <w:szCs w:val="16"/>
        </w:rPr>
      </w:pPr>
      <w:r w:rsidRPr="000D09A4">
        <w:rPr>
          <w:color w:val="000000"/>
          <w:sz w:val="16"/>
          <w:szCs w:val="16"/>
        </w:rPr>
        <w:t>“</w:t>
      </w:r>
      <w:r w:rsidRPr="000D09A4">
        <w:rPr>
          <w:sz w:val="16"/>
          <w:szCs w:val="16"/>
        </w:rPr>
        <w:t xml:space="preserve">Professionalisering van toezicht heeft betrekking op drie </w:t>
      </w:r>
      <w:r w:rsidRPr="000D09A4" w:rsidR="007A4FCE">
        <w:rPr>
          <w:sz w:val="16"/>
          <w:szCs w:val="16"/>
        </w:rPr>
        <w:t>niveaus</w:t>
      </w:r>
      <w:r w:rsidRPr="000D09A4">
        <w:rPr>
          <w:sz w:val="16"/>
          <w:szCs w:val="16"/>
        </w:rPr>
        <w:t>: de individuele toezichthouder, de toezichthoudende organisatie en de beroepsgroep.”</w:t>
      </w:r>
      <w:r w:rsidRPr="000D09A4">
        <w:rPr>
          <w:sz w:val="16"/>
          <w:szCs w:val="16"/>
          <w:vertAlign w:val="superscript"/>
        </w:rPr>
        <w:footnoteReference w:id="41"/>
      </w:r>
    </w:p>
    <w:p w:rsidRPr="000D09A4" w:rsidR="00EF3E8A" w:rsidP="000E0E4B" w:rsidRDefault="00EF3E8A" w14:paraId="51A28648" w14:textId="77777777">
      <w:pPr>
        <w:spacing w:after="0" w:line="260" w:lineRule="exact"/>
        <w:rPr>
          <w:color w:val="000000"/>
          <w:szCs w:val="18"/>
        </w:rPr>
      </w:pPr>
    </w:p>
    <w:p w:rsidRPr="000D09A4" w:rsidR="00D041FF" w:rsidP="000E0E4B" w:rsidRDefault="002B5986" w14:paraId="63066A1F" w14:textId="77777777">
      <w:pPr>
        <w:spacing w:after="0" w:line="260" w:lineRule="exact"/>
        <w:rPr>
          <w:szCs w:val="18"/>
        </w:rPr>
      </w:pPr>
      <w:r w:rsidRPr="000D09A4">
        <w:rPr>
          <w:color w:val="000000"/>
          <w:szCs w:val="18"/>
        </w:rPr>
        <w:t xml:space="preserve">Ook in het kader van </w:t>
      </w:r>
      <w:r w:rsidRPr="000D09A4" w:rsidR="007A4FCE">
        <w:rPr>
          <w:color w:val="000000"/>
          <w:szCs w:val="18"/>
        </w:rPr>
        <w:t xml:space="preserve">dit </w:t>
      </w:r>
      <w:r w:rsidRPr="000D09A4">
        <w:rPr>
          <w:color w:val="000000"/>
          <w:szCs w:val="18"/>
        </w:rPr>
        <w:t xml:space="preserve">principe </w:t>
      </w:r>
      <w:r w:rsidRPr="000D09A4" w:rsidR="007A4FCE">
        <w:rPr>
          <w:color w:val="000000"/>
          <w:szCs w:val="18"/>
        </w:rPr>
        <w:t>speelt</w:t>
      </w:r>
      <w:r w:rsidRPr="000D09A4">
        <w:rPr>
          <w:color w:val="000000"/>
          <w:szCs w:val="18"/>
        </w:rPr>
        <w:t xml:space="preserve"> de </w:t>
      </w:r>
      <w:r w:rsidRPr="000D09A4" w:rsidR="00B65D08">
        <w:rPr>
          <w:color w:val="000000"/>
          <w:szCs w:val="18"/>
        </w:rPr>
        <w:t xml:space="preserve">al </w:t>
      </w:r>
      <w:r w:rsidRPr="000D09A4">
        <w:rPr>
          <w:color w:val="000000"/>
          <w:szCs w:val="18"/>
        </w:rPr>
        <w:t>behandelde interne functionele scheiding tussen de eigenaar en de opdrachtgever een belangrijke rol</w:t>
      </w:r>
      <w:r w:rsidRPr="000D09A4" w:rsidR="00B65D08">
        <w:rPr>
          <w:color w:val="000000"/>
          <w:szCs w:val="18"/>
        </w:rPr>
        <w:t xml:space="preserve">. </w:t>
      </w:r>
      <w:r w:rsidRPr="000D09A4" w:rsidR="007B3F3E">
        <w:rPr>
          <w:color w:val="000000"/>
          <w:szCs w:val="18"/>
        </w:rPr>
        <w:t xml:space="preserve">Bij het uitvoeringstoezicht </w:t>
      </w:r>
      <w:r w:rsidRPr="000D09A4">
        <w:rPr>
          <w:color w:val="000000"/>
          <w:szCs w:val="18"/>
        </w:rPr>
        <w:t xml:space="preserve">op </w:t>
      </w:r>
      <w:r w:rsidRPr="000D09A4" w:rsidR="00B65D08">
        <w:rPr>
          <w:color w:val="000000"/>
          <w:szCs w:val="18"/>
        </w:rPr>
        <w:t xml:space="preserve">DNB en </w:t>
      </w:r>
      <w:r w:rsidRPr="000D09A4">
        <w:rPr>
          <w:color w:val="000000"/>
          <w:szCs w:val="18"/>
        </w:rPr>
        <w:t>de AFM worden</w:t>
      </w:r>
      <w:r w:rsidRPr="000D09A4" w:rsidR="007B3F3E">
        <w:rPr>
          <w:color w:val="000000"/>
          <w:szCs w:val="18"/>
        </w:rPr>
        <w:t xml:space="preserve"> er binnen het ministerie </w:t>
      </w:r>
      <w:r w:rsidRPr="000D09A4">
        <w:rPr>
          <w:color w:val="000000"/>
          <w:szCs w:val="18"/>
        </w:rPr>
        <w:t xml:space="preserve">van Financiën </w:t>
      </w:r>
      <w:r w:rsidRPr="000D09A4" w:rsidR="007B3F3E">
        <w:rPr>
          <w:color w:val="000000"/>
          <w:szCs w:val="18"/>
        </w:rPr>
        <w:t>twee rollen</w:t>
      </w:r>
      <w:r w:rsidRPr="000D09A4">
        <w:rPr>
          <w:color w:val="000000"/>
          <w:szCs w:val="18"/>
        </w:rPr>
        <w:t xml:space="preserve"> onderscheiden</w:t>
      </w:r>
      <w:r w:rsidRPr="000D09A4" w:rsidR="00C1567F">
        <w:rPr>
          <w:color w:val="000000"/>
          <w:szCs w:val="18"/>
        </w:rPr>
        <w:t>:</w:t>
      </w:r>
      <w:r w:rsidRPr="000D09A4" w:rsidR="007B3F3E">
        <w:rPr>
          <w:color w:val="000000"/>
          <w:szCs w:val="18"/>
        </w:rPr>
        <w:t xml:space="preserve"> de eigenaarsrol en de opdrachtgeversrol</w:t>
      </w:r>
      <w:r w:rsidRPr="000D09A4">
        <w:rPr>
          <w:color w:val="000000"/>
          <w:szCs w:val="18"/>
        </w:rPr>
        <w:t>. Deze rollen worden</w:t>
      </w:r>
      <w:r w:rsidRPr="000D09A4" w:rsidR="00B65D08">
        <w:rPr>
          <w:color w:val="000000"/>
          <w:szCs w:val="18"/>
        </w:rPr>
        <w:t xml:space="preserve"> </w:t>
      </w:r>
      <w:r w:rsidRPr="000D09A4" w:rsidR="007B3F3E">
        <w:rPr>
          <w:color w:val="000000"/>
          <w:szCs w:val="18"/>
        </w:rPr>
        <w:t>vervuld door verschillende onderdelen van de organisatie van het ministerie.</w:t>
      </w:r>
      <w:r w:rsidRPr="000D09A4" w:rsidR="008C37E9">
        <w:rPr>
          <w:rStyle w:val="Voetnootmarkering"/>
          <w:color w:val="000000"/>
          <w:szCs w:val="18"/>
        </w:rPr>
        <w:footnoteReference w:id="42"/>
      </w:r>
    </w:p>
    <w:p w:rsidRPr="000D09A4" w:rsidR="00D041FF" w:rsidP="000E0E4B" w:rsidRDefault="00D041FF" w14:paraId="08220BAB" w14:textId="77777777">
      <w:pPr>
        <w:spacing w:after="0" w:line="260" w:lineRule="exact"/>
        <w:rPr>
          <w:color w:val="000000"/>
          <w:szCs w:val="18"/>
        </w:rPr>
      </w:pPr>
    </w:p>
    <w:p w:rsidRPr="000D09A4" w:rsidR="000B1A84" w:rsidP="000E0E4B" w:rsidRDefault="0038693F" w14:paraId="1D2661E2" w14:textId="74410E24">
      <w:pPr>
        <w:spacing w:after="0" w:line="260" w:lineRule="exact"/>
        <w:rPr>
          <w:szCs w:val="18"/>
        </w:rPr>
      </w:pPr>
      <w:r w:rsidRPr="000D09A4">
        <w:rPr>
          <w:szCs w:val="18"/>
        </w:rPr>
        <w:t xml:space="preserve">In het </w:t>
      </w:r>
      <w:r w:rsidRPr="000D09A4" w:rsidR="00B65D08">
        <w:rPr>
          <w:szCs w:val="18"/>
        </w:rPr>
        <w:t xml:space="preserve">kader </w:t>
      </w:r>
      <w:r w:rsidRPr="000D09A4">
        <w:rPr>
          <w:szCs w:val="18"/>
        </w:rPr>
        <w:t xml:space="preserve">van </w:t>
      </w:r>
      <w:r w:rsidRPr="000D09A4" w:rsidR="00DD56EB">
        <w:rPr>
          <w:szCs w:val="18"/>
        </w:rPr>
        <w:t xml:space="preserve">de professionaliteit </w:t>
      </w:r>
      <w:r w:rsidRPr="000D09A4">
        <w:rPr>
          <w:szCs w:val="18"/>
        </w:rPr>
        <w:t xml:space="preserve">is </w:t>
      </w:r>
      <w:r w:rsidRPr="000D09A4" w:rsidR="00B65D08">
        <w:rPr>
          <w:szCs w:val="18"/>
        </w:rPr>
        <w:t xml:space="preserve">voorts </w:t>
      </w:r>
      <w:r w:rsidRPr="000D09A4">
        <w:rPr>
          <w:szCs w:val="18"/>
        </w:rPr>
        <w:t>van belang dat er b</w:t>
      </w:r>
      <w:r w:rsidRPr="000D09A4" w:rsidR="006F21EE">
        <w:rPr>
          <w:szCs w:val="18"/>
        </w:rPr>
        <w:t xml:space="preserve">innen het ministerie </w:t>
      </w:r>
      <w:r w:rsidRPr="000D09A4" w:rsidR="00553F81">
        <w:rPr>
          <w:szCs w:val="18"/>
        </w:rPr>
        <w:t xml:space="preserve">zorg </w:t>
      </w:r>
      <w:r w:rsidRPr="000D09A4">
        <w:rPr>
          <w:szCs w:val="18"/>
        </w:rPr>
        <w:t xml:space="preserve">wordt </w:t>
      </w:r>
      <w:r w:rsidRPr="000D09A4" w:rsidR="00553F81">
        <w:rPr>
          <w:szCs w:val="18"/>
        </w:rPr>
        <w:t xml:space="preserve">gedragen voor het vergroten en actueel houden van </w:t>
      </w:r>
      <w:r w:rsidRPr="000D09A4" w:rsidR="00107A56">
        <w:rPr>
          <w:szCs w:val="18"/>
        </w:rPr>
        <w:t>kennis en vaardigheden</w:t>
      </w:r>
      <w:r w:rsidRPr="000D09A4">
        <w:rPr>
          <w:szCs w:val="18"/>
        </w:rPr>
        <w:t xml:space="preserve">, </w:t>
      </w:r>
      <w:r w:rsidRPr="000D09A4" w:rsidR="00107A56">
        <w:rPr>
          <w:szCs w:val="18"/>
        </w:rPr>
        <w:t>bijvoorbeeld ten aanzien van ontwikke</w:t>
      </w:r>
      <w:r w:rsidRPr="000D09A4">
        <w:rPr>
          <w:szCs w:val="18"/>
        </w:rPr>
        <w:t>lingen op de financiële markten</w:t>
      </w:r>
      <w:r w:rsidRPr="000D09A4" w:rsidR="00553F81">
        <w:rPr>
          <w:szCs w:val="18"/>
        </w:rPr>
        <w:t xml:space="preserve">. </w:t>
      </w:r>
      <w:r w:rsidRPr="000D09A4" w:rsidR="00B65D08">
        <w:rPr>
          <w:szCs w:val="18"/>
        </w:rPr>
        <w:t>Hierbij moet</w:t>
      </w:r>
      <w:r w:rsidRPr="000D09A4" w:rsidR="00553F81">
        <w:rPr>
          <w:szCs w:val="18"/>
        </w:rPr>
        <w:t xml:space="preserve"> gedacht worden aan opleiding</w:t>
      </w:r>
      <w:r w:rsidRPr="000D09A4" w:rsidR="00E84F95">
        <w:rPr>
          <w:szCs w:val="18"/>
        </w:rPr>
        <w:t>,</w:t>
      </w:r>
      <w:r w:rsidRPr="000D09A4" w:rsidR="000B1A84">
        <w:rPr>
          <w:szCs w:val="18"/>
        </w:rPr>
        <w:t xml:space="preserve"> maar ook aan uitwisseling van kennis en ervaring met </w:t>
      </w:r>
      <w:r w:rsidRPr="000D09A4" w:rsidR="00B65D08">
        <w:rPr>
          <w:szCs w:val="18"/>
        </w:rPr>
        <w:t xml:space="preserve">DNB en </w:t>
      </w:r>
      <w:r w:rsidRPr="000D09A4" w:rsidR="000B1A84">
        <w:rPr>
          <w:szCs w:val="18"/>
        </w:rPr>
        <w:t xml:space="preserve">de AFM. </w:t>
      </w:r>
      <w:r w:rsidRPr="000D09A4" w:rsidR="00107A56">
        <w:rPr>
          <w:szCs w:val="18"/>
        </w:rPr>
        <w:t xml:space="preserve">Daarnaast </w:t>
      </w:r>
      <w:r w:rsidRPr="000D09A4" w:rsidR="00C1567F">
        <w:rPr>
          <w:szCs w:val="18"/>
        </w:rPr>
        <w:t xml:space="preserve">wordt van belang geacht om </w:t>
      </w:r>
      <w:r w:rsidRPr="000D09A4" w:rsidR="00107A56">
        <w:rPr>
          <w:szCs w:val="18"/>
        </w:rPr>
        <w:t xml:space="preserve">open te staan voor </w:t>
      </w:r>
      <w:r w:rsidRPr="000D09A4" w:rsidR="00A533C1">
        <w:rPr>
          <w:szCs w:val="18"/>
        </w:rPr>
        <w:t xml:space="preserve">dialoog met marktpartijen en de </w:t>
      </w:r>
      <w:r w:rsidRPr="000D09A4" w:rsidR="00521756">
        <w:rPr>
          <w:szCs w:val="18"/>
        </w:rPr>
        <w:t>samenleving</w:t>
      </w:r>
      <w:r w:rsidRPr="000D09A4" w:rsidR="00581F72">
        <w:rPr>
          <w:szCs w:val="18"/>
        </w:rPr>
        <w:t xml:space="preserve">, bijvoorbeeld door </w:t>
      </w:r>
      <w:r w:rsidRPr="000D09A4" w:rsidR="00DD56EB">
        <w:rPr>
          <w:szCs w:val="18"/>
        </w:rPr>
        <w:t>het openbaar consulteren</w:t>
      </w:r>
      <w:r w:rsidRPr="000D09A4" w:rsidR="00581F72">
        <w:rPr>
          <w:szCs w:val="18"/>
        </w:rPr>
        <w:t xml:space="preserve"> van </w:t>
      </w:r>
      <w:r w:rsidRPr="000D09A4" w:rsidR="00B65D08">
        <w:rPr>
          <w:szCs w:val="18"/>
        </w:rPr>
        <w:t xml:space="preserve">voorgenomen </w:t>
      </w:r>
      <w:r w:rsidRPr="000D09A4" w:rsidR="00581F72">
        <w:rPr>
          <w:szCs w:val="18"/>
        </w:rPr>
        <w:t>wet- en regelgeving</w:t>
      </w:r>
      <w:r w:rsidRPr="000D09A4" w:rsidR="000B1A84">
        <w:rPr>
          <w:szCs w:val="18"/>
        </w:rPr>
        <w:t>.</w:t>
      </w:r>
      <w:r w:rsidRPr="000D09A4" w:rsidR="00E84F95">
        <w:rPr>
          <w:szCs w:val="18"/>
        </w:rPr>
        <w:t xml:space="preserve"> </w:t>
      </w:r>
    </w:p>
    <w:p w:rsidRPr="000D09A4" w:rsidR="00455249" w:rsidP="000E0E4B" w:rsidRDefault="00455249" w14:paraId="6485EEDF" w14:textId="77777777">
      <w:pPr>
        <w:spacing w:after="0" w:line="260" w:lineRule="exact"/>
        <w:rPr>
          <w:rFonts w:eastAsia="Arial Unicode MS" w:cs="Arial"/>
          <w:szCs w:val="18"/>
        </w:rPr>
      </w:pPr>
    </w:p>
    <w:p w:rsidRPr="000D09A4" w:rsidR="00271812" w:rsidP="00F07020" w:rsidRDefault="004628F3" w14:paraId="0129BDB4" w14:textId="304E5363">
      <w:pPr>
        <w:spacing w:after="0" w:line="260" w:lineRule="exact"/>
        <w:rPr>
          <w:rFonts w:eastAsia="Arial Unicode MS" w:cs="Arial"/>
          <w:szCs w:val="18"/>
        </w:rPr>
      </w:pPr>
      <w:r w:rsidRPr="000D09A4">
        <w:rPr>
          <w:rFonts w:eastAsia="Arial Unicode MS" w:cs="Arial"/>
          <w:szCs w:val="18"/>
        </w:rPr>
        <w:t xml:space="preserve">Daarnaast </w:t>
      </w:r>
      <w:r w:rsidRPr="000D09A4" w:rsidR="00B65D08">
        <w:rPr>
          <w:rFonts w:eastAsia="Arial Unicode MS" w:cs="Arial"/>
          <w:szCs w:val="18"/>
        </w:rPr>
        <w:t xml:space="preserve">is </w:t>
      </w:r>
      <w:r w:rsidRPr="000D09A4" w:rsidR="00F13866">
        <w:rPr>
          <w:rFonts w:eastAsia="Arial Unicode MS" w:cs="Arial"/>
          <w:szCs w:val="18"/>
        </w:rPr>
        <w:t xml:space="preserve">relevant dat de </w:t>
      </w:r>
      <w:r w:rsidRPr="000D09A4" w:rsidR="00447C75">
        <w:rPr>
          <w:rFonts w:eastAsia="Arial Unicode MS" w:cs="Arial"/>
          <w:szCs w:val="18"/>
        </w:rPr>
        <w:t xml:space="preserve">minister </w:t>
      </w:r>
      <w:r w:rsidRPr="000D09A4" w:rsidR="00B65D08">
        <w:rPr>
          <w:rFonts w:eastAsia="Arial Unicode MS" w:cs="Arial"/>
          <w:szCs w:val="18"/>
        </w:rPr>
        <w:t xml:space="preserve">van Financiën </w:t>
      </w:r>
      <w:r w:rsidRPr="000D09A4" w:rsidR="00F13866">
        <w:rPr>
          <w:rFonts w:eastAsia="Arial Unicode MS" w:cs="Arial"/>
          <w:szCs w:val="18"/>
        </w:rPr>
        <w:t xml:space="preserve">in zijn toezicht op DNB en de AFM gebruik kan maken van de bevindingen van </w:t>
      </w:r>
      <w:r w:rsidRPr="000D09A4" w:rsidR="00C31DD2">
        <w:rPr>
          <w:rFonts w:eastAsia="Arial Unicode MS" w:cs="Arial"/>
          <w:szCs w:val="18"/>
        </w:rPr>
        <w:t>de raad van commissarissen van DNB</w:t>
      </w:r>
      <w:r w:rsidRPr="000D09A4" w:rsidR="00B65D08">
        <w:rPr>
          <w:rFonts w:eastAsia="Arial Unicode MS" w:cs="Arial"/>
          <w:szCs w:val="18"/>
        </w:rPr>
        <w:t xml:space="preserve"> en de raad van toezicht van de AFM</w:t>
      </w:r>
      <w:r w:rsidRPr="000D09A4" w:rsidR="007A1BB9">
        <w:rPr>
          <w:rFonts w:eastAsia="Arial Unicode MS" w:cs="Arial"/>
          <w:szCs w:val="18"/>
        </w:rPr>
        <w:t xml:space="preserve">. </w:t>
      </w:r>
      <w:r w:rsidRPr="000D09A4" w:rsidR="00C80D65">
        <w:rPr>
          <w:rFonts w:eastAsia="Arial Unicode MS" w:cs="Arial"/>
          <w:szCs w:val="18"/>
        </w:rPr>
        <w:t>De</w:t>
      </w:r>
      <w:r w:rsidRPr="000D09A4" w:rsidR="0099091D">
        <w:rPr>
          <w:rFonts w:eastAsia="Arial Unicode MS" w:cs="Arial"/>
          <w:szCs w:val="18"/>
        </w:rPr>
        <w:t>ze raden</w:t>
      </w:r>
      <w:r w:rsidRPr="000D09A4" w:rsidR="00C80D65">
        <w:rPr>
          <w:rFonts w:eastAsia="Arial Unicode MS" w:cs="Arial"/>
          <w:szCs w:val="18"/>
        </w:rPr>
        <w:t xml:space="preserve"> opereren </w:t>
      </w:r>
      <w:r w:rsidRPr="000D09A4" w:rsidR="00271812">
        <w:rPr>
          <w:rFonts w:eastAsia="Arial Unicode MS" w:cs="Arial"/>
          <w:szCs w:val="18"/>
        </w:rPr>
        <w:t xml:space="preserve">autonoom en onafhankelijk, ten opzichte van </w:t>
      </w:r>
      <w:r w:rsidRPr="000D09A4" w:rsidR="00521756">
        <w:rPr>
          <w:rFonts w:eastAsia="Arial Unicode MS" w:cs="Arial"/>
          <w:szCs w:val="18"/>
        </w:rPr>
        <w:t xml:space="preserve">zowel </w:t>
      </w:r>
      <w:r w:rsidRPr="000D09A4" w:rsidR="00271812">
        <w:rPr>
          <w:rFonts w:eastAsia="Arial Unicode MS" w:cs="Arial"/>
          <w:szCs w:val="18"/>
        </w:rPr>
        <w:t>het bestuur als de minister. Zij houden geen toezicht namens de minister</w:t>
      </w:r>
      <w:r w:rsidRPr="000D09A4" w:rsidR="00E84F95">
        <w:rPr>
          <w:rFonts w:eastAsia="Arial Unicode MS" w:cs="Arial"/>
          <w:szCs w:val="18"/>
        </w:rPr>
        <w:t>,</w:t>
      </w:r>
      <w:r w:rsidRPr="000D09A4" w:rsidR="000A2EDC">
        <w:rPr>
          <w:rFonts w:eastAsia="Arial Unicode MS" w:cs="Arial"/>
          <w:szCs w:val="18"/>
        </w:rPr>
        <w:t xml:space="preserve"> maar h</w:t>
      </w:r>
      <w:r w:rsidRPr="000D09A4" w:rsidR="00271812">
        <w:rPr>
          <w:rFonts w:eastAsia="Arial Unicode MS" w:cs="Arial"/>
          <w:szCs w:val="18"/>
        </w:rPr>
        <w:t>et toezicht dat zij uitoefenen</w:t>
      </w:r>
      <w:r w:rsidRPr="000D09A4" w:rsidR="00B65D08">
        <w:rPr>
          <w:rFonts w:eastAsia="Arial Unicode MS" w:cs="Arial"/>
          <w:szCs w:val="18"/>
        </w:rPr>
        <w:t>,</w:t>
      </w:r>
      <w:r w:rsidRPr="000D09A4" w:rsidR="00271812">
        <w:rPr>
          <w:rFonts w:eastAsia="Arial Unicode MS" w:cs="Arial"/>
          <w:szCs w:val="18"/>
        </w:rPr>
        <w:t xml:space="preserve"> kan de minister wel nuttige informatie </w:t>
      </w:r>
      <w:r w:rsidRPr="000D09A4" w:rsidR="00472DD7">
        <w:rPr>
          <w:rFonts w:eastAsia="Arial Unicode MS" w:cs="Arial"/>
          <w:szCs w:val="18"/>
        </w:rPr>
        <w:t>verschaffen</w:t>
      </w:r>
      <w:r w:rsidRPr="000D09A4" w:rsidR="00271812">
        <w:rPr>
          <w:rFonts w:eastAsia="Arial Unicode MS" w:cs="Arial"/>
          <w:szCs w:val="18"/>
        </w:rPr>
        <w:t xml:space="preserve"> die hij kan gebruiken in zijn </w:t>
      </w:r>
      <w:r w:rsidRPr="000D09A4" w:rsidR="00472DD7">
        <w:rPr>
          <w:rFonts w:eastAsia="Arial Unicode MS" w:cs="Arial"/>
          <w:szCs w:val="18"/>
        </w:rPr>
        <w:t>uitvoerings</w:t>
      </w:r>
      <w:r w:rsidRPr="000D09A4" w:rsidR="00271812">
        <w:rPr>
          <w:rFonts w:eastAsia="Arial Unicode MS" w:cs="Arial"/>
          <w:szCs w:val="18"/>
        </w:rPr>
        <w:t xml:space="preserve">toezicht op </w:t>
      </w:r>
      <w:r w:rsidRPr="000D09A4" w:rsidR="00B65D08">
        <w:rPr>
          <w:rFonts w:eastAsia="Arial Unicode MS" w:cs="Arial"/>
          <w:szCs w:val="18"/>
        </w:rPr>
        <w:t xml:space="preserve">DNB en </w:t>
      </w:r>
      <w:r w:rsidRPr="000D09A4" w:rsidR="00271812">
        <w:rPr>
          <w:rFonts w:eastAsia="Arial Unicode MS" w:cs="Arial"/>
          <w:szCs w:val="18"/>
        </w:rPr>
        <w:t xml:space="preserve">de AFM. </w:t>
      </w:r>
      <w:r w:rsidRPr="000D09A4" w:rsidR="00C80D65">
        <w:rPr>
          <w:rFonts w:eastAsia="Arial Unicode MS" w:cs="Arial"/>
          <w:szCs w:val="18"/>
        </w:rPr>
        <w:t xml:space="preserve">Zo </w:t>
      </w:r>
      <w:r w:rsidRPr="000D09A4" w:rsidR="00271812">
        <w:rPr>
          <w:rFonts w:eastAsia="Arial Unicode MS" w:cs="Arial"/>
          <w:szCs w:val="18"/>
        </w:rPr>
        <w:t xml:space="preserve">kan </w:t>
      </w:r>
      <w:r w:rsidRPr="000D09A4" w:rsidR="00C80D65">
        <w:rPr>
          <w:rFonts w:eastAsia="Arial Unicode MS" w:cs="Arial"/>
          <w:szCs w:val="18"/>
        </w:rPr>
        <w:t>hij</w:t>
      </w:r>
      <w:r w:rsidRPr="000D09A4" w:rsidR="00271812">
        <w:rPr>
          <w:rFonts w:eastAsia="Arial Unicode MS" w:cs="Arial"/>
          <w:szCs w:val="18"/>
        </w:rPr>
        <w:t xml:space="preserve"> de beoordeling van </w:t>
      </w:r>
      <w:r w:rsidRPr="000D09A4" w:rsidR="00B65D08">
        <w:rPr>
          <w:rFonts w:eastAsia="Arial Unicode MS" w:cs="Arial"/>
          <w:szCs w:val="18"/>
        </w:rPr>
        <w:t>het intern toezichthoudend orgaan</w:t>
      </w:r>
      <w:r w:rsidRPr="000D09A4" w:rsidR="00271812">
        <w:rPr>
          <w:rFonts w:eastAsia="Arial Unicode MS" w:cs="Arial"/>
          <w:szCs w:val="18"/>
        </w:rPr>
        <w:t xml:space="preserve"> van de ontwerpbegroting van </w:t>
      </w:r>
      <w:r w:rsidRPr="000D09A4" w:rsidR="00E84F95">
        <w:rPr>
          <w:rFonts w:eastAsia="Arial Unicode MS" w:cs="Arial"/>
          <w:szCs w:val="18"/>
        </w:rPr>
        <w:t xml:space="preserve">het </w:t>
      </w:r>
      <w:r w:rsidRPr="000D09A4" w:rsidR="00B65D08">
        <w:rPr>
          <w:rFonts w:eastAsia="Arial Unicode MS" w:cs="Arial"/>
          <w:szCs w:val="18"/>
        </w:rPr>
        <w:t xml:space="preserve">betreffende </w:t>
      </w:r>
      <w:proofErr w:type="spellStart"/>
      <w:r w:rsidRPr="000D09A4" w:rsidR="008C3A4B">
        <w:rPr>
          <w:rFonts w:eastAsia="Arial Unicode MS" w:cs="Arial"/>
          <w:szCs w:val="18"/>
        </w:rPr>
        <w:t>zbo</w:t>
      </w:r>
      <w:proofErr w:type="spellEnd"/>
      <w:r w:rsidRPr="000D09A4" w:rsidR="00B65D08">
        <w:rPr>
          <w:rFonts w:eastAsia="Arial Unicode MS" w:cs="Arial"/>
          <w:szCs w:val="18"/>
        </w:rPr>
        <w:t xml:space="preserve"> </w:t>
      </w:r>
      <w:r w:rsidRPr="000D09A4" w:rsidR="00271812">
        <w:rPr>
          <w:rFonts w:eastAsia="Arial Unicode MS" w:cs="Arial"/>
          <w:szCs w:val="18"/>
        </w:rPr>
        <w:t>meenemen in zijn eigen beoordeling van die begroting.</w:t>
      </w:r>
      <w:r w:rsidRPr="000D09A4" w:rsidR="00F07020">
        <w:rPr>
          <w:rFonts w:eastAsia="Arial Unicode MS" w:cs="Arial"/>
          <w:szCs w:val="18"/>
        </w:rPr>
        <w:t xml:space="preserve"> </w:t>
      </w:r>
      <w:r w:rsidRPr="000D09A4" w:rsidR="002C1219">
        <w:rPr>
          <w:rFonts w:eastAsia="Arial Unicode MS" w:cs="Arial"/>
          <w:szCs w:val="18"/>
        </w:rPr>
        <w:t>Voor DNB geldt voorts dat</w:t>
      </w:r>
      <w:r w:rsidRPr="000D09A4" w:rsidR="00797673">
        <w:rPr>
          <w:rFonts w:eastAsia="Arial Unicode MS" w:cs="Arial"/>
          <w:szCs w:val="18"/>
        </w:rPr>
        <w:t xml:space="preserve"> één commissaris van overheidswege</w:t>
      </w:r>
      <w:r w:rsidRPr="000D09A4" w:rsidR="002C1219">
        <w:rPr>
          <w:rFonts w:eastAsia="Arial Unicode MS" w:cs="Arial"/>
          <w:szCs w:val="18"/>
        </w:rPr>
        <w:t xml:space="preserve"> wordt</w:t>
      </w:r>
      <w:r w:rsidRPr="000D09A4" w:rsidR="00797673">
        <w:rPr>
          <w:rFonts w:eastAsia="Arial Unicode MS" w:cs="Arial"/>
          <w:szCs w:val="18"/>
        </w:rPr>
        <w:t xml:space="preserve"> benoemd.</w:t>
      </w:r>
      <w:r w:rsidRPr="000D09A4" w:rsidR="00797673">
        <w:rPr>
          <w:rStyle w:val="Voetnootmarkering"/>
          <w:rFonts w:eastAsia="Arial Unicode MS" w:cs="Arial"/>
          <w:szCs w:val="18"/>
        </w:rPr>
        <w:footnoteReference w:id="43"/>
      </w:r>
      <w:r w:rsidRPr="000D09A4" w:rsidR="00797673">
        <w:rPr>
          <w:rFonts w:eastAsia="Arial Unicode MS" w:cs="Arial"/>
          <w:szCs w:val="18"/>
        </w:rPr>
        <w:t xml:space="preserve"> </w:t>
      </w:r>
      <w:r w:rsidRPr="000D09A4" w:rsidR="002C1219">
        <w:rPr>
          <w:rFonts w:eastAsia="Arial Unicode MS" w:cs="Arial"/>
          <w:szCs w:val="18"/>
        </w:rPr>
        <w:t>O</w:t>
      </w:r>
      <w:r w:rsidRPr="000D09A4" w:rsidR="00F07020">
        <w:rPr>
          <w:rFonts w:eastAsia="Arial Unicode MS" w:cs="Arial"/>
          <w:szCs w:val="18"/>
        </w:rPr>
        <w:t xml:space="preserve">p verzoek van de </w:t>
      </w:r>
      <w:r w:rsidRPr="000D09A4" w:rsidR="00797673">
        <w:rPr>
          <w:rFonts w:eastAsia="Arial Unicode MS" w:cs="Arial"/>
          <w:szCs w:val="18"/>
        </w:rPr>
        <w:t>m</w:t>
      </w:r>
      <w:r w:rsidRPr="000D09A4" w:rsidR="00F07020">
        <w:rPr>
          <w:rFonts w:eastAsia="Arial Unicode MS" w:cs="Arial"/>
          <w:szCs w:val="18"/>
        </w:rPr>
        <w:t xml:space="preserve">inister of uit eigen beweging </w:t>
      </w:r>
      <w:r w:rsidRPr="000D09A4" w:rsidR="002C1219">
        <w:rPr>
          <w:rFonts w:eastAsia="Arial Unicode MS" w:cs="Arial"/>
          <w:szCs w:val="18"/>
        </w:rPr>
        <w:t xml:space="preserve">kan deze overheidscommissaris </w:t>
      </w:r>
      <w:r w:rsidRPr="000D09A4" w:rsidR="00F07020">
        <w:rPr>
          <w:rFonts w:eastAsia="Arial Unicode MS" w:cs="Arial"/>
          <w:szCs w:val="18"/>
        </w:rPr>
        <w:t>bij de directie van DNB gegevens en inlichtingen inwinnen omtrent de wijze waarop DNB haar taken uitvoert.</w:t>
      </w:r>
      <w:r w:rsidRPr="000D09A4" w:rsidR="00403207">
        <w:rPr>
          <w:rStyle w:val="Voetnootmarkering"/>
          <w:rFonts w:eastAsia="Arial Unicode MS" w:cs="Arial"/>
          <w:szCs w:val="18"/>
        </w:rPr>
        <w:footnoteReference w:id="44"/>
      </w:r>
    </w:p>
    <w:p w:rsidRPr="000D09A4" w:rsidR="00271812" w:rsidP="00271812" w:rsidRDefault="00271812" w14:paraId="395F49F4" w14:textId="77777777">
      <w:pPr>
        <w:spacing w:after="0" w:line="260" w:lineRule="exact"/>
        <w:ind w:left="-5" w:right="83"/>
        <w:rPr>
          <w:rFonts w:eastAsia="Arial Unicode MS" w:cs="Arial"/>
          <w:szCs w:val="18"/>
        </w:rPr>
      </w:pPr>
    </w:p>
    <w:p w:rsidRPr="000D09A4" w:rsidR="00F13866" w:rsidP="000E0E4B" w:rsidRDefault="00F13866" w14:paraId="17A4EBE3" w14:textId="26E7FAC9">
      <w:pPr>
        <w:spacing w:after="0" w:line="260" w:lineRule="exact"/>
        <w:rPr>
          <w:szCs w:val="18"/>
        </w:rPr>
      </w:pPr>
      <w:r w:rsidRPr="000D09A4">
        <w:rPr>
          <w:rFonts w:eastAsia="Arial Unicode MS" w:cs="Arial"/>
          <w:szCs w:val="18"/>
        </w:rPr>
        <w:t>Ook maakt de minister in het uitvoeringstoezicht gebruik van de bevindingen van de externe accou</w:t>
      </w:r>
      <w:r w:rsidRPr="000D09A4" w:rsidR="00822F70">
        <w:rPr>
          <w:rFonts w:eastAsia="Arial Unicode MS" w:cs="Arial"/>
          <w:szCs w:val="18"/>
        </w:rPr>
        <w:t xml:space="preserve">ntant van </w:t>
      </w:r>
      <w:r w:rsidRPr="000D09A4" w:rsidR="00B65D08">
        <w:rPr>
          <w:rFonts w:eastAsia="Arial Unicode MS" w:cs="Arial"/>
          <w:szCs w:val="18"/>
        </w:rPr>
        <w:t xml:space="preserve">DNB en de AFM. </w:t>
      </w:r>
      <w:r w:rsidRPr="000D09A4" w:rsidR="00EB2D47">
        <w:rPr>
          <w:rFonts w:eastAsia="Times New Roman" w:cs="Times New Roman"/>
          <w:szCs w:val="18"/>
          <w:lang w:eastAsia="nl-NL"/>
        </w:rPr>
        <w:t xml:space="preserve">Voor de minister geldt dat hij blijvend aandacht dient te schenken aan de rechtmatige en doelmatige besteding van </w:t>
      </w:r>
      <w:r w:rsidRPr="000D09A4" w:rsidR="00D44179">
        <w:rPr>
          <w:rFonts w:eastAsia="Times New Roman" w:cs="Times New Roman"/>
          <w:szCs w:val="18"/>
          <w:lang w:eastAsia="nl-NL"/>
        </w:rPr>
        <w:t xml:space="preserve">publieke </w:t>
      </w:r>
      <w:r w:rsidRPr="000D09A4" w:rsidR="00EB2D47">
        <w:rPr>
          <w:rFonts w:eastAsia="Times New Roman" w:cs="Times New Roman"/>
          <w:szCs w:val="18"/>
          <w:lang w:eastAsia="nl-NL"/>
        </w:rPr>
        <w:t>middelen binnen zijn portefeuille.</w:t>
      </w:r>
      <w:r w:rsidRPr="000D09A4" w:rsidR="00D44179">
        <w:rPr>
          <w:rStyle w:val="Voetnootmarkering"/>
          <w:rFonts w:eastAsia="Times New Roman" w:cs="Times New Roman"/>
          <w:szCs w:val="18"/>
          <w:lang w:eastAsia="nl-NL"/>
        </w:rPr>
        <w:footnoteReference w:id="45"/>
      </w:r>
      <w:r w:rsidRPr="000D09A4" w:rsidR="00EB2D47">
        <w:rPr>
          <w:rFonts w:eastAsia="Times New Roman" w:cs="Times New Roman"/>
          <w:szCs w:val="18"/>
          <w:lang w:eastAsia="nl-NL"/>
        </w:rPr>
        <w:t xml:space="preserve"> </w:t>
      </w:r>
      <w:r w:rsidRPr="000D09A4" w:rsidR="00F35891">
        <w:rPr>
          <w:rFonts w:eastAsia="Times New Roman" w:cs="Times New Roman"/>
          <w:szCs w:val="18"/>
          <w:lang w:eastAsia="nl-NL"/>
        </w:rPr>
        <w:t>Hij moet hierbij</w:t>
      </w:r>
      <w:r w:rsidRPr="000D09A4" w:rsidR="00EB2D47">
        <w:rPr>
          <w:rFonts w:eastAsia="Times New Roman" w:cs="Times New Roman"/>
          <w:szCs w:val="18"/>
          <w:lang w:eastAsia="nl-NL"/>
        </w:rPr>
        <w:t xml:space="preserve"> kunnen steunen op de informatie die door het </w:t>
      </w:r>
      <w:r w:rsidRPr="000D09A4" w:rsidR="007A0631">
        <w:rPr>
          <w:rFonts w:eastAsia="Times New Roman" w:cs="Times New Roman"/>
          <w:szCs w:val="18"/>
          <w:lang w:eastAsia="nl-NL"/>
        </w:rPr>
        <w:t xml:space="preserve">betreffende </w:t>
      </w:r>
      <w:proofErr w:type="spellStart"/>
      <w:r w:rsidRPr="000D09A4" w:rsidR="008C3A4B">
        <w:rPr>
          <w:rFonts w:eastAsia="Times New Roman" w:cs="Times New Roman"/>
          <w:szCs w:val="18"/>
          <w:lang w:eastAsia="nl-NL"/>
        </w:rPr>
        <w:t>zbo</w:t>
      </w:r>
      <w:proofErr w:type="spellEnd"/>
      <w:r w:rsidRPr="000D09A4" w:rsidR="00F35891">
        <w:rPr>
          <w:rFonts w:eastAsia="Times New Roman" w:cs="Times New Roman"/>
          <w:szCs w:val="18"/>
          <w:lang w:eastAsia="nl-NL"/>
        </w:rPr>
        <w:t xml:space="preserve"> </w:t>
      </w:r>
      <w:r w:rsidRPr="000D09A4" w:rsidR="00EB2D47">
        <w:rPr>
          <w:rFonts w:eastAsia="Times New Roman" w:cs="Times New Roman"/>
          <w:szCs w:val="18"/>
          <w:lang w:eastAsia="nl-NL"/>
        </w:rPr>
        <w:t>wordt verstrekt.</w:t>
      </w:r>
      <w:r w:rsidRPr="000D09A4" w:rsidR="00EB2D47">
        <w:rPr>
          <w:rStyle w:val="Voetnootmarkering"/>
          <w:rFonts w:eastAsia="Times New Roman" w:cs="Times New Roman"/>
          <w:szCs w:val="18"/>
          <w:lang w:eastAsia="nl-NL"/>
        </w:rPr>
        <w:footnoteReference w:id="46"/>
      </w:r>
      <w:r w:rsidRPr="000D09A4" w:rsidR="00EB2D47">
        <w:rPr>
          <w:rFonts w:eastAsia="Times New Roman" w:cs="Times New Roman"/>
          <w:szCs w:val="18"/>
          <w:lang w:eastAsia="nl-NL"/>
        </w:rPr>
        <w:t xml:space="preserve"> </w:t>
      </w:r>
      <w:r w:rsidRPr="000D09A4" w:rsidR="00F35891">
        <w:rPr>
          <w:rFonts w:eastAsia="Times New Roman" w:cs="Times New Roman"/>
          <w:szCs w:val="18"/>
          <w:lang w:eastAsia="nl-NL"/>
        </w:rPr>
        <w:t xml:space="preserve">De </w:t>
      </w:r>
      <w:r w:rsidRPr="000D09A4" w:rsidR="00EB2D47">
        <w:rPr>
          <w:rFonts w:eastAsia="Times New Roman" w:cs="Times New Roman"/>
          <w:szCs w:val="18"/>
          <w:lang w:eastAsia="nl-NL"/>
        </w:rPr>
        <w:t xml:space="preserve">externe accountant </w:t>
      </w:r>
      <w:r w:rsidRPr="000D09A4" w:rsidR="00F35891">
        <w:rPr>
          <w:rFonts w:eastAsia="Times New Roman" w:cs="Times New Roman"/>
          <w:szCs w:val="18"/>
          <w:lang w:eastAsia="nl-NL"/>
        </w:rPr>
        <w:t xml:space="preserve">speelt in dit </w:t>
      </w:r>
      <w:r w:rsidRPr="000D09A4" w:rsidR="002038C1">
        <w:rPr>
          <w:rFonts w:eastAsia="Times New Roman" w:cs="Times New Roman"/>
          <w:szCs w:val="18"/>
          <w:lang w:eastAsia="nl-NL"/>
        </w:rPr>
        <w:t>kader</w:t>
      </w:r>
      <w:r w:rsidRPr="000D09A4" w:rsidR="00F35891">
        <w:rPr>
          <w:rFonts w:eastAsia="Times New Roman" w:cs="Times New Roman"/>
          <w:szCs w:val="18"/>
          <w:lang w:eastAsia="nl-NL"/>
        </w:rPr>
        <w:t xml:space="preserve"> </w:t>
      </w:r>
      <w:r w:rsidRPr="000D09A4" w:rsidR="00EB2D47">
        <w:rPr>
          <w:rFonts w:eastAsia="Times New Roman" w:cs="Times New Roman"/>
          <w:szCs w:val="18"/>
          <w:lang w:eastAsia="nl-NL"/>
        </w:rPr>
        <w:t xml:space="preserve">een belangrijke rol. </w:t>
      </w:r>
      <w:r w:rsidRPr="000D09A4" w:rsidR="00F35891">
        <w:rPr>
          <w:rFonts w:eastAsia="Times New Roman" w:cs="Times New Roman"/>
          <w:szCs w:val="18"/>
          <w:lang w:eastAsia="nl-NL"/>
        </w:rPr>
        <w:t xml:space="preserve">DNB en de AFM zijn verplicht de verantwoording c.q. jaarrekening door een externe accountant te laten controleren. </w:t>
      </w:r>
      <w:r w:rsidRPr="000D09A4" w:rsidR="001C558B">
        <w:rPr>
          <w:szCs w:val="18"/>
        </w:rPr>
        <w:t xml:space="preserve">De minister betrekt </w:t>
      </w:r>
      <w:r w:rsidRPr="000D09A4" w:rsidR="007A0631">
        <w:rPr>
          <w:szCs w:val="18"/>
        </w:rPr>
        <w:t xml:space="preserve">de uitkomsten van het accountantsonderzoek </w:t>
      </w:r>
      <w:r w:rsidRPr="000D09A4" w:rsidR="001C558B">
        <w:rPr>
          <w:szCs w:val="18"/>
        </w:rPr>
        <w:t xml:space="preserve">in zijn toezicht, bijvoorbeeld wanneer </w:t>
      </w:r>
      <w:r w:rsidRPr="000D09A4" w:rsidR="002038C1">
        <w:rPr>
          <w:szCs w:val="18"/>
        </w:rPr>
        <w:t>DNB of de AFM haar</w:t>
      </w:r>
      <w:r w:rsidRPr="000D09A4" w:rsidR="00F35891">
        <w:rPr>
          <w:szCs w:val="18"/>
        </w:rPr>
        <w:t xml:space="preserve"> </w:t>
      </w:r>
      <w:r w:rsidRPr="000D09A4" w:rsidR="001C558B">
        <w:rPr>
          <w:szCs w:val="18"/>
        </w:rPr>
        <w:t xml:space="preserve">verantwoording c.q. jaarrekening </w:t>
      </w:r>
      <w:r w:rsidRPr="000D09A4" w:rsidR="00335E10">
        <w:rPr>
          <w:szCs w:val="18"/>
        </w:rPr>
        <w:t>ter goedkeuring</w:t>
      </w:r>
      <w:r w:rsidRPr="000D09A4" w:rsidR="00521756">
        <w:rPr>
          <w:szCs w:val="18"/>
        </w:rPr>
        <w:t xml:space="preserve"> aan hem voorlegt</w:t>
      </w:r>
      <w:r w:rsidRPr="000D09A4" w:rsidR="00335E10">
        <w:rPr>
          <w:szCs w:val="18"/>
        </w:rPr>
        <w:t>.</w:t>
      </w:r>
      <w:r w:rsidRPr="000D09A4" w:rsidR="006E3779">
        <w:rPr>
          <w:szCs w:val="18"/>
        </w:rPr>
        <w:t xml:space="preserve"> </w:t>
      </w:r>
      <w:r w:rsidRPr="000D09A4" w:rsidR="002038C1">
        <w:rPr>
          <w:szCs w:val="18"/>
        </w:rPr>
        <w:t>In het</w:t>
      </w:r>
      <w:r w:rsidRPr="000D09A4" w:rsidR="006E3779">
        <w:rPr>
          <w:szCs w:val="18"/>
        </w:rPr>
        <w:t xml:space="preserve"> in bijlage </w:t>
      </w:r>
      <w:r w:rsidRPr="000D09A4" w:rsidR="00805392">
        <w:rPr>
          <w:szCs w:val="18"/>
        </w:rPr>
        <w:t>2</w:t>
      </w:r>
      <w:r w:rsidRPr="000D09A4" w:rsidR="00325A20">
        <w:rPr>
          <w:szCs w:val="18"/>
        </w:rPr>
        <w:t xml:space="preserve"> </w:t>
      </w:r>
      <w:r w:rsidRPr="000D09A4" w:rsidR="006E3779">
        <w:rPr>
          <w:szCs w:val="18"/>
        </w:rPr>
        <w:t xml:space="preserve">opgenomen </w:t>
      </w:r>
      <w:r w:rsidRPr="000D09A4" w:rsidR="00521756">
        <w:rPr>
          <w:szCs w:val="18"/>
        </w:rPr>
        <w:t>controleprotocol</w:t>
      </w:r>
      <w:r w:rsidRPr="000D09A4" w:rsidR="002038C1">
        <w:rPr>
          <w:szCs w:val="18"/>
        </w:rPr>
        <w:t xml:space="preserve"> komt een en ander uitgebreider aan de orde.</w:t>
      </w:r>
    </w:p>
    <w:p w:rsidRPr="000D09A4" w:rsidR="00D44179" w:rsidP="000E0E4B" w:rsidRDefault="00D44179" w14:paraId="2CFA2507" w14:textId="77777777">
      <w:pPr>
        <w:spacing w:after="0" w:line="260" w:lineRule="exact"/>
        <w:rPr>
          <w:szCs w:val="18"/>
        </w:rPr>
      </w:pPr>
    </w:p>
    <w:p w:rsidRPr="002867C3" w:rsidR="00A2151E" w:rsidP="002867C3" w:rsidRDefault="00D44179" w14:paraId="17A5408B" w14:textId="2EBB4812">
      <w:pPr>
        <w:spacing w:after="0" w:line="260" w:lineRule="exact"/>
        <w:jc w:val="center"/>
        <w:rPr>
          <w:rFonts w:eastAsia="Times New Roman" w:cs="Times New Roman"/>
          <w:szCs w:val="18"/>
          <w:lang w:eastAsia="nl-NL"/>
        </w:rPr>
      </w:pPr>
      <w:r w:rsidRPr="000D09A4">
        <w:rPr>
          <w:szCs w:val="18"/>
        </w:rPr>
        <w:t>***</w:t>
      </w:r>
      <w:bookmarkStart w:name="_Bijlage_I_–" w:id="26"/>
      <w:bookmarkEnd w:id="26"/>
    </w:p>
    <w:sectPr w:rsidRPr="002867C3" w:rsidR="00A2151E" w:rsidSect="008D185E">
      <w:headerReference w:type="even" r:id="rId13"/>
      <w:footerReference w:type="even" r:id="rId14"/>
      <w:footerReference w:type="default" r:id="rId15"/>
      <w:pgSz w:w="11906" w:h="16838" w:code="9"/>
      <w:pgMar w:top="1418" w:right="1418" w:bottom="1418" w:left="1418" w:header="709" w:footer="70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7A33D" w14:textId="77777777" w:rsidR="00046174" w:rsidRDefault="00046174" w:rsidP="00F77B74">
      <w:pPr>
        <w:spacing w:after="0" w:line="240" w:lineRule="auto"/>
      </w:pPr>
      <w:r>
        <w:separator/>
      </w:r>
    </w:p>
    <w:p w14:paraId="269E4350" w14:textId="77777777" w:rsidR="00046174" w:rsidRDefault="00046174"/>
  </w:endnote>
  <w:endnote w:type="continuationSeparator" w:id="0">
    <w:p w14:paraId="46BBEABB" w14:textId="77777777" w:rsidR="00046174" w:rsidRDefault="00046174" w:rsidP="00F77B74">
      <w:pPr>
        <w:spacing w:after="0" w:line="240" w:lineRule="auto"/>
      </w:pPr>
      <w:r>
        <w:continuationSeparator/>
      </w:r>
    </w:p>
    <w:p w14:paraId="3228EF1C" w14:textId="77777777" w:rsidR="00046174" w:rsidRDefault="00046174"/>
  </w:endnote>
  <w:endnote w:type="continuationNotice" w:id="1">
    <w:p w14:paraId="644C9FDF" w14:textId="77777777" w:rsidR="00046174" w:rsidRDefault="000461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useo Sans 300">
    <w:altName w:val="Museo Sans 300"/>
    <w:panose1 w:val="00000000000000000000"/>
    <w:charset w:val="00"/>
    <w:family w:val="swiss"/>
    <w:notTrueType/>
    <w:pitch w:val="default"/>
    <w:sig w:usb0="00000003" w:usb1="00000000" w:usb2="00000000" w:usb3="00000000" w:csb0="00000001" w:csb1="00000000"/>
  </w:font>
  <w:font w:name="MuseoSans-300">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7919F" w14:textId="77777777" w:rsidR="00C36369" w:rsidRDefault="00C36369">
    <w:pPr>
      <w:pStyle w:val="Voettekst"/>
    </w:pPr>
  </w:p>
  <w:p w14:paraId="6C8A5FFE" w14:textId="77777777" w:rsidR="00C36369" w:rsidRDefault="00C3636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3113797"/>
      <w:docPartObj>
        <w:docPartGallery w:val="Page Numbers (Bottom of Page)"/>
        <w:docPartUnique/>
      </w:docPartObj>
    </w:sdtPr>
    <w:sdtEndPr/>
    <w:sdtContent>
      <w:p w14:paraId="520D2A11" w14:textId="00E9CDA5" w:rsidR="00C36369" w:rsidRDefault="00C36369">
        <w:pPr>
          <w:pStyle w:val="Voettekst"/>
          <w:jc w:val="center"/>
        </w:pPr>
        <w:r>
          <w:fldChar w:fldCharType="begin"/>
        </w:r>
        <w:r>
          <w:instrText>PAGE   \* MERGEFORMAT</w:instrText>
        </w:r>
        <w:r>
          <w:fldChar w:fldCharType="separate"/>
        </w:r>
        <w:r w:rsidR="00F11721">
          <w:rPr>
            <w:noProof/>
          </w:rPr>
          <w:t>12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82E66" w14:textId="77777777" w:rsidR="00046174" w:rsidRDefault="00046174" w:rsidP="00F77B74">
      <w:pPr>
        <w:spacing w:after="0" w:line="240" w:lineRule="auto"/>
      </w:pPr>
      <w:r>
        <w:separator/>
      </w:r>
    </w:p>
  </w:footnote>
  <w:footnote w:type="continuationSeparator" w:id="0">
    <w:p w14:paraId="323F480A" w14:textId="77777777" w:rsidR="00046174" w:rsidRPr="00BE3A1A" w:rsidRDefault="00046174" w:rsidP="00BE3A1A">
      <w:pPr>
        <w:pStyle w:val="Voettekst"/>
      </w:pPr>
    </w:p>
  </w:footnote>
  <w:footnote w:type="continuationNotice" w:id="1">
    <w:p w14:paraId="73127FC2" w14:textId="77777777" w:rsidR="00046174" w:rsidRDefault="00046174">
      <w:pPr>
        <w:spacing w:after="0" w:line="240" w:lineRule="auto"/>
      </w:pPr>
    </w:p>
  </w:footnote>
  <w:footnote w:id="2">
    <w:p w14:paraId="7478E188" w14:textId="60765988" w:rsidR="009B3EEF" w:rsidRPr="000D09A4" w:rsidRDefault="009B3EEF" w:rsidP="009B3EEF">
      <w:pPr>
        <w:spacing w:after="0" w:line="240" w:lineRule="auto"/>
        <w:rPr>
          <w:rFonts w:asciiTheme="minorHAnsi" w:hAnsiTheme="minorHAnsi"/>
          <w:sz w:val="15"/>
          <w:szCs w:val="15"/>
        </w:rPr>
      </w:pPr>
      <w:r w:rsidRPr="000D09A4">
        <w:rPr>
          <w:rStyle w:val="footnotemark"/>
          <w:rFonts w:asciiTheme="minorHAnsi" w:hAnsiTheme="minorHAnsi"/>
          <w:color w:val="auto"/>
          <w:sz w:val="15"/>
          <w:szCs w:val="15"/>
        </w:rPr>
        <w:footnoteRef/>
      </w:r>
      <w:r w:rsidRPr="000D09A4">
        <w:rPr>
          <w:rFonts w:asciiTheme="minorHAnsi" w:hAnsiTheme="minorHAnsi"/>
          <w:sz w:val="15"/>
          <w:szCs w:val="15"/>
        </w:rPr>
        <w:t xml:space="preserve"> </w:t>
      </w:r>
      <w:bookmarkStart w:id="3" w:name="_Hlk181967725"/>
      <w:r w:rsidRPr="000D09A4">
        <w:rPr>
          <w:rFonts w:cs="Courier New"/>
          <w:sz w:val="15"/>
          <w:szCs w:val="15"/>
        </w:rPr>
        <w:t xml:space="preserve">De ministeriële verantwoordelijkheid heeft betrekking op de taken die DNB en de AFM uitvoeren als zbo. Op die taken is de Kaderwet zbo’s in beginsel van toepassing (art. 1:30 Wft). Deze wet is niet van toepassing op de </w:t>
      </w:r>
      <w:r w:rsidRPr="000D09A4">
        <w:rPr>
          <w:rFonts w:cs="Courier New"/>
          <w:color w:val="000000"/>
          <w:sz w:val="15"/>
          <w:szCs w:val="15"/>
        </w:rPr>
        <w:t xml:space="preserve">taken waarmee DNB belast is als onderdeel van het Europees Stelsel van Centrale Banken (ESCB) ter uitvoering van </w:t>
      </w:r>
      <w:r w:rsidRPr="000D09A4">
        <w:rPr>
          <w:sz w:val="15"/>
          <w:szCs w:val="15"/>
        </w:rPr>
        <w:t>het EU-Werkingsverdrag (art. 3 Bankwet 1998) (als centrale bank is DNB volledig onafhankelijk van de Staat)</w:t>
      </w:r>
      <w:r w:rsidRPr="000D09A4">
        <w:rPr>
          <w:rFonts w:cs="Courier New"/>
          <w:color w:val="000000"/>
          <w:sz w:val="15"/>
          <w:szCs w:val="15"/>
        </w:rPr>
        <w:t>, haar nationale taak m.b.t. het verzamelen van statistische gegevens en vervaardigen van statistieken (art. 4, eerste lid, onderdeel b Bankwet 1998), haar nationale taak tot bevordering van de goede werking van het betalingsverkeer (art. 4, eerste lid, onderdeel d Bankwet 1998) en ook niet op haar taak tot bevordering van de goede werking van het betalingsverkeer in</w:t>
      </w:r>
      <w:r w:rsidR="00F712FD" w:rsidRPr="000D09A4">
        <w:rPr>
          <w:rFonts w:cs="Courier New"/>
          <w:color w:val="000000"/>
          <w:sz w:val="15"/>
          <w:szCs w:val="15"/>
        </w:rPr>
        <w:t xml:space="preserve"> de openbare lichamen</w:t>
      </w:r>
      <w:r w:rsidRPr="000D09A4">
        <w:rPr>
          <w:rFonts w:cs="Courier New"/>
          <w:color w:val="000000"/>
          <w:sz w:val="15"/>
          <w:szCs w:val="15"/>
        </w:rPr>
        <w:t xml:space="preserve"> Bonaire, Sint Eustatius en Saba (art. 4 Wet geldstelsel BES). </w:t>
      </w:r>
      <w:r w:rsidRPr="000D09A4">
        <w:rPr>
          <w:sz w:val="15"/>
          <w:szCs w:val="15"/>
        </w:rPr>
        <w:t>Tenzij anders aangegeven heeft dit document enkel betrekking op de taken die DNB uitvoert als zbo</w:t>
      </w:r>
      <w:bookmarkEnd w:id="3"/>
      <w:r w:rsidR="005472DF" w:rsidRPr="000D09A4">
        <w:rPr>
          <w:sz w:val="15"/>
          <w:szCs w:val="15"/>
        </w:rPr>
        <w:t xml:space="preserve">, </w:t>
      </w:r>
      <w:r w:rsidR="005472DF" w:rsidRPr="000D09A4">
        <w:rPr>
          <w:rFonts w:cs="Courier New"/>
          <w:sz w:val="15"/>
          <w:szCs w:val="15"/>
        </w:rPr>
        <w:t>inclusief de resolutie- en afwikkelingstaak die DNB heeft.</w:t>
      </w:r>
    </w:p>
  </w:footnote>
  <w:footnote w:id="3">
    <w:p w14:paraId="0FA63168" w14:textId="77777777" w:rsidR="00C36369" w:rsidRPr="000D09A4" w:rsidRDefault="00C36369" w:rsidP="00E31F1A">
      <w:pPr>
        <w:pStyle w:val="Voetnoottekst"/>
        <w:rPr>
          <w:rFonts w:asciiTheme="minorHAnsi" w:hAnsiTheme="minorHAnsi" w:cs="Courier New"/>
          <w:sz w:val="15"/>
          <w:szCs w:val="15"/>
        </w:rPr>
      </w:pPr>
      <w:r w:rsidRPr="000D09A4">
        <w:rPr>
          <w:rStyle w:val="Voetnootmarkering"/>
          <w:rFonts w:asciiTheme="minorHAnsi" w:hAnsiTheme="minorHAnsi" w:cs="Courier New"/>
          <w:sz w:val="15"/>
          <w:szCs w:val="15"/>
        </w:rPr>
        <w:footnoteRef/>
      </w:r>
      <w:r w:rsidRPr="000D09A4">
        <w:rPr>
          <w:rFonts w:asciiTheme="minorHAnsi" w:hAnsiTheme="minorHAnsi" w:cs="Courier New"/>
          <w:sz w:val="15"/>
          <w:szCs w:val="15"/>
        </w:rPr>
        <w:t xml:space="preserve"> Zie ook </w:t>
      </w:r>
      <w:r w:rsidRPr="000D09A4">
        <w:rPr>
          <w:rFonts w:asciiTheme="minorHAnsi" w:hAnsiTheme="minorHAnsi" w:cs="Courier New"/>
          <w:i/>
          <w:sz w:val="15"/>
          <w:szCs w:val="15"/>
        </w:rPr>
        <w:t xml:space="preserve">Kamerstukken I </w:t>
      </w:r>
      <w:r w:rsidRPr="000D09A4">
        <w:rPr>
          <w:rFonts w:asciiTheme="minorHAnsi" w:hAnsiTheme="minorHAnsi" w:cs="Courier New"/>
          <w:sz w:val="15"/>
          <w:szCs w:val="15"/>
        </w:rPr>
        <w:t>2013/2014, C, Q.</w:t>
      </w:r>
    </w:p>
  </w:footnote>
  <w:footnote w:id="4">
    <w:p w14:paraId="75C2191A" w14:textId="05D427DB" w:rsidR="00C36369" w:rsidRPr="000D09A4" w:rsidRDefault="00C36369" w:rsidP="00FA6561">
      <w:pPr>
        <w:pStyle w:val="Voetnoottekst"/>
        <w:rPr>
          <w:rFonts w:ascii="Verdana" w:hAnsi="Verdana"/>
          <w:sz w:val="15"/>
          <w:szCs w:val="15"/>
        </w:rPr>
      </w:pPr>
      <w:r w:rsidRPr="000D09A4">
        <w:rPr>
          <w:rStyle w:val="Voetnootmarkering"/>
          <w:rFonts w:ascii="Verdana" w:hAnsi="Verdana"/>
          <w:sz w:val="15"/>
          <w:szCs w:val="15"/>
        </w:rPr>
        <w:footnoteRef/>
      </w:r>
      <w:r w:rsidR="00EA5B73" w:rsidRPr="000D09A4">
        <w:rPr>
          <w:rFonts w:ascii="Verdana" w:hAnsi="Verdana"/>
          <w:sz w:val="15"/>
          <w:szCs w:val="15"/>
        </w:rPr>
        <w:t xml:space="preserve"> De </w:t>
      </w:r>
      <w:r w:rsidR="006D076B" w:rsidRPr="000D09A4">
        <w:rPr>
          <w:rFonts w:ascii="Verdana" w:hAnsi="Verdana"/>
          <w:sz w:val="15"/>
          <w:szCs w:val="15"/>
        </w:rPr>
        <w:t xml:space="preserve">minister </w:t>
      </w:r>
      <w:r w:rsidR="00767411" w:rsidRPr="000D09A4">
        <w:rPr>
          <w:rFonts w:ascii="Verdana" w:hAnsi="Verdana"/>
          <w:sz w:val="15"/>
          <w:szCs w:val="15"/>
        </w:rPr>
        <w:t>van SZW is mede</w:t>
      </w:r>
      <w:r w:rsidRPr="000D09A4">
        <w:rPr>
          <w:rFonts w:ascii="Verdana" w:hAnsi="Verdana"/>
          <w:sz w:val="15"/>
          <w:szCs w:val="15"/>
        </w:rPr>
        <w:t xml:space="preserve">verantwoordelijk voor het wettelijk kader voor pensioeninstellingen en voor het toezicht op deze instellingen. </w:t>
      </w:r>
    </w:p>
  </w:footnote>
  <w:footnote w:id="5">
    <w:p w14:paraId="5958788A" w14:textId="77777777" w:rsidR="00C36369" w:rsidRPr="000D09A4" w:rsidRDefault="00C36369">
      <w:pPr>
        <w:pStyle w:val="Voetnoottekst"/>
        <w:rPr>
          <w:rFonts w:ascii="Verdana" w:hAnsi="Verdana"/>
          <w:sz w:val="15"/>
          <w:szCs w:val="15"/>
        </w:rPr>
      </w:pPr>
      <w:r w:rsidRPr="000D09A4">
        <w:rPr>
          <w:rStyle w:val="Voetnootmarkering"/>
          <w:rFonts w:ascii="Verdana" w:hAnsi="Verdana"/>
          <w:sz w:val="15"/>
          <w:szCs w:val="15"/>
        </w:rPr>
        <w:footnoteRef/>
      </w:r>
      <w:r w:rsidRPr="000D09A4">
        <w:rPr>
          <w:rFonts w:ascii="Verdana" w:hAnsi="Verdana"/>
          <w:sz w:val="15"/>
          <w:szCs w:val="15"/>
        </w:rPr>
        <w:t xml:space="preserve"> Bijlage bij </w:t>
      </w:r>
      <w:r w:rsidRPr="000D09A4">
        <w:rPr>
          <w:rFonts w:ascii="Verdana" w:hAnsi="Verdana"/>
          <w:i/>
          <w:sz w:val="15"/>
          <w:szCs w:val="15"/>
        </w:rPr>
        <w:t>Kamerstukken II</w:t>
      </w:r>
      <w:r w:rsidRPr="000D09A4">
        <w:rPr>
          <w:rFonts w:ascii="Verdana" w:hAnsi="Verdana"/>
          <w:sz w:val="15"/>
          <w:szCs w:val="15"/>
        </w:rPr>
        <w:t xml:space="preserve"> 2010/11, 32648, nr. 1.</w:t>
      </w:r>
    </w:p>
  </w:footnote>
  <w:footnote w:id="6">
    <w:p w14:paraId="32152298" w14:textId="4FEA8361" w:rsidR="00C36369" w:rsidRPr="000D09A4" w:rsidRDefault="00C36369">
      <w:pPr>
        <w:pStyle w:val="Voetnoottekst"/>
        <w:rPr>
          <w:rFonts w:ascii="Verdana" w:hAnsi="Verdana"/>
          <w:sz w:val="15"/>
          <w:szCs w:val="15"/>
        </w:rPr>
      </w:pPr>
      <w:r w:rsidRPr="000D09A4">
        <w:rPr>
          <w:rStyle w:val="Voetnootmarkering"/>
          <w:rFonts w:ascii="Verdana" w:hAnsi="Verdana"/>
          <w:sz w:val="15"/>
          <w:szCs w:val="15"/>
        </w:rPr>
        <w:footnoteRef/>
      </w:r>
      <w:r w:rsidRPr="000D09A4">
        <w:rPr>
          <w:rFonts w:ascii="Verdana" w:hAnsi="Verdana"/>
          <w:sz w:val="15"/>
          <w:szCs w:val="15"/>
        </w:rPr>
        <w:t xml:space="preserve"> Deze principes komen </w:t>
      </w:r>
      <w:r w:rsidR="001E3F39" w:rsidRPr="000D09A4">
        <w:rPr>
          <w:rFonts w:ascii="Verdana" w:hAnsi="Verdana"/>
          <w:sz w:val="15"/>
          <w:szCs w:val="15"/>
        </w:rPr>
        <w:t xml:space="preserve">hierna </w:t>
      </w:r>
      <w:r w:rsidRPr="000D09A4">
        <w:rPr>
          <w:rFonts w:ascii="Verdana" w:hAnsi="Verdana"/>
          <w:sz w:val="15"/>
          <w:szCs w:val="15"/>
        </w:rPr>
        <w:t xml:space="preserve">in </w:t>
      </w:r>
      <w:r w:rsidR="001E3F39" w:rsidRPr="000D09A4">
        <w:rPr>
          <w:rFonts w:ascii="Verdana" w:hAnsi="Verdana"/>
          <w:sz w:val="15"/>
          <w:szCs w:val="15"/>
        </w:rPr>
        <w:t xml:space="preserve">par. 2 en </w:t>
      </w:r>
      <w:r w:rsidRPr="000D09A4">
        <w:rPr>
          <w:rFonts w:ascii="Verdana" w:hAnsi="Verdana"/>
          <w:sz w:val="15"/>
          <w:szCs w:val="15"/>
        </w:rPr>
        <w:t xml:space="preserve">3 uitgebreid aan bod. </w:t>
      </w:r>
    </w:p>
  </w:footnote>
  <w:footnote w:id="7">
    <w:p w14:paraId="6FDD009A" w14:textId="77777777" w:rsidR="00C36369" w:rsidRPr="000D09A4" w:rsidRDefault="00C36369">
      <w:pPr>
        <w:pStyle w:val="Voetnoottekst"/>
        <w:rPr>
          <w:rFonts w:ascii="Verdana" w:hAnsi="Verdana"/>
          <w:sz w:val="15"/>
          <w:szCs w:val="15"/>
        </w:rPr>
      </w:pPr>
      <w:r w:rsidRPr="000D09A4">
        <w:rPr>
          <w:rStyle w:val="Voetnootmarkering"/>
          <w:rFonts w:ascii="Verdana" w:hAnsi="Verdana"/>
          <w:sz w:val="15"/>
          <w:szCs w:val="15"/>
        </w:rPr>
        <w:footnoteRef/>
      </w:r>
      <w:r w:rsidRPr="000D09A4">
        <w:rPr>
          <w:rFonts w:ascii="Verdana" w:hAnsi="Verdana"/>
          <w:sz w:val="15"/>
          <w:szCs w:val="15"/>
        </w:rPr>
        <w:t xml:space="preserve"> Bijlage bij </w:t>
      </w:r>
      <w:r w:rsidRPr="000D09A4">
        <w:rPr>
          <w:rFonts w:ascii="Verdana" w:hAnsi="Verdana"/>
          <w:i/>
          <w:sz w:val="15"/>
          <w:szCs w:val="15"/>
        </w:rPr>
        <w:t>Kamerstukken II</w:t>
      </w:r>
      <w:r w:rsidRPr="000D09A4">
        <w:rPr>
          <w:rFonts w:ascii="Verdana" w:hAnsi="Verdana"/>
          <w:sz w:val="15"/>
          <w:szCs w:val="15"/>
        </w:rPr>
        <w:t xml:space="preserve"> 2012/13, 32648, nr. 4. </w:t>
      </w:r>
    </w:p>
  </w:footnote>
  <w:footnote w:id="8">
    <w:p w14:paraId="0C6CF68E" w14:textId="104F30DD" w:rsidR="00C36369" w:rsidRPr="000D09A4" w:rsidRDefault="00C36369" w:rsidP="00AE7EF8">
      <w:pPr>
        <w:pStyle w:val="Voetnoottekst"/>
        <w:tabs>
          <w:tab w:val="center" w:pos="4535"/>
        </w:tabs>
        <w:rPr>
          <w:sz w:val="15"/>
          <w:szCs w:val="15"/>
        </w:rPr>
      </w:pPr>
      <w:r w:rsidRPr="000D09A4">
        <w:rPr>
          <w:rStyle w:val="Voetnootmarkering"/>
          <w:rFonts w:ascii="Verdana" w:hAnsi="Verdana"/>
          <w:sz w:val="15"/>
          <w:szCs w:val="15"/>
        </w:rPr>
        <w:footnoteRef/>
      </w:r>
      <w:r w:rsidRPr="000D09A4">
        <w:rPr>
          <w:rFonts w:ascii="Verdana" w:hAnsi="Verdana"/>
          <w:sz w:val="15"/>
          <w:szCs w:val="15"/>
        </w:rPr>
        <w:t xml:space="preserve"> Bijlage bij </w:t>
      </w:r>
      <w:r w:rsidRPr="000D09A4">
        <w:rPr>
          <w:rFonts w:ascii="Verdana" w:hAnsi="Verdana"/>
          <w:i/>
          <w:sz w:val="15"/>
          <w:szCs w:val="15"/>
        </w:rPr>
        <w:t>Kamerstukken II</w:t>
      </w:r>
      <w:r w:rsidRPr="000D09A4">
        <w:rPr>
          <w:rFonts w:ascii="Verdana" w:hAnsi="Verdana"/>
          <w:sz w:val="15"/>
          <w:szCs w:val="15"/>
        </w:rPr>
        <w:t xml:space="preserve"> 2013/14, </w:t>
      </w:r>
      <w:r w:rsidR="003F23BC" w:rsidRPr="000D09A4">
        <w:rPr>
          <w:rFonts w:ascii="Verdana" w:hAnsi="Verdana"/>
          <w:sz w:val="15"/>
          <w:szCs w:val="15"/>
        </w:rPr>
        <w:t xml:space="preserve">32648, </w:t>
      </w:r>
      <w:r w:rsidRPr="000D09A4">
        <w:rPr>
          <w:rFonts w:ascii="Verdana" w:hAnsi="Verdana"/>
          <w:sz w:val="15"/>
          <w:szCs w:val="15"/>
        </w:rPr>
        <w:t>nr. 5.</w:t>
      </w:r>
      <w:r w:rsidRPr="000D09A4">
        <w:rPr>
          <w:sz w:val="15"/>
          <w:szCs w:val="15"/>
        </w:rPr>
        <w:t xml:space="preserve"> </w:t>
      </w:r>
      <w:r w:rsidRPr="000D09A4">
        <w:rPr>
          <w:sz w:val="15"/>
          <w:szCs w:val="15"/>
        </w:rPr>
        <w:tab/>
      </w:r>
    </w:p>
  </w:footnote>
  <w:footnote w:id="9">
    <w:p w14:paraId="70933197" w14:textId="4A968CFB" w:rsidR="003F23BC" w:rsidRPr="000D09A4" w:rsidRDefault="003F23BC">
      <w:pPr>
        <w:pStyle w:val="Voetnoottekst"/>
        <w:rPr>
          <w:rFonts w:asciiTheme="minorHAnsi" w:hAnsiTheme="minorHAnsi"/>
          <w:sz w:val="15"/>
          <w:szCs w:val="15"/>
        </w:rPr>
      </w:pPr>
      <w:r w:rsidRPr="000D09A4">
        <w:rPr>
          <w:rStyle w:val="Voetnootmarkering"/>
          <w:rFonts w:asciiTheme="minorHAnsi" w:hAnsiTheme="minorHAnsi"/>
          <w:sz w:val="15"/>
          <w:szCs w:val="15"/>
        </w:rPr>
        <w:footnoteRef/>
      </w:r>
      <w:r w:rsidRPr="000D09A4">
        <w:rPr>
          <w:rFonts w:asciiTheme="minorHAnsi" w:hAnsiTheme="minorHAnsi"/>
          <w:sz w:val="15"/>
          <w:szCs w:val="15"/>
        </w:rPr>
        <w:t xml:space="preserve"> Bijlage bij </w:t>
      </w:r>
      <w:r w:rsidRPr="000D09A4">
        <w:rPr>
          <w:rFonts w:asciiTheme="minorHAnsi" w:hAnsiTheme="minorHAnsi"/>
          <w:i/>
          <w:iCs/>
          <w:sz w:val="15"/>
          <w:szCs w:val="15"/>
        </w:rPr>
        <w:t>Kamerstukken II</w:t>
      </w:r>
      <w:r w:rsidRPr="000D09A4">
        <w:rPr>
          <w:rFonts w:asciiTheme="minorHAnsi" w:hAnsiTheme="minorHAnsi"/>
          <w:sz w:val="15"/>
          <w:szCs w:val="15"/>
        </w:rPr>
        <w:t xml:space="preserve"> 2018/19, 32648, nr. 15.</w:t>
      </w:r>
    </w:p>
  </w:footnote>
  <w:footnote w:id="10">
    <w:p w14:paraId="663F74FB" w14:textId="2117AF7E" w:rsidR="00B06FDD" w:rsidRPr="000D09A4" w:rsidRDefault="00B06FDD">
      <w:pPr>
        <w:pStyle w:val="Voetnoottekst"/>
      </w:pPr>
      <w:r w:rsidRPr="000D09A4">
        <w:rPr>
          <w:rStyle w:val="Voetnootmarkering"/>
          <w:rFonts w:asciiTheme="majorHAnsi" w:hAnsiTheme="majorHAnsi"/>
          <w:sz w:val="18"/>
          <w:szCs w:val="18"/>
        </w:rPr>
        <w:footnoteRef/>
      </w:r>
      <w:r w:rsidRPr="000D09A4">
        <w:rPr>
          <w:rFonts w:asciiTheme="majorHAnsi" w:hAnsiTheme="majorHAnsi"/>
          <w:sz w:val="18"/>
          <w:szCs w:val="18"/>
        </w:rPr>
        <w:t xml:space="preserve"> </w:t>
      </w:r>
      <w:r w:rsidRPr="000D09A4">
        <w:rPr>
          <w:rFonts w:asciiTheme="minorHAnsi" w:hAnsiTheme="minorHAnsi"/>
          <w:sz w:val="15"/>
          <w:szCs w:val="15"/>
        </w:rPr>
        <w:t xml:space="preserve">Onderhavige visie ziet niet op het toezicht dat de minister van SZW in het kader van de Pensioenwet op DNB en de AFM uitoefent. De minister van SZW heeft hiertoe een eigen visie opgesteld: </w:t>
      </w:r>
      <w:r w:rsidRPr="000D09A4">
        <w:rPr>
          <w:rFonts w:asciiTheme="minorHAnsi" w:hAnsiTheme="minorHAnsi"/>
          <w:i/>
          <w:sz w:val="15"/>
          <w:szCs w:val="15"/>
        </w:rPr>
        <w:t>Visie op pensioentoezicht</w:t>
      </w:r>
      <w:r w:rsidRPr="000D09A4">
        <w:rPr>
          <w:rFonts w:asciiTheme="minorHAnsi" w:hAnsiTheme="minorHAnsi"/>
          <w:sz w:val="15"/>
          <w:szCs w:val="15"/>
        </w:rPr>
        <w:t xml:space="preserve">, bijlage bij </w:t>
      </w:r>
      <w:r w:rsidRPr="000D09A4">
        <w:rPr>
          <w:rFonts w:asciiTheme="minorHAnsi" w:hAnsiTheme="minorHAnsi"/>
          <w:i/>
          <w:sz w:val="15"/>
          <w:szCs w:val="15"/>
        </w:rPr>
        <w:t xml:space="preserve">Kamerstukken II </w:t>
      </w:r>
      <w:r w:rsidRPr="000D09A4">
        <w:rPr>
          <w:rFonts w:asciiTheme="minorHAnsi" w:hAnsiTheme="minorHAnsi"/>
          <w:sz w:val="15"/>
          <w:szCs w:val="15"/>
        </w:rPr>
        <w:t>2013/14, 32043, nr. 221.</w:t>
      </w:r>
    </w:p>
  </w:footnote>
  <w:footnote w:id="11">
    <w:p w14:paraId="1791E897" w14:textId="461D49EC" w:rsidR="00FE4706" w:rsidRPr="000D09A4" w:rsidRDefault="00FE4706">
      <w:pPr>
        <w:pStyle w:val="Voetnoottekst"/>
        <w:rPr>
          <w:rFonts w:asciiTheme="majorHAnsi" w:hAnsiTheme="majorHAnsi"/>
          <w:sz w:val="15"/>
          <w:szCs w:val="15"/>
          <w:lang w:val="en-US"/>
        </w:rPr>
      </w:pPr>
      <w:r w:rsidRPr="000D09A4">
        <w:rPr>
          <w:rStyle w:val="Voetnootmarkering"/>
          <w:rFonts w:asciiTheme="majorHAnsi" w:hAnsiTheme="majorHAnsi"/>
          <w:sz w:val="15"/>
          <w:szCs w:val="15"/>
        </w:rPr>
        <w:footnoteRef/>
      </w:r>
      <w:r w:rsidRPr="000D09A4">
        <w:rPr>
          <w:rFonts w:asciiTheme="majorHAnsi" w:hAnsiTheme="majorHAnsi"/>
          <w:sz w:val="15"/>
          <w:szCs w:val="15"/>
          <w:lang w:val="en-US"/>
        </w:rPr>
        <w:t xml:space="preserve"> </w:t>
      </w:r>
      <w:r w:rsidRPr="000D09A4">
        <w:rPr>
          <w:rFonts w:asciiTheme="majorHAnsi" w:hAnsiTheme="majorHAnsi"/>
          <w:sz w:val="15"/>
          <w:szCs w:val="15"/>
          <w:lang w:val="en-US"/>
        </w:rPr>
        <w:t>Internationaal Monetair Fonds,</w:t>
      </w:r>
      <w:r w:rsidRPr="000D09A4">
        <w:rPr>
          <w:rFonts w:asciiTheme="majorHAnsi" w:hAnsiTheme="majorHAnsi"/>
          <w:i/>
          <w:iCs/>
          <w:sz w:val="15"/>
          <w:szCs w:val="15"/>
          <w:lang w:val="en-US"/>
        </w:rPr>
        <w:t>‘Kingdom of the Netherlands – Financial system stability assessment’</w:t>
      </w:r>
      <w:r w:rsidRPr="000D09A4">
        <w:rPr>
          <w:rFonts w:asciiTheme="majorHAnsi" w:hAnsiTheme="majorHAnsi"/>
          <w:sz w:val="15"/>
          <w:szCs w:val="15"/>
          <w:lang w:val="en-US"/>
        </w:rPr>
        <w:t>, IMF Country Report No. 24/87, April 2024, p. 9.</w:t>
      </w:r>
    </w:p>
  </w:footnote>
  <w:footnote w:id="12">
    <w:p w14:paraId="0E875A18" w14:textId="5E85C8A3" w:rsidR="00190887" w:rsidRPr="000D09A4" w:rsidRDefault="00190887">
      <w:pPr>
        <w:pStyle w:val="Voetnoottekst"/>
        <w:rPr>
          <w:rFonts w:asciiTheme="majorHAnsi" w:hAnsiTheme="majorHAnsi"/>
          <w:sz w:val="15"/>
          <w:szCs w:val="15"/>
        </w:rPr>
      </w:pPr>
      <w:r w:rsidRPr="000D09A4">
        <w:rPr>
          <w:rStyle w:val="Voetnootmarkering"/>
          <w:rFonts w:asciiTheme="majorHAnsi" w:hAnsiTheme="majorHAnsi"/>
          <w:sz w:val="15"/>
          <w:szCs w:val="15"/>
        </w:rPr>
        <w:footnoteRef/>
      </w:r>
      <w:r w:rsidRPr="000D09A4">
        <w:rPr>
          <w:rFonts w:asciiTheme="majorHAnsi" w:hAnsiTheme="majorHAnsi"/>
          <w:sz w:val="15"/>
          <w:szCs w:val="15"/>
        </w:rPr>
        <w:t xml:space="preserve"> </w:t>
      </w:r>
      <w:r w:rsidRPr="000D09A4">
        <w:rPr>
          <w:rFonts w:asciiTheme="majorHAnsi" w:hAnsiTheme="majorHAnsi"/>
          <w:i/>
          <w:iCs/>
          <w:sz w:val="15"/>
          <w:szCs w:val="15"/>
        </w:rPr>
        <w:t>Kamerstukken II</w:t>
      </w:r>
      <w:r w:rsidRPr="000D09A4">
        <w:rPr>
          <w:rFonts w:asciiTheme="majorHAnsi" w:hAnsiTheme="majorHAnsi"/>
          <w:sz w:val="15"/>
          <w:szCs w:val="15"/>
        </w:rPr>
        <w:t xml:space="preserve"> 2019/20, 35300, nr. 78.</w:t>
      </w:r>
    </w:p>
  </w:footnote>
  <w:footnote w:id="13">
    <w:p w14:paraId="189E9041" w14:textId="254618B3" w:rsidR="00B834A9" w:rsidRPr="000D09A4" w:rsidRDefault="00B834A9" w:rsidP="00B834A9">
      <w:pPr>
        <w:pStyle w:val="Voetnoottekst"/>
        <w:rPr>
          <w:rFonts w:ascii="Verdana" w:hAnsi="Verdana"/>
          <w:sz w:val="15"/>
          <w:szCs w:val="15"/>
        </w:rPr>
      </w:pPr>
      <w:r w:rsidRPr="000D09A4">
        <w:rPr>
          <w:rStyle w:val="Voetnootmarkering"/>
          <w:rFonts w:ascii="Verdana" w:hAnsi="Verdana"/>
          <w:sz w:val="15"/>
          <w:szCs w:val="15"/>
        </w:rPr>
        <w:footnoteRef/>
      </w:r>
      <w:r w:rsidRPr="000D09A4">
        <w:rPr>
          <w:rFonts w:ascii="Verdana" w:hAnsi="Verdana"/>
          <w:sz w:val="15"/>
          <w:szCs w:val="15"/>
        </w:rPr>
        <w:t xml:space="preserve"> Hiervoor is al genoemd dat DNB als</w:t>
      </w:r>
      <w:r w:rsidR="00696398" w:rsidRPr="000D09A4">
        <w:rPr>
          <w:rFonts w:ascii="Verdana" w:hAnsi="Verdana"/>
          <w:sz w:val="15"/>
          <w:szCs w:val="15"/>
        </w:rPr>
        <w:t xml:space="preserve"> </w:t>
      </w:r>
      <w:r w:rsidR="00696398" w:rsidRPr="000D09A4">
        <w:rPr>
          <w:rFonts w:ascii="Verdana" w:hAnsi="Verdana"/>
          <w:sz w:val="15"/>
          <w:szCs w:val="15"/>
        </w:rPr>
        <w:t>zbo</w:t>
      </w:r>
      <w:r w:rsidRPr="000D09A4">
        <w:rPr>
          <w:rFonts w:ascii="Verdana" w:hAnsi="Verdana"/>
          <w:sz w:val="15"/>
          <w:szCs w:val="15"/>
        </w:rPr>
        <w:t xml:space="preserve">, naast toezichthouder op de financiële markten, ook resolutie- en DGS-autoriteit is. </w:t>
      </w:r>
    </w:p>
  </w:footnote>
  <w:footnote w:id="14">
    <w:p w14:paraId="249EA045" w14:textId="77777777" w:rsidR="00B312C6" w:rsidRPr="000D09A4" w:rsidRDefault="00B312C6" w:rsidP="00B312C6">
      <w:pPr>
        <w:pStyle w:val="Voetnoottekst"/>
        <w:ind w:hanging="11"/>
        <w:rPr>
          <w:rFonts w:asciiTheme="minorHAnsi" w:hAnsiTheme="minorHAnsi"/>
          <w:sz w:val="15"/>
          <w:szCs w:val="15"/>
        </w:rPr>
      </w:pPr>
      <w:r w:rsidRPr="000D09A4">
        <w:rPr>
          <w:rStyle w:val="Voetnootmarkering"/>
          <w:rFonts w:asciiTheme="minorHAnsi" w:hAnsiTheme="minorHAnsi"/>
          <w:sz w:val="15"/>
          <w:szCs w:val="15"/>
        </w:rPr>
        <w:footnoteRef/>
      </w:r>
      <w:r w:rsidRPr="000D09A4">
        <w:rPr>
          <w:rFonts w:asciiTheme="minorHAnsi" w:hAnsiTheme="minorHAnsi"/>
          <w:sz w:val="15"/>
          <w:szCs w:val="15"/>
        </w:rPr>
        <w:t xml:space="preserve"> </w:t>
      </w:r>
      <w:r w:rsidRPr="000D09A4">
        <w:rPr>
          <w:rFonts w:asciiTheme="minorHAnsi" w:hAnsiTheme="minorHAnsi"/>
          <w:i/>
          <w:sz w:val="15"/>
          <w:szCs w:val="15"/>
        </w:rPr>
        <w:t>Minder last, meer effect. Zes principes van goed toezicht</w:t>
      </w:r>
      <w:r w:rsidRPr="000D09A4">
        <w:rPr>
          <w:rFonts w:asciiTheme="minorHAnsi" w:hAnsiTheme="minorHAnsi"/>
          <w:sz w:val="15"/>
          <w:szCs w:val="15"/>
        </w:rPr>
        <w:t xml:space="preserve">, Ministerie van Binnenlandse Zaken en Koninkrijksrelaties, p. 14, bijlage bij </w:t>
      </w:r>
      <w:r w:rsidRPr="000D09A4">
        <w:rPr>
          <w:rFonts w:asciiTheme="minorHAnsi" w:hAnsiTheme="minorHAnsi"/>
          <w:i/>
          <w:sz w:val="15"/>
          <w:szCs w:val="15"/>
        </w:rPr>
        <w:t>Kamerstukken II</w:t>
      </w:r>
      <w:r w:rsidRPr="000D09A4">
        <w:rPr>
          <w:rFonts w:asciiTheme="minorHAnsi" w:hAnsiTheme="minorHAnsi"/>
          <w:sz w:val="15"/>
          <w:szCs w:val="15"/>
        </w:rPr>
        <w:t xml:space="preserve"> 2005/06, 27831, nr. 15.</w:t>
      </w:r>
    </w:p>
  </w:footnote>
  <w:footnote w:id="15">
    <w:p w14:paraId="74774A3C" w14:textId="77777777" w:rsidR="00B312C6" w:rsidRPr="000D09A4" w:rsidRDefault="00B312C6" w:rsidP="00B312C6">
      <w:pPr>
        <w:pStyle w:val="Voetnoottekst"/>
        <w:ind w:hanging="11"/>
        <w:rPr>
          <w:rFonts w:asciiTheme="minorHAnsi" w:hAnsiTheme="minorHAnsi"/>
          <w:sz w:val="15"/>
          <w:szCs w:val="15"/>
        </w:rPr>
      </w:pPr>
      <w:r w:rsidRPr="000D09A4">
        <w:rPr>
          <w:rStyle w:val="Voetnootmarkering"/>
          <w:rFonts w:asciiTheme="minorHAnsi" w:hAnsiTheme="minorHAnsi"/>
          <w:sz w:val="15"/>
          <w:szCs w:val="15"/>
        </w:rPr>
        <w:footnoteRef/>
      </w:r>
      <w:r w:rsidRPr="000D09A4">
        <w:rPr>
          <w:rFonts w:asciiTheme="minorHAnsi" w:hAnsiTheme="minorHAnsi"/>
          <w:sz w:val="15"/>
          <w:szCs w:val="15"/>
        </w:rPr>
        <w:t xml:space="preserve"> Dat wil zeggen: datgene waarop toezicht wordt gehouden. Zie </w:t>
      </w:r>
      <w:r w:rsidRPr="000D09A4">
        <w:rPr>
          <w:rFonts w:asciiTheme="minorHAnsi" w:hAnsiTheme="minorHAnsi"/>
          <w:i/>
          <w:sz w:val="15"/>
          <w:szCs w:val="15"/>
        </w:rPr>
        <w:t>Minder last, meer effect. Zes principes van goed toezicht</w:t>
      </w:r>
      <w:r w:rsidRPr="000D09A4">
        <w:rPr>
          <w:rFonts w:asciiTheme="minorHAnsi" w:hAnsiTheme="minorHAnsi"/>
          <w:sz w:val="15"/>
          <w:szCs w:val="15"/>
        </w:rPr>
        <w:t xml:space="preserve">, Ministerie van Binnenlandse Zaken en Koninkrijksrelaties, p. 12, bijlage bij </w:t>
      </w:r>
      <w:r w:rsidRPr="000D09A4">
        <w:rPr>
          <w:rFonts w:asciiTheme="minorHAnsi" w:hAnsiTheme="minorHAnsi"/>
          <w:i/>
          <w:sz w:val="15"/>
          <w:szCs w:val="15"/>
        </w:rPr>
        <w:t>Kamerstukken II</w:t>
      </w:r>
      <w:r w:rsidRPr="000D09A4">
        <w:rPr>
          <w:rFonts w:asciiTheme="minorHAnsi" w:hAnsiTheme="minorHAnsi"/>
          <w:sz w:val="15"/>
          <w:szCs w:val="15"/>
        </w:rPr>
        <w:t xml:space="preserve"> 2005/06, 27831, nr. 15.</w:t>
      </w:r>
    </w:p>
  </w:footnote>
  <w:footnote w:id="16">
    <w:p w14:paraId="1F67D177" w14:textId="40359A9E" w:rsidR="00B312C6" w:rsidRPr="000D09A4" w:rsidRDefault="00B312C6" w:rsidP="00B312C6">
      <w:pPr>
        <w:pStyle w:val="Voetnoottekst"/>
        <w:rPr>
          <w:rFonts w:asciiTheme="minorHAnsi" w:hAnsiTheme="minorHAnsi"/>
          <w:sz w:val="15"/>
          <w:szCs w:val="15"/>
        </w:rPr>
      </w:pPr>
      <w:r w:rsidRPr="000D09A4">
        <w:rPr>
          <w:rStyle w:val="Voetnootmarkering"/>
          <w:rFonts w:asciiTheme="minorHAnsi" w:hAnsiTheme="minorHAnsi"/>
          <w:sz w:val="15"/>
          <w:szCs w:val="15"/>
        </w:rPr>
        <w:footnoteRef/>
      </w:r>
      <w:r w:rsidRPr="000D09A4">
        <w:rPr>
          <w:rFonts w:asciiTheme="minorHAnsi" w:hAnsiTheme="minorHAnsi"/>
          <w:sz w:val="15"/>
          <w:szCs w:val="15"/>
        </w:rPr>
        <w:t xml:space="preserve"> </w:t>
      </w:r>
      <w:r w:rsidRPr="000D09A4">
        <w:rPr>
          <w:rFonts w:asciiTheme="minorHAnsi" w:hAnsiTheme="minorHAnsi"/>
          <w:i/>
          <w:sz w:val="15"/>
          <w:szCs w:val="15"/>
        </w:rPr>
        <w:t>Stcrt</w:t>
      </w:r>
      <w:r w:rsidRPr="000D09A4">
        <w:rPr>
          <w:rFonts w:asciiTheme="minorHAnsi" w:hAnsiTheme="minorHAnsi"/>
          <w:sz w:val="15"/>
          <w:szCs w:val="15"/>
        </w:rPr>
        <w:t xml:space="preserve">. </w:t>
      </w:r>
      <w:r w:rsidR="00613E9E" w:rsidRPr="000D09A4">
        <w:rPr>
          <w:rFonts w:asciiTheme="minorHAnsi" w:hAnsiTheme="minorHAnsi"/>
          <w:sz w:val="15"/>
          <w:szCs w:val="15"/>
        </w:rPr>
        <w:t>2023, nr. 19513</w:t>
      </w:r>
      <w:r w:rsidRPr="000D09A4">
        <w:rPr>
          <w:rFonts w:asciiTheme="minorHAnsi" w:hAnsiTheme="minorHAnsi"/>
          <w:sz w:val="15"/>
          <w:szCs w:val="15"/>
        </w:rPr>
        <w:t>.</w:t>
      </w:r>
    </w:p>
  </w:footnote>
  <w:footnote w:id="17">
    <w:p w14:paraId="32A6427E" w14:textId="099C0559" w:rsidR="00613E9E" w:rsidRPr="000D09A4" w:rsidRDefault="00613E9E">
      <w:pPr>
        <w:pStyle w:val="Voetnoottekst"/>
        <w:rPr>
          <w:rFonts w:asciiTheme="majorHAnsi" w:hAnsiTheme="majorHAnsi"/>
          <w:sz w:val="15"/>
          <w:szCs w:val="15"/>
        </w:rPr>
      </w:pPr>
      <w:r w:rsidRPr="000D09A4">
        <w:rPr>
          <w:rStyle w:val="Voetnootmarkering"/>
          <w:rFonts w:asciiTheme="majorHAnsi" w:hAnsiTheme="majorHAnsi"/>
          <w:sz w:val="15"/>
          <w:szCs w:val="15"/>
        </w:rPr>
        <w:footnoteRef/>
      </w:r>
      <w:r w:rsidRPr="000D09A4">
        <w:rPr>
          <w:rFonts w:asciiTheme="majorHAnsi" w:hAnsiTheme="majorHAnsi"/>
          <w:sz w:val="15"/>
          <w:szCs w:val="15"/>
        </w:rPr>
        <w:t xml:space="preserve"> </w:t>
      </w:r>
      <w:r w:rsidR="001527D8" w:rsidRPr="000D09A4">
        <w:rPr>
          <w:rFonts w:asciiTheme="majorHAnsi" w:hAnsiTheme="majorHAnsi"/>
          <w:sz w:val="15"/>
          <w:szCs w:val="15"/>
        </w:rPr>
        <w:t xml:space="preserve">Naar verwachting zal ook de </w:t>
      </w:r>
      <w:r w:rsidRPr="000D09A4">
        <w:rPr>
          <w:rFonts w:asciiTheme="majorHAnsi" w:hAnsiTheme="majorHAnsi"/>
          <w:sz w:val="15"/>
          <w:szCs w:val="15"/>
        </w:rPr>
        <w:t>Autoriteit voor de bestrijding van witwassen en terrorismefinancierin</w:t>
      </w:r>
      <w:r w:rsidR="001527D8" w:rsidRPr="000D09A4">
        <w:rPr>
          <w:rFonts w:asciiTheme="majorHAnsi" w:hAnsiTheme="majorHAnsi"/>
          <w:sz w:val="15"/>
          <w:szCs w:val="15"/>
        </w:rPr>
        <w:t xml:space="preserve">g (AMLA) hieraan kunnen worden toegevoegd. </w:t>
      </w:r>
    </w:p>
  </w:footnote>
  <w:footnote w:id="18">
    <w:p w14:paraId="5FEABDE5" w14:textId="77777777" w:rsidR="00C36369" w:rsidRPr="000D09A4" w:rsidRDefault="00C36369" w:rsidP="00DF28B4">
      <w:pPr>
        <w:pStyle w:val="Voetnoottekst"/>
        <w:rPr>
          <w:rFonts w:asciiTheme="minorHAnsi" w:hAnsiTheme="minorHAnsi"/>
          <w:sz w:val="15"/>
          <w:szCs w:val="15"/>
        </w:rPr>
      </w:pPr>
      <w:r w:rsidRPr="000D09A4">
        <w:rPr>
          <w:rStyle w:val="Voetnootmarkering"/>
          <w:rFonts w:asciiTheme="minorHAnsi" w:hAnsiTheme="minorHAnsi"/>
          <w:sz w:val="15"/>
          <w:szCs w:val="15"/>
        </w:rPr>
        <w:footnoteRef/>
      </w:r>
      <w:r w:rsidRPr="000D09A4">
        <w:rPr>
          <w:rFonts w:asciiTheme="minorHAnsi" w:hAnsiTheme="minorHAnsi"/>
          <w:sz w:val="15"/>
          <w:szCs w:val="15"/>
        </w:rPr>
        <w:t xml:space="preserve"> </w:t>
      </w:r>
      <w:r w:rsidRPr="000D09A4">
        <w:rPr>
          <w:rFonts w:asciiTheme="minorHAnsi" w:hAnsiTheme="minorHAnsi"/>
          <w:i/>
          <w:sz w:val="15"/>
          <w:szCs w:val="15"/>
        </w:rPr>
        <w:t>Minder last, meer effect. Zes principes van goed toezicht</w:t>
      </w:r>
      <w:r w:rsidRPr="000D09A4">
        <w:rPr>
          <w:rFonts w:asciiTheme="minorHAnsi" w:hAnsiTheme="minorHAnsi"/>
          <w:sz w:val="15"/>
          <w:szCs w:val="15"/>
        </w:rPr>
        <w:t xml:space="preserve">, Ministerie van Binnenlandse Zaken en Koninkrijksrelaties, p. 15-16, bijlage bij </w:t>
      </w:r>
      <w:r w:rsidRPr="000D09A4">
        <w:rPr>
          <w:rFonts w:asciiTheme="minorHAnsi" w:hAnsiTheme="minorHAnsi"/>
          <w:i/>
          <w:sz w:val="15"/>
          <w:szCs w:val="15"/>
        </w:rPr>
        <w:t>Kamerstukken II</w:t>
      </w:r>
      <w:r w:rsidRPr="000D09A4">
        <w:rPr>
          <w:rFonts w:asciiTheme="minorHAnsi" w:hAnsiTheme="minorHAnsi"/>
          <w:sz w:val="15"/>
          <w:szCs w:val="15"/>
        </w:rPr>
        <w:t xml:space="preserve"> 2005/06, 27831, nr. 15.</w:t>
      </w:r>
    </w:p>
  </w:footnote>
  <w:footnote w:id="19">
    <w:p w14:paraId="4B83EE2E" w14:textId="77777777" w:rsidR="00C36369" w:rsidRPr="000D09A4" w:rsidRDefault="00C36369" w:rsidP="00DF28B4">
      <w:pPr>
        <w:pStyle w:val="Voetnoottekst"/>
        <w:ind w:hanging="11"/>
        <w:rPr>
          <w:rFonts w:asciiTheme="minorHAnsi" w:hAnsiTheme="minorHAnsi"/>
          <w:sz w:val="15"/>
          <w:szCs w:val="15"/>
        </w:rPr>
      </w:pPr>
      <w:r w:rsidRPr="000D09A4">
        <w:rPr>
          <w:rStyle w:val="Voetnootmarkering"/>
          <w:rFonts w:asciiTheme="minorHAnsi" w:eastAsiaTheme="majorEastAsia" w:hAnsiTheme="minorHAnsi"/>
          <w:sz w:val="15"/>
          <w:szCs w:val="15"/>
        </w:rPr>
        <w:footnoteRef/>
      </w:r>
      <w:r w:rsidRPr="000D09A4">
        <w:rPr>
          <w:rFonts w:asciiTheme="minorHAnsi" w:hAnsiTheme="minorHAnsi"/>
          <w:sz w:val="15"/>
          <w:szCs w:val="15"/>
        </w:rPr>
        <w:t xml:space="preserve"> </w:t>
      </w:r>
      <w:r w:rsidRPr="000D09A4">
        <w:rPr>
          <w:rFonts w:asciiTheme="minorHAnsi" w:hAnsiTheme="minorHAnsi"/>
          <w:i/>
          <w:sz w:val="15"/>
          <w:szCs w:val="15"/>
        </w:rPr>
        <w:t>Minder last, meer effect. Zes principes van goed toezicht</w:t>
      </w:r>
      <w:r w:rsidRPr="000D09A4">
        <w:rPr>
          <w:rFonts w:asciiTheme="minorHAnsi" w:hAnsiTheme="minorHAnsi"/>
          <w:sz w:val="15"/>
          <w:szCs w:val="15"/>
        </w:rPr>
        <w:t xml:space="preserve">, Ministerie van Binnenlandse Zaken en Koninkrijksrelaties, bijlage bij </w:t>
      </w:r>
      <w:r w:rsidRPr="000D09A4">
        <w:rPr>
          <w:rFonts w:asciiTheme="minorHAnsi" w:hAnsiTheme="minorHAnsi"/>
          <w:i/>
          <w:sz w:val="15"/>
          <w:szCs w:val="15"/>
        </w:rPr>
        <w:t>Kamerstukken II</w:t>
      </w:r>
      <w:r w:rsidRPr="000D09A4">
        <w:rPr>
          <w:rFonts w:asciiTheme="minorHAnsi" w:hAnsiTheme="minorHAnsi"/>
          <w:sz w:val="15"/>
          <w:szCs w:val="15"/>
        </w:rPr>
        <w:t xml:space="preserve"> 2005/06, 27831, nr. 15.</w:t>
      </w:r>
    </w:p>
  </w:footnote>
  <w:footnote w:id="20">
    <w:p w14:paraId="1F553B72" w14:textId="2A8241E0" w:rsidR="00B550AE" w:rsidRPr="000D09A4" w:rsidRDefault="00B550AE">
      <w:pPr>
        <w:pStyle w:val="Voetnoottekst"/>
        <w:rPr>
          <w:rFonts w:asciiTheme="minorHAnsi" w:hAnsiTheme="minorHAnsi"/>
          <w:sz w:val="15"/>
          <w:szCs w:val="15"/>
        </w:rPr>
      </w:pPr>
      <w:r w:rsidRPr="000D09A4">
        <w:rPr>
          <w:rStyle w:val="Voetnootmarkering"/>
          <w:rFonts w:asciiTheme="minorHAnsi" w:hAnsiTheme="minorHAnsi"/>
          <w:sz w:val="15"/>
          <w:szCs w:val="15"/>
        </w:rPr>
        <w:footnoteRef/>
      </w:r>
      <w:r w:rsidRPr="000D09A4">
        <w:rPr>
          <w:rFonts w:asciiTheme="minorHAnsi" w:hAnsiTheme="minorHAnsi"/>
          <w:sz w:val="15"/>
          <w:szCs w:val="15"/>
        </w:rPr>
        <w:t xml:space="preserve"> </w:t>
      </w:r>
      <w:r w:rsidR="00201D4B" w:rsidRPr="000D09A4">
        <w:rPr>
          <w:rFonts w:asciiTheme="minorHAnsi" w:hAnsiTheme="minorHAnsi"/>
          <w:sz w:val="15"/>
          <w:szCs w:val="15"/>
        </w:rPr>
        <w:t>Kaderstellende visie op toezicht, p. 4</w:t>
      </w:r>
      <w:r w:rsidR="00B064F0" w:rsidRPr="000D09A4">
        <w:rPr>
          <w:rFonts w:asciiTheme="minorHAnsi" w:hAnsiTheme="minorHAnsi"/>
          <w:sz w:val="15"/>
          <w:szCs w:val="15"/>
        </w:rPr>
        <w:t>.</w:t>
      </w:r>
    </w:p>
  </w:footnote>
  <w:footnote w:id="21">
    <w:p w14:paraId="23D64B00" w14:textId="05B1DA94" w:rsidR="00B550AE" w:rsidRPr="000D09A4" w:rsidRDefault="00B550AE">
      <w:pPr>
        <w:pStyle w:val="Voetnoottekst"/>
        <w:rPr>
          <w:sz w:val="15"/>
          <w:szCs w:val="15"/>
        </w:rPr>
      </w:pPr>
      <w:r w:rsidRPr="000D09A4">
        <w:rPr>
          <w:rStyle w:val="Voetnootmarkering"/>
          <w:rFonts w:asciiTheme="minorHAnsi" w:hAnsiTheme="minorHAnsi"/>
          <w:sz w:val="15"/>
          <w:szCs w:val="15"/>
        </w:rPr>
        <w:footnoteRef/>
      </w:r>
      <w:r w:rsidRPr="000D09A4">
        <w:rPr>
          <w:rFonts w:asciiTheme="minorHAnsi" w:hAnsiTheme="minorHAnsi"/>
          <w:sz w:val="15"/>
          <w:szCs w:val="15"/>
        </w:rPr>
        <w:t xml:space="preserve"> </w:t>
      </w:r>
      <w:r w:rsidR="00201D4B" w:rsidRPr="000D09A4">
        <w:rPr>
          <w:rFonts w:asciiTheme="minorHAnsi" w:hAnsiTheme="minorHAnsi"/>
          <w:sz w:val="15"/>
          <w:szCs w:val="15"/>
        </w:rPr>
        <w:t xml:space="preserve">Kaderstellende visie op toezicht, p. 29. </w:t>
      </w:r>
    </w:p>
  </w:footnote>
  <w:footnote w:id="22">
    <w:p w14:paraId="6F07F685" w14:textId="595D5E80" w:rsidR="00C36369" w:rsidRPr="000D09A4" w:rsidRDefault="00C36369" w:rsidP="00642392">
      <w:pPr>
        <w:pStyle w:val="Voetnoottekst"/>
        <w:ind w:hanging="11"/>
        <w:rPr>
          <w:rFonts w:asciiTheme="minorHAnsi" w:hAnsiTheme="minorHAnsi"/>
          <w:sz w:val="15"/>
          <w:szCs w:val="15"/>
        </w:rPr>
      </w:pPr>
      <w:r w:rsidRPr="000D09A4">
        <w:rPr>
          <w:rStyle w:val="Voetnootmarkering"/>
          <w:rFonts w:asciiTheme="minorHAnsi" w:hAnsiTheme="minorHAnsi"/>
          <w:sz w:val="15"/>
          <w:szCs w:val="15"/>
        </w:rPr>
        <w:footnoteRef/>
      </w:r>
      <w:r w:rsidRPr="000D09A4">
        <w:rPr>
          <w:rFonts w:asciiTheme="minorHAnsi" w:hAnsiTheme="minorHAnsi"/>
          <w:sz w:val="15"/>
          <w:szCs w:val="15"/>
        </w:rPr>
        <w:t xml:space="preserve"> </w:t>
      </w:r>
      <w:r w:rsidR="00201D4B" w:rsidRPr="000D09A4">
        <w:rPr>
          <w:rFonts w:asciiTheme="minorHAnsi" w:hAnsiTheme="minorHAnsi"/>
          <w:sz w:val="15"/>
          <w:szCs w:val="15"/>
        </w:rPr>
        <w:t xml:space="preserve">Kaderstellende visie op toezicht, p. 18-19. </w:t>
      </w:r>
    </w:p>
  </w:footnote>
  <w:footnote w:id="23">
    <w:p w14:paraId="1F893D03" w14:textId="77777777" w:rsidR="00C36369" w:rsidRPr="000D09A4" w:rsidRDefault="00C36369" w:rsidP="00642392">
      <w:pPr>
        <w:pStyle w:val="Voetnoottekst"/>
        <w:rPr>
          <w:rFonts w:asciiTheme="minorHAnsi" w:hAnsiTheme="minorHAnsi"/>
          <w:sz w:val="15"/>
          <w:szCs w:val="15"/>
        </w:rPr>
      </w:pPr>
      <w:r w:rsidRPr="000D09A4">
        <w:rPr>
          <w:rStyle w:val="Voetnootmarkering"/>
          <w:rFonts w:asciiTheme="minorHAnsi" w:hAnsiTheme="minorHAnsi"/>
          <w:sz w:val="15"/>
          <w:szCs w:val="15"/>
        </w:rPr>
        <w:footnoteRef/>
      </w:r>
      <w:r w:rsidRPr="000D09A4">
        <w:rPr>
          <w:rFonts w:asciiTheme="minorHAnsi" w:hAnsiTheme="minorHAnsi"/>
          <w:sz w:val="15"/>
          <w:szCs w:val="15"/>
        </w:rPr>
        <w:t xml:space="preserve"> Het begrip ’beleid’ wordt hier breed uitgelegd en omvat onder andere de strategie, zie </w:t>
      </w:r>
      <w:r w:rsidRPr="000D09A4">
        <w:rPr>
          <w:rFonts w:asciiTheme="minorHAnsi" w:hAnsiTheme="minorHAnsi"/>
          <w:i/>
          <w:sz w:val="15"/>
          <w:szCs w:val="15"/>
        </w:rPr>
        <w:t>Kamerstukken II</w:t>
      </w:r>
      <w:r w:rsidRPr="000D09A4">
        <w:rPr>
          <w:rFonts w:asciiTheme="minorHAnsi" w:hAnsiTheme="minorHAnsi"/>
          <w:sz w:val="15"/>
          <w:szCs w:val="15"/>
        </w:rPr>
        <w:t xml:space="preserve"> 2010/11, 32782, nr. 3, p. 7.</w:t>
      </w:r>
    </w:p>
  </w:footnote>
  <w:footnote w:id="24">
    <w:p w14:paraId="6EF656C2" w14:textId="6F11F9A9" w:rsidR="00C36369" w:rsidRPr="000D09A4" w:rsidRDefault="00C36369" w:rsidP="00642392">
      <w:pPr>
        <w:pStyle w:val="Voetnoottekst"/>
        <w:rPr>
          <w:rFonts w:asciiTheme="minorHAnsi" w:hAnsiTheme="minorHAnsi"/>
          <w:sz w:val="15"/>
          <w:szCs w:val="15"/>
        </w:rPr>
      </w:pPr>
      <w:r w:rsidRPr="000D09A4">
        <w:rPr>
          <w:rStyle w:val="Voetnootmarkering"/>
          <w:rFonts w:asciiTheme="minorHAnsi" w:hAnsiTheme="minorHAnsi"/>
          <w:sz w:val="13"/>
          <w:szCs w:val="13"/>
        </w:rPr>
        <w:footnoteRef/>
      </w:r>
      <w:r w:rsidRPr="000D09A4">
        <w:rPr>
          <w:rFonts w:asciiTheme="minorHAnsi" w:hAnsiTheme="minorHAnsi"/>
          <w:sz w:val="15"/>
          <w:szCs w:val="15"/>
        </w:rPr>
        <w:t xml:space="preserve"> In het geval van DNB betreft het hier het beleid van de directie van DNB ter uitvoering van art. 4 Bankwet 1998. Het beleid ter uitvoering van de in art. 3</w:t>
      </w:r>
      <w:r w:rsidRPr="000D09A4">
        <w:rPr>
          <w:rFonts w:asciiTheme="minorHAnsi" w:hAnsiTheme="minorHAnsi"/>
          <w:i/>
          <w:sz w:val="15"/>
          <w:szCs w:val="15"/>
        </w:rPr>
        <w:t xml:space="preserve"> </w:t>
      </w:r>
      <w:r w:rsidRPr="000D09A4">
        <w:rPr>
          <w:rFonts w:asciiTheme="minorHAnsi" w:hAnsiTheme="minorHAnsi"/>
          <w:sz w:val="15"/>
          <w:szCs w:val="15"/>
        </w:rPr>
        <w:t>Bankwet 1998 genoemde centrale banktaken van DNB, vallen buiten het interne toezicht. In het toezicht op de</w:t>
      </w:r>
      <w:r w:rsidR="00BD05F3" w:rsidRPr="000D09A4">
        <w:rPr>
          <w:rFonts w:asciiTheme="minorHAnsi" w:hAnsiTheme="minorHAnsi"/>
          <w:sz w:val="15"/>
          <w:szCs w:val="15"/>
        </w:rPr>
        <w:t xml:space="preserve">ze </w:t>
      </w:r>
      <w:r w:rsidRPr="000D09A4">
        <w:rPr>
          <w:rFonts w:asciiTheme="minorHAnsi" w:hAnsiTheme="minorHAnsi"/>
          <w:sz w:val="15"/>
          <w:szCs w:val="15"/>
        </w:rPr>
        <w:t>taken van DNB is namelijk reeds voorzien in de statuten van het Europees Stelsel van Centrale Banken (ESCB). Zie ook art. 13</w:t>
      </w:r>
      <w:r w:rsidR="00BD05F3" w:rsidRPr="000D09A4">
        <w:rPr>
          <w:rFonts w:asciiTheme="minorHAnsi" w:hAnsiTheme="minorHAnsi"/>
          <w:sz w:val="15"/>
          <w:szCs w:val="15"/>
        </w:rPr>
        <w:t>,</w:t>
      </w:r>
      <w:r w:rsidRPr="000D09A4">
        <w:rPr>
          <w:rFonts w:asciiTheme="minorHAnsi" w:hAnsiTheme="minorHAnsi"/>
          <w:sz w:val="15"/>
          <w:szCs w:val="15"/>
        </w:rPr>
        <w:t xml:space="preserve"> </w:t>
      </w:r>
      <w:r w:rsidR="00BD05F3" w:rsidRPr="000D09A4">
        <w:rPr>
          <w:rFonts w:asciiTheme="minorHAnsi" w:hAnsiTheme="minorHAnsi"/>
          <w:sz w:val="15"/>
          <w:szCs w:val="15"/>
        </w:rPr>
        <w:t>zesde</w:t>
      </w:r>
      <w:r w:rsidRPr="000D09A4">
        <w:rPr>
          <w:rFonts w:asciiTheme="minorHAnsi" w:hAnsiTheme="minorHAnsi"/>
          <w:sz w:val="15"/>
          <w:szCs w:val="15"/>
        </w:rPr>
        <w:t xml:space="preserve"> lid</w:t>
      </w:r>
      <w:r w:rsidR="00BD05F3" w:rsidRPr="000D09A4">
        <w:rPr>
          <w:rFonts w:asciiTheme="minorHAnsi" w:hAnsiTheme="minorHAnsi"/>
          <w:sz w:val="15"/>
          <w:szCs w:val="15"/>
        </w:rPr>
        <w:t xml:space="preserve">, </w:t>
      </w:r>
      <w:r w:rsidRPr="000D09A4">
        <w:rPr>
          <w:rFonts w:asciiTheme="minorHAnsi" w:hAnsiTheme="minorHAnsi"/>
          <w:sz w:val="15"/>
          <w:szCs w:val="15"/>
        </w:rPr>
        <w:t xml:space="preserve">Bankwet 1998 en </w:t>
      </w:r>
      <w:r w:rsidRPr="000D09A4">
        <w:rPr>
          <w:rFonts w:asciiTheme="minorHAnsi" w:hAnsiTheme="minorHAnsi"/>
          <w:i/>
          <w:sz w:val="15"/>
          <w:szCs w:val="15"/>
        </w:rPr>
        <w:t>Kamerstukken II</w:t>
      </w:r>
      <w:r w:rsidRPr="000D09A4">
        <w:rPr>
          <w:rFonts w:asciiTheme="minorHAnsi" w:hAnsiTheme="minorHAnsi"/>
          <w:sz w:val="15"/>
          <w:szCs w:val="15"/>
        </w:rPr>
        <w:t xml:space="preserve"> 2010/11, 32782, nr. 3, p. 7.</w:t>
      </w:r>
    </w:p>
  </w:footnote>
  <w:footnote w:id="25">
    <w:p w14:paraId="7B6B32EE" w14:textId="66C6F026" w:rsidR="00C36369" w:rsidRPr="000D09A4" w:rsidRDefault="00C36369" w:rsidP="00642392">
      <w:pPr>
        <w:pStyle w:val="Voetnoottekst"/>
        <w:rPr>
          <w:rFonts w:asciiTheme="minorHAnsi" w:hAnsiTheme="minorHAnsi"/>
          <w:sz w:val="15"/>
          <w:szCs w:val="15"/>
        </w:rPr>
      </w:pPr>
      <w:r w:rsidRPr="000D09A4">
        <w:rPr>
          <w:rStyle w:val="Voetnootmarkering"/>
          <w:rFonts w:asciiTheme="minorHAnsi" w:hAnsiTheme="minorHAnsi"/>
          <w:sz w:val="15"/>
          <w:szCs w:val="15"/>
        </w:rPr>
        <w:footnoteRef/>
      </w:r>
      <w:r w:rsidRPr="000D09A4">
        <w:rPr>
          <w:rFonts w:asciiTheme="minorHAnsi" w:hAnsiTheme="minorHAnsi"/>
          <w:sz w:val="15"/>
          <w:szCs w:val="15"/>
        </w:rPr>
        <w:t xml:space="preserve"> Art. 1:27</w:t>
      </w:r>
      <w:r w:rsidR="004C40EB" w:rsidRPr="000D09A4">
        <w:rPr>
          <w:rFonts w:asciiTheme="minorHAnsi" w:hAnsiTheme="minorHAnsi"/>
          <w:sz w:val="15"/>
          <w:szCs w:val="15"/>
        </w:rPr>
        <w:t>, tweede</w:t>
      </w:r>
      <w:r w:rsidRPr="000D09A4">
        <w:rPr>
          <w:rFonts w:asciiTheme="minorHAnsi" w:hAnsiTheme="minorHAnsi"/>
          <w:sz w:val="15"/>
          <w:szCs w:val="15"/>
        </w:rPr>
        <w:t xml:space="preserve"> lid</w:t>
      </w:r>
      <w:r w:rsidR="004C40EB" w:rsidRPr="000D09A4">
        <w:rPr>
          <w:rFonts w:asciiTheme="minorHAnsi" w:hAnsiTheme="minorHAnsi"/>
          <w:sz w:val="15"/>
          <w:szCs w:val="15"/>
        </w:rPr>
        <w:t>,</w:t>
      </w:r>
      <w:r w:rsidRPr="000D09A4">
        <w:rPr>
          <w:rFonts w:asciiTheme="minorHAnsi" w:hAnsiTheme="minorHAnsi"/>
          <w:sz w:val="15"/>
          <w:szCs w:val="15"/>
        </w:rPr>
        <w:t xml:space="preserve"> </w:t>
      </w:r>
      <w:r w:rsidRPr="000D09A4">
        <w:rPr>
          <w:rFonts w:asciiTheme="minorHAnsi" w:hAnsiTheme="minorHAnsi"/>
          <w:sz w:val="15"/>
          <w:szCs w:val="15"/>
        </w:rPr>
        <w:t>Wft en art. 13</w:t>
      </w:r>
      <w:r w:rsidR="004C40EB" w:rsidRPr="000D09A4">
        <w:rPr>
          <w:rFonts w:asciiTheme="minorHAnsi" w:hAnsiTheme="minorHAnsi"/>
          <w:sz w:val="15"/>
          <w:szCs w:val="15"/>
        </w:rPr>
        <w:t>, zesde lid,</w:t>
      </w:r>
      <w:r w:rsidRPr="000D09A4">
        <w:rPr>
          <w:rFonts w:asciiTheme="minorHAnsi" w:hAnsiTheme="minorHAnsi"/>
          <w:sz w:val="15"/>
          <w:szCs w:val="15"/>
        </w:rPr>
        <w:t xml:space="preserve"> Bankwet 1998.</w:t>
      </w:r>
    </w:p>
  </w:footnote>
  <w:footnote w:id="26">
    <w:p w14:paraId="65608BD2" w14:textId="6D78F2DA" w:rsidR="002867C3" w:rsidRPr="000D09A4" w:rsidRDefault="002867C3">
      <w:pPr>
        <w:pStyle w:val="Voetnoottekst"/>
      </w:pPr>
      <w:r w:rsidRPr="000D09A4">
        <w:rPr>
          <w:rStyle w:val="Voetnootmarkering"/>
          <w:rFonts w:asciiTheme="majorHAnsi" w:hAnsiTheme="majorHAnsi"/>
          <w:sz w:val="15"/>
          <w:szCs w:val="15"/>
        </w:rPr>
        <w:footnoteRef/>
      </w:r>
      <w:r w:rsidRPr="000D09A4">
        <w:rPr>
          <w:rFonts w:asciiTheme="majorHAnsi" w:hAnsiTheme="majorHAnsi"/>
          <w:sz w:val="15"/>
          <w:szCs w:val="15"/>
        </w:rPr>
        <w:t xml:space="preserve"> </w:t>
      </w:r>
      <w:bookmarkStart w:id="15" w:name="_Hlk181970442"/>
      <w:r w:rsidRPr="000D09A4">
        <w:rPr>
          <w:rFonts w:asciiTheme="majorHAnsi" w:hAnsiTheme="majorHAnsi"/>
          <w:sz w:val="15"/>
          <w:szCs w:val="15"/>
        </w:rPr>
        <w:t>Voor DNB wordt met ‘de begroting en verantwoording’ in dit stuk gedoeld op de ZBO-begroting en ZBO-verantwoording.</w:t>
      </w:r>
      <w:bookmarkEnd w:id="15"/>
    </w:p>
  </w:footnote>
  <w:footnote w:id="27">
    <w:p w14:paraId="135B697B" w14:textId="3F7AB4DE" w:rsidR="0072186A" w:rsidRPr="000D09A4" w:rsidRDefault="0072186A" w:rsidP="0072186A">
      <w:pPr>
        <w:pStyle w:val="Voetnoottekst"/>
        <w:rPr>
          <w:rFonts w:asciiTheme="minorHAnsi" w:hAnsiTheme="minorHAnsi"/>
          <w:sz w:val="15"/>
          <w:szCs w:val="15"/>
        </w:rPr>
      </w:pPr>
      <w:r w:rsidRPr="000D09A4">
        <w:rPr>
          <w:rStyle w:val="Voetnootmarkering"/>
          <w:rFonts w:asciiTheme="minorHAnsi" w:hAnsiTheme="minorHAnsi"/>
          <w:sz w:val="15"/>
          <w:szCs w:val="15"/>
        </w:rPr>
        <w:footnoteRef/>
      </w:r>
      <w:r w:rsidRPr="000D09A4">
        <w:rPr>
          <w:rFonts w:asciiTheme="minorHAnsi" w:hAnsiTheme="minorHAnsi"/>
          <w:sz w:val="15"/>
          <w:szCs w:val="15"/>
        </w:rPr>
        <w:t xml:space="preserve"> Zie ook de uitwerking van het principe onafhankelijk (par. 3.4). </w:t>
      </w:r>
    </w:p>
  </w:footnote>
  <w:footnote w:id="28">
    <w:p w14:paraId="5A8DC860" w14:textId="5FBB15FF" w:rsidR="00C36369" w:rsidRPr="000D09A4" w:rsidRDefault="00C36369" w:rsidP="00642392">
      <w:pPr>
        <w:pStyle w:val="footnotedescription"/>
        <w:spacing w:line="240" w:lineRule="auto"/>
        <w:rPr>
          <w:rFonts w:asciiTheme="minorHAnsi" w:hAnsiTheme="minorHAnsi"/>
          <w:color w:val="auto"/>
          <w:sz w:val="15"/>
          <w:szCs w:val="15"/>
        </w:rPr>
      </w:pPr>
      <w:r w:rsidRPr="000D09A4">
        <w:rPr>
          <w:rStyle w:val="footnotemark"/>
          <w:rFonts w:asciiTheme="minorHAnsi" w:hAnsiTheme="minorHAnsi"/>
          <w:color w:val="auto"/>
          <w:sz w:val="15"/>
          <w:szCs w:val="15"/>
        </w:rPr>
        <w:footnoteRef/>
      </w:r>
      <w:r w:rsidRPr="000D09A4">
        <w:rPr>
          <w:rFonts w:asciiTheme="minorHAnsi" w:hAnsiTheme="minorHAnsi"/>
          <w:color w:val="auto"/>
          <w:sz w:val="15"/>
          <w:szCs w:val="15"/>
        </w:rPr>
        <w:t xml:space="preserve"> </w:t>
      </w:r>
      <w:r w:rsidR="00201D4B" w:rsidRPr="000D09A4">
        <w:rPr>
          <w:rFonts w:asciiTheme="minorHAnsi" w:hAnsiTheme="minorHAnsi"/>
          <w:color w:val="auto"/>
          <w:sz w:val="15"/>
          <w:szCs w:val="15"/>
        </w:rPr>
        <w:t xml:space="preserve">Kaderstellende visie op toezicht, p. 21. </w:t>
      </w:r>
    </w:p>
  </w:footnote>
  <w:footnote w:id="29">
    <w:p w14:paraId="0C4CE4B8" w14:textId="22919630" w:rsidR="00C36369" w:rsidRPr="000D09A4" w:rsidRDefault="00C36369" w:rsidP="00642392">
      <w:pPr>
        <w:pStyle w:val="footnotedescription"/>
        <w:spacing w:line="240" w:lineRule="auto"/>
        <w:rPr>
          <w:rFonts w:asciiTheme="minorHAnsi" w:hAnsiTheme="minorHAnsi"/>
          <w:color w:val="auto"/>
          <w:sz w:val="15"/>
          <w:szCs w:val="15"/>
        </w:rPr>
      </w:pPr>
      <w:r w:rsidRPr="000D09A4">
        <w:rPr>
          <w:rStyle w:val="footnotemark"/>
          <w:rFonts w:asciiTheme="minorHAnsi" w:hAnsiTheme="minorHAnsi"/>
          <w:color w:val="auto"/>
          <w:sz w:val="15"/>
          <w:szCs w:val="15"/>
        </w:rPr>
        <w:footnoteRef/>
      </w:r>
      <w:r w:rsidRPr="000D09A4">
        <w:rPr>
          <w:rFonts w:asciiTheme="minorHAnsi" w:hAnsiTheme="minorHAnsi"/>
          <w:color w:val="auto"/>
          <w:sz w:val="15"/>
          <w:szCs w:val="15"/>
        </w:rPr>
        <w:t xml:space="preserve"> </w:t>
      </w:r>
      <w:r w:rsidR="00A52889" w:rsidRPr="000D09A4">
        <w:rPr>
          <w:rFonts w:asciiTheme="minorHAnsi" w:hAnsiTheme="minorHAnsi"/>
          <w:color w:val="auto"/>
          <w:sz w:val="15"/>
          <w:szCs w:val="15"/>
        </w:rPr>
        <w:t xml:space="preserve">Kaderstellende visie op toezicht, p. 22. </w:t>
      </w:r>
    </w:p>
  </w:footnote>
  <w:footnote w:id="30">
    <w:p w14:paraId="7CEF1226" w14:textId="738A2BEC" w:rsidR="00C36369" w:rsidRPr="000D09A4" w:rsidRDefault="00C36369" w:rsidP="00642392">
      <w:pPr>
        <w:spacing w:after="0" w:line="240" w:lineRule="auto"/>
        <w:rPr>
          <w:rFonts w:asciiTheme="minorHAnsi" w:hAnsiTheme="minorHAnsi"/>
          <w:sz w:val="15"/>
          <w:szCs w:val="15"/>
        </w:rPr>
      </w:pPr>
      <w:r w:rsidRPr="000D09A4">
        <w:rPr>
          <w:rStyle w:val="Voetnootmarkering"/>
          <w:rFonts w:asciiTheme="minorHAnsi" w:hAnsiTheme="minorHAnsi"/>
          <w:sz w:val="15"/>
          <w:szCs w:val="15"/>
        </w:rPr>
        <w:footnoteRef/>
      </w:r>
      <w:r w:rsidRPr="000D09A4">
        <w:rPr>
          <w:rFonts w:asciiTheme="minorHAnsi" w:hAnsiTheme="minorHAnsi"/>
          <w:sz w:val="15"/>
          <w:szCs w:val="15"/>
        </w:rPr>
        <w:t xml:space="preserve"> In verband met zijn verantwoordelijkheid voor de pensioensector oefent d</w:t>
      </w:r>
      <w:r w:rsidRPr="000D09A4">
        <w:rPr>
          <w:rFonts w:asciiTheme="minorHAnsi" w:hAnsiTheme="minorHAnsi"/>
          <w:color w:val="000000"/>
          <w:sz w:val="15"/>
          <w:szCs w:val="15"/>
        </w:rPr>
        <w:t xml:space="preserve">e </w:t>
      </w:r>
      <w:r w:rsidR="00A52889" w:rsidRPr="000D09A4">
        <w:rPr>
          <w:rFonts w:asciiTheme="minorHAnsi" w:hAnsiTheme="minorHAnsi"/>
          <w:color w:val="000000"/>
          <w:sz w:val="15"/>
          <w:szCs w:val="15"/>
        </w:rPr>
        <w:t xml:space="preserve">minister </w:t>
      </w:r>
      <w:r w:rsidRPr="000D09A4">
        <w:rPr>
          <w:rFonts w:asciiTheme="minorHAnsi" w:hAnsiTheme="minorHAnsi"/>
          <w:color w:val="000000"/>
          <w:sz w:val="15"/>
          <w:szCs w:val="15"/>
        </w:rPr>
        <w:t xml:space="preserve">van </w:t>
      </w:r>
      <w:r w:rsidR="00EA5B73" w:rsidRPr="000D09A4">
        <w:rPr>
          <w:rFonts w:asciiTheme="minorHAnsi" w:hAnsiTheme="minorHAnsi"/>
          <w:color w:val="000000"/>
          <w:sz w:val="15"/>
          <w:szCs w:val="15"/>
        </w:rPr>
        <w:t xml:space="preserve">SZW </w:t>
      </w:r>
      <w:r w:rsidRPr="000D09A4">
        <w:rPr>
          <w:rFonts w:asciiTheme="minorHAnsi" w:hAnsiTheme="minorHAnsi"/>
          <w:color w:val="000000"/>
          <w:sz w:val="15"/>
          <w:szCs w:val="15"/>
        </w:rPr>
        <w:t xml:space="preserve">toezicht uit op de toezichthouders die belast zijn met het toezicht op de pensioensector, en heeft hij daartoe zelf ook een visie op dat uitvoeringstoezicht ontwikkeld. Deze visie sluit aan bij de visie van de </w:t>
      </w:r>
      <w:r w:rsidR="00A52889" w:rsidRPr="000D09A4">
        <w:rPr>
          <w:rFonts w:asciiTheme="minorHAnsi" w:hAnsiTheme="minorHAnsi"/>
          <w:color w:val="000000"/>
          <w:sz w:val="15"/>
          <w:szCs w:val="15"/>
        </w:rPr>
        <w:t xml:space="preserve">minister </w:t>
      </w:r>
      <w:r w:rsidRPr="000D09A4">
        <w:rPr>
          <w:rFonts w:asciiTheme="minorHAnsi" w:hAnsiTheme="minorHAnsi"/>
          <w:color w:val="000000"/>
          <w:sz w:val="15"/>
          <w:szCs w:val="15"/>
        </w:rPr>
        <w:t xml:space="preserve">van Financiën en is opgenomen in </w:t>
      </w:r>
      <w:r w:rsidRPr="000D09A4">
        <w:rPr>
          <w:rFonts w:asciiTheme="minorHAnsi" w:eastAsia="Verdana" w:hAnsiTheme="minorHAnsi" w:cs="Times New Roman"/>
          <w:sz w:val="15"/>
          <w:szCs w:val="15"/>
        </w:rPr>
        <w:t xml:space="preserve">het document </w:t>
      </w:r>
      <w:r w:rsidRPr="000D09A4">
        <w:rPr>
          <w:rFonts w:asciiTheme="minorHAnsi" w:eastAsia="Verdana" w:hAnsiTheme="minorHAnsi" w:cs="Times New Roman"/>
          <w:i/>
          <w:sz w:val="15"/>
          <w:szCs w:val="15"/>
        </w:rPr>
        <w:t>Visie op pensioentoezicht</w:t>
      </w:r>
      <w:r w:rsidRPr="000D09A4">
        <w:rPr>
          <w:rFonts w:asciiTheme="minorHAnsi" w:eastAsia="Verdana" w:hAnsiTheme="minorHAnsi" w:cs="Times New Roman"/>
          <w:sz w:val="15"/>
          <w:szCs w:val="15"/>
        </w:rPr>
        <w:t xml:space="preserve"> </w:t>
      </w:r>
      <w:r w:rsidRPr="000D09A4">
        <w:rPr>
          <w:rFonts w:asciiTheme="minorHAnsi" w:hAnsiTheme="minorHAnsi"/>
          <w:sz w:val="15"/>
          <w:szCs w:val="15"/>
        </w:rPr>
        <w:t>dat in</w:t>
      </w:r>
      <w:r w:rsidRPr="000D09A4">
        <w:rPr>
          <w:rFonts w:asciiTheme="minorHAnsi" w:eastAsia="Verdana" w:hAnsiTheme="minorHAnsi" w:cs="Times New Roman"/>
          <w:sz w:val="15"/>
          <w:szCs w:val="15"/>
        </w:rPr>
        <w:t xml:space="preserve"> juli 2014 naar de Tweede Kamer </w:t>
      </w:r>
      <w:r w:rsidRPr="000D09A4">
        <w:rPr>
          <w:rFonts w:asciiTheme="minorHAnsi" w:hAnsiTheme="minorHAnsi"/>
          <w:sz w:val="15"/>
          <w:szCs w:val="15"/>
        </w:rPr>
        <w:t xml:space="preserve">is </w:t>
      </w:r>
      <w:r w:rsidRPr="000D09A4">
        <w:rPr>
          <w:rFonts w:asciiTheme="minorHAnsi" w:eastAsia="Verdana" w:hAnsiTheme="minorHAnsi" w:cs="Times New Roman"/>
          <w:sz w:val="15"/>
          <w:szCs w:val="15"/>
        </w:rPr>
        <w:t>gestuurd (</w:t>
      </w:r>
      <w:r w:rsidRPr="000D09A4">
        <w:rPr>
          <w:rFonts w:asciiTheme="minorHAnsi" w:eastAsia="Verdana" w:hAnsiTheme="minorHAnsi" w:cs="Times New Roman"/>
          <w:i/>
          <w:sz w:val="15"/>
          <w:szCs w:val="15"/>
        </w:rPr>
        <w:t>Kamerstukken II</w:t>
      </w:r>
      <w:r w:rsidRPr="000D09A4">
        <w:rPr>
          <w:rFonts w:asciiTheme="minorHAnsi" w:eastAsia="Verdana" w:hAnsiTheme="minorHAnsi" w:cs="Times New Roman"/>
          <w:sz w:val="15"/>
          <w:szCs w:val="15"/>
        </w:rPr>
        <w:t xml:space="preserve"> 2013/14, 32043, nr. 221).</w:t>
      </w:r>
    </w:p>
  </w:footnote>
  <w:footnote w:id="31">
    <w:p w14:paraId="7A983B8E" w14:textId="77777777" w:rsidR="00C36369" w:rsidRPr="000D09A4" w:rsidRDefault="00C36369" w:rsidP="00642392">
      <w:pPr>
        <w:pStyle w:val="Voetnoottekst"/>
        <w:rPr>
          <w:rFonts w:asciiTheme="minorHAnsi" w:hAnsiTheme="minorHAnsi"/>
          <w:sz w:val="15"/>
          <w:szCs w:val="15"/>
        </w:rPr>
      </w:pPr>
      <w:r w:rsidRPr="000D09A4">
        <w:rPr>
          <w:rStyle w:val="Voetnootmarkering"/>
          <w:rFonts w:asciiTheme="minorHAnsi" w:hAnsiTheme="minorHAnsi"/>
          <w:sz w:val="15"/>
          <w:szCs w:val="15"/>
        </w:rPr>
        <w:footnoteRef/>
      </w:r>
      <w:r w:rsidRPr="000D09A4">
        <w:rPr>
          <w:rFonts w:asciiTheme="minorHAnsi" w:hAnsiTheme="minorHAnsi"/>
          <w:sz w:val="15"/>
          <w:szCs w:val="15"/>
        </w:rPr>
        <w:t xml:space="preserve"> Bijlage bij </w:t>
      </w:r>
      <w:r w:rsidRPr="000D09A4">
        <w:rPr>
          <w:rFonts w:asciiTheme="minorHAnsi" w:hAnsiTheme="minorHAnsi"/>
          <w:i/>
          <w:sz w:val="15"/>
          <w:szCs w:val="15"/>
        </w:rPr>
        <w:t>Kamerstukken II</w:t>
      </w:r>
      <w:r w:rsidRPr="000D09A4">
        <w:rPr>
          <w:rFonts w:asciiTheme="minorHAnsi" w:hAnsiTheme="minorHAnsi"/>
          <w:sz w:val="15"/>
          <w:szCs w:val="15"/>
        </w:rPr>
        <w:t xml:space="preserve"> 2014/15, 25268, nr. 113.</w:t>
      </w:r>
    </w:p>
  </w:footnote>
  <w:footnote w:id="32">
    <w:p w14:paraId="222DA5A2" w14:textId="543A7593" w:rsidR="00055487" w:rsidRPr="000D09A4" w:rsidRDefault="00055487">
      <w:pPr>
        <w:pStyle w:val="Voetnoottekst"/>
      </w:pPr>
      <w:r w:rsidRPr="000D09A4">
        <w:rPr>
          <w:rStyle w:val="Voetnootmarkering"/>
        </w:rPr>
        <w:footnoteRef/>
      </w:r>
      <w:r w:rsidRPr="000D09A4">
        <w:t xml:space="preserve"> </w:t>
      </w:r>
      <w:r w:rsidRPr="000D09A4">
        <w:rPr>
          <w:rStyle w:val="cf01"/>
          <w:rFonts w:asciiTheme="majorHAnsi" w:eastAsiaTheme="majorEastAsia" w:hAnsiTheme="majorHAnsi"/>
          <w:sz w:val="15"/>
          <w:szCs w:val="15"/>
        </w:rPr>
        <w:t>Volledigheidshalve wordt opgemerkt dat het ministerie van Sociale Zaken en Werkgelegenheid, directie Pensioenen, voor wat betreft het toezicht op de pensioensector de opdrachtgever is.</w:t>
      </w:r>
    </w:p>
  </w:footnote>
  <w:footnote w:id="33">
    <w:p w14:paraId="1378C2FF" w14:textId="5F0B39DE" w:rsidR="00F65C18" w:rsidRPr="000D09A4" w:rsidRDefault="00F65C18" w:rsidP="00F65C18">
      <w:pPr>
        <w:pStyle w:val="Voetnoottekst"/>
        <w:rPr>
          <w:rFonts w:asciiTheme="majorHAnsi" w:hAnsiTheme="majorHAnsi"/>
          <w:sz w:val="15"/>
          <w:szCs w:val="15"/>
        </w:rPr>
      </w:pPr>
      <w:r w:rsidRPr="000D09A4">
        <w:rPr>
          <w:rStyle w:val="Voetnootmarkering"/>
          <w:rFonts w:asciiTheme="majorHAnsi" w:hAnsiTheme="majorHAnsi"/>
          <w:sz w:val="15"/>
          <w:szCs w:val="15"/>
        </w:rPr>
        <w:footnoteRef/>
      </w:r>
      <w:r w:rsidRPr="000D09A4">
        <w:rPr>
          <w:rFonts w:asciiTheme="majorHAnsi" w:hAnsiTheme="majorHAnsi"/>
          <w:sz w:val="15"/>
          <w:szCs w:val="15"/>
        </w:rPr>
        <w:t xml:space="preserve"> Voor het ministerie van Financiën en de beide </w:t>
      </w:r>
      <w:r w:rsidRPr="000D09A4">
        <w:rPr>
          <w:rFonts w:asciiTheme="majorHAnsi" w:hAnsiTheme="majorHAnsi"/>
          <w:sz w:val="15"/>
          <w:szCs w:val="15"/>
        </w:rPr>
        <w:t>zbo’s gaat het om de procedureafspraken overlegstructuur SG Financiën met DNB en de AFM uit 2014. Aanleiding hiervoor vormde het onderzoek van de commissie-De Leeuw naar de herpositionering van zbo’s uit 2013. In haar rapport beval de commissie aan om het toezicht op bedrijfsmatige en beheersmatige aspecten te versterken via de SG-eigenaarslijn en om de taken van de RvC/RvT nog meer dan toen al het geval was te focussen op de primaire taken van DNB en de AFM</w:t>
      </w:r>
      <w:r w:rsidR="008A1B70" w:rsidRPr="000D09A4">
        <w:rPr>
          <w:rFonts w:asciiTheme="majorHAnsi" w:hAnsiTheme="majorHAnsi"/>
          <w:sz w:val="15"/>
          <w:szCs w:val="15"/>
        </w:rPr>
        <w:t>.</w:t>
      </w:r>
    </w:p>
  </w:footnote>
  <w:footnote w:id="34">
    <w:p w14:paraId="3D31AB40" w14:textId="1784BF15" w:rsidR="00C36369" w:rsidRPr="000D09A4" w:rsidRDefault="00C36369" w:rsidP="00642392">
      <w:pPr>
        <w:pStyle w:val="footnotedescription"/>
        <w:spacing w:line="240" w:lineRule="auto"/>
        <w:rPr>
          <w:rFonts w:asciiTheme="minorHAnsi" w:hAnsiTheme="minorHAnsi"/>
          <w:color w:val="auto"/>
          <w:sz w:val="15"/>
          <w:szCs w:val="15"/>
        </w:rPr>
      </w:pPr>
      <w:r w:rsidRPr="000D09A4">
        <w:rPr>
          <w:rStyle w:val="footnotemark"/>
          <w:rFonts w:asciiTheme="minorHAnsi" w:hAnsiTheme="minorHAnsi"/>
          <w:color w:val="auto"/>
          <w:sz w:val="15"/>
          <w:szCs w:val="15"/>
        </w:rPr>
        <w:footnoteRef/>
      </w:r>
      <w:r w:rsidRPr="000D09A4">
        <w:rPr>
          <w:rFonts w:asciiTheme="minorHAnsi" w:hAnsiTheme="minorHAnsi"/>
          <w:color w:val="auto"/>
          <w:sz w:val="15"/>
          <w:szCs w:val="15"/>
        </w:rPr>
        <w:t xml:space="preserve"> </w:t>
      </w:r>
      <w:r w:rsidR="00AE4DA7" w:rsidRPr="000D09A4">
        <w:rPr>
          <w:rFonts w:asciiTheme="minorHAnsi" w:hAnsiTheme="minorHAnsi"/>
          <w:color w:val="auto"/>
          <w:sz w:val="15"/>
          <w:szCs w:val="15"/>
        </w:rPr>
        <w:t xml:space="preserve">Kaderstellende visie op toezicht, p. 23. </w:t>
      </w:r>
    </w:p>
  </w:footnote>
  <w:footnote w:id="35">
    <w:p w14:paraId="4A0D69CD" w14:textId="08BD6B83" w:rsidR="00F65C18" w:rsidRPr="000D09A4" w:rsidRDefault="00F65C18">
      <w:pPr>
        <w:pStyle w:val="Voetnoottekst"/>
        <w:rPr>
          <w:rFonts w:asciiTheme="majorHAnsi" w:hAnsiTheme="majorHAnsi"/>
          <w:sz w:val="15"/>
          <w:szCs w:val="15"/>
        </w:rPr>
      </w:pPr>
      <w:r w:rsidRPr="000D09A4">
        <w:rPr>
          <w:rStyle w:val="Voetnootmarkering"/>
          <w:rFonts w:asciiTheme="majorHAnsi" w:hAnsiTheme="majorHAnsi"/>
          <w:sz w:val="15"/>
          <w:szCs w:val="15"/>
        </w:rPr>
        <w:footnoteRef/>
      </w:r>
      <w:r w:rsidRPr="000D09A4">
        <w:rPr>
          <w:rFonts w:asciiTheme="majorHAnsi" w:hAnsiTheme="majorHAnsi"/>
          <w:sz w:val="15"/>
          <w:szCs w:val="15"/>
        </w:rPr>
        <w:t xml:space="preserve"> </w:t>
      </w:r>
      <w:r w:rsidR="00530F96" w:rsidRPr="000D09A4">
        <w:rPr>
          <w:rFonts w:asciiTheme="majorHAnsi" w:hAnsiTheme="majorHAnsi"/>
          <w:sz w:val="15"/>
          <w:szCs w:val="15"/>
        </w:rPr>
        <w:t>BCBS’s Core principles on effective banking supervision (Principle 2); FATF Recommendation 26; IADI’s Core principles for effective deposit insurance systems (principles 2 and 11); IAIS’s Insurance Core principles (Principle 2), IOSCO Objectives and Principles of Securities Regulation (principles 1 to 8).</w:t>
      </w:r>
    </w:p>
  </w:footnote>
  <w:footnote w:id="36">
    <w:p w14:paraId="56F48D9D" w14:textId="77465522" w:rsidR="0072186A" w:rsidRPr="000D09A4" w:rsidRDefault="0072186A" w:rsidP="0072186A">
      <w:pPr>
        <w:pStyle w:val="Voetnoottekst"/>
        <w:rPr>
          <w:rFonts w:asciiTheme="minorHAnsi" w:hAnsiTheme="minorHAnsi"/>
          <w:sz w:val="15"/>
          <w:szCs w:val="15"/>
        </w:rPr>
      </w:pPr>
      <w:r w:rsidRPr="000D09A4">
        <w:rPr>
          <w:rStyle w:val="Voetnootmarkering"/>
          <w:rFonts w:asciiTheme="minorHAnsi" w:hAnsiTheme="minorHAnsi"/>
          <w:sz w:val="15"/>
          <w:szCs w:val="15"/>
        </w:rPr>
        <w:footnoteRef/>
      </w:r>
      <w:r w:rsidRPr="000D09A4">
        <w:rPr>
          <w:rFonts w:asciiTheme="minorHAnsi" w:hAnsiTheme="minorHAnsi"/>
          <w:sz w:val="15"/>
          <w:szCs w:val="15"/>
        </w:rPr>
        <w:t xml:space="preserve"> Zie ook de uitwerking van het principe selectief (par. </w:t>
      </w:r>
      <w:r w:rsidR="00214BD3" w:rsidRPr="000D09A4">
        <w:rPr>
          <w:rFonts w:asciiTheme="minorHAnsi" w:hAnsiTheme="minorHAnsi"/>
          <w:sz w:val="15"/>
          <w:szCs w:val="15"/>
        </w:rPr>
        <w:t>3.1</w:t>
      </w:r>
      <w:r w:rsidRPr="000D09A4">
        <w:rPr>
          <w:rFonts w:asciiTheme="minorHAnsi" w:hAnsiTheme="minorHAnsi"/>
          <w:sz w:val="15"/>
          <w:szCs w:val="15"/>
        </w:rPr>
        <w:t>).</w:t>
      </w:r>
    </w:p>
  </w:footnote>
  <w:footnote w:id="37">
    <w:p w14:paraId="122D6030" w14:textId="35E762A9" w:rsidR="00C36369" w:rsidRPr="000D09A4" w:rsidRDefault="00C36369" w:rsidP="00BE3A1A">
      <w:pPr>
        <w:pStyle w:val="footnotedescription"/>
        <w:widowControl w:val="0"/>
        <w:spacing w:line="240" w:lineRule="auto"/>
        <w:contextualSpacing/>
        <w:rPr>
          <w:rFonts w:asciiTheme="minorHAnsi" w:hAnsiTheme="minorHAnsi"/>
          <w:color w:val="auto"/>
          <w:sz w:val="15"/>
          <w:szCs w:val="15"/>
        </w:rPr>
      </w:pPr>
      <w:r w:rsidRPr="000D09A4">
        <w:rPr>
          <w:rStyle w:val="footnotemark"/>
          <w:rFonts w:asciiTheme="minorHAnsi" w:hAnsiTheme="minorHAnsi"/>
          <w:color w:val="auto"/>
          <w:sz w:val="15"/>
          <w:szCs w:val="15"/>
        </w:rPr>
        <w:footnoteRef/>
      </w:r>
      <w:r w:rsidRPr="000D09A4">
        <w:rPr>
          <w:rFonts w:asciiTheme="minorHAnsi" w:hAnsiTheme="minorHAnsi"/>
          <w:color w:val="auto"/>
          <w:sz w:val="15"/>
          <w:szCs w:val="15"/>
        </w:rPr>
        <w:t xml:space="preserve"> </w:t>
      </w:r>
      <w:r w:rsidR="00447C75" w:rsidRPr="000D09A4">
        <w:rPr>
          <w:rFonts w:asciiTheme="minorHAnsi" w:hAnsiTheme="minorHAnsi"/>
          <w:color w:val="auto"/>
          <w:sz w:val="15"/>
          <w:szCs w:val="15"/>
        </w:rPr>
        <w:t xml:space="preserve">Kaderstellende visie op toezicht, p. 24-25. </w:t>
      </w:r>
    </w:p>
  </w:footnote>
  <w:footnote w:id="38">
    <w:p w14:paraId="71CFC835" w14:textId="54E343B9" w:rsidR="00C36369" w:rsidRPr="000D09A4" w:rsidRDefault="00C36369" w:rsidP="00BE3A1A">
      <w:pPr>
        <w:pStyle w:val="Voetnoottekst"/>
        <w:widowControl w:val="0"/>
        <w:contextualSpacing/>
        <w:rPr>
          <w:rFonts w:asciiTheme="minorHAnsi" w:hAnsiTheme="minorHAnsi"/>
          <w:sz w:val="15"/>
          <w:szCs w:val="15"/>
        </w:rPr>
      </w:pPr>
      <w:r w:rsidRPr="000D09A4">
        <w:rPr>
          <w:rStyle w:val="Voetnootmarkering"/>
          <w:rFonts w:asciiTheme="minorHAnsi" w:hAnsiTheme="minorHAnsi"/>
          <w:sz w:val="15"/>
          <w:szCs w:val="15"/>
        </w:rPr>
        <w:footnoteRef/>
      </w:r>
      <w:r w:rsidRPr="000D09A4">
        <w:rPr>
          <w:rFonts w:asciiTheme="minorHAnsi" w:hAnsiTheme="minorHAnsi"/>
          <w:sz w:val="15"/>
          <w:szCs w:val="15"/>
        </w:rPr>
        <w:t xml:space="preserve"> Zie bijlagen bij </w:t>
      </w:r>
      <w:r w:rsidRPr="000D09A4">
        <w:rPr>
          <w:rFonts w:asciiTheme="minorHAnsi" w:hAnsiTheme="minorHAnsi"/>
          <w:i/>
          <w:sz w:val="15"/>
          <w:szCs w:val="15"/>
        </w:rPr>
        <w:t>Kamerstukken II</w:t>
      </w:r>
      <w:r w:rsidRPr="000D09A4">
        <w:rPr>
          <w:rFonts w:asciiTheme="minorHAnsi" w:hAnsiTheme="minorHAnsi"/>
          <w:sz w:val="15"/>
          <w:szCs w:val="15"/>
        </w:rPr>
        <w:t xml:space="preserve"> </w:t>
      </w:r>
      <w:r w:rsidR="00BE5D61" w:rsidRPr="000D09A4">
        <w:rPr>
          <w:rFonts w:asciiTheme="minorHAnsi" w:hAnsiTheme="minorHAnsi"/>
          <w:sz w:val="15"/>
          <w:szCs w:val="15"/>
        </w:rPr>
        <w:t>2021/22</w:t>
      </w:r>
      <w:r w:rsidRPr="000D09A4">
        <w:rPr>
          <w:rFonts w:asciiTheme="minorHAnsi" w:hAnsiTheme="minorHAnsi"/>
          <w:sz w:val="15"/>
          <w:szCs w:val="15"/>
        </w:rPr>
        <w:t xml:space="preserve">, 25268, nr. </w:t>
      </w:r>
      <w:r w:rsidR="00BE5D61" w:rsidRPr="000D09A4">
        <w:rPr>
          <w:rFonts w:asciiTheme="minorHAnsi" w:hAnsiTheme="minorHAnsi"/>
          <w:sz w:val="15"/>
          <w:szCs w:val="15"/>
        </w:rPr>
        <w:t>202</w:t>
      </w:r>
      <w:r w:rsidRPr="000D09A4">
        <w:rPr>
          <w:rFonts w:asciiTheme="minorHAnsi" w:hAnsiTheme="minorHAnsi"/>
          <w:sz w:val="15"/>
          <w:szCs w:val="15"/>
        </w:rPr>
        <w:t>.</w:t>
      </w:r>
    </w:p>
  </w:footnote>
  <w:footnote w:id="39">
    <w:p w14:paraId="4B4090FD" w14:textId="2DA9E926" w:rsidR="00C36369" w:rsidRPr="000D09A4" w:rsidRDefault="00C36369" w:rsidP="00BE3A1A">
      <w:pPr>
        <w:pStyle w:val="Voetnoottekst"/>
        <w:widowControl w:val="0"/>
        <w:contextualSpacing/>
        <w:rPr>
          <w:rFonts w:asciiTheme="minorHAnsi" w:hAnsiTheme="minorHAnsi"/>
          <w:sz w:val="15"/>
          <w:szCs w:val="15"/>
        </w:rPr>
      </w:pPr>
      <w:r w:rsidRPr="000D09A4">
        <w:rPr>
          <w:rStyle w:val="Voetnootmarkering"/>
          <w:rFonts w:asciiTheme="minorHAnsi" w:hAnsiTheme="minorHAnsi"/>
          <w:sz w:val="15"/>
          <w:szCs w:val="15"/>
        </w:rPr>
        <w:footnoteRef/>
      </w:r>
      <w:r w:rsidRPr="000D09A4">
        <w:rPr>
          <w:rFonts w:asciiTheme="minorHAnsi" w:hAnsiTheme="minorHAnsi"/>
          <w:sz w:val="15"/>
          <w:szCs w:val="15"/>
        </w:rPr>
        <w:t xml:space="preserve"> Art. 4</w:t>
      </w:r>
      <w:r w:rsidR="004C40EB" w:rsidRPr="000D09A4">
        <w:rPr>
          <w:rFonts w:asciiTheme="minorHAnsi" w:hAnsiTheme="minorHAnsi"/>
          <w:sz w:val="15"/>
          <w:szCs w:val="15"/>
        </w:rPr>
        <w:t>, derde</w:t>
      </w:r>
      <w:r w:rsidRPr="000D09A4">
        <w:rPr>
          <w:rFonts w:asciiTheme="minorHAnsi" w:hAnsiTheme="minorHAnsi"/>
          <w:sz w:val="15"/>
          <w:szCs w:val="15"/>
        </w:rPr>
        <w:t xml:space="preserve"> lid</w:t>
      </w:r>
      <w:r w:rsidR="004C40EB" w:rsidRPr="000D09A4">
        <w:rPr>
          <w:rFonts w:asciiTheme="minorHAnsi" w:hAnsiTheme="minorHAnsi"/>
          <w:sz w:val="15"/>
          <w:szCs w:val="15"/>
        </w:rPr>
        <w:t>,</w:t>
      </w:r>
      <w:r w:rsidRPr="000D09A4">
        <w:rPr>
          <w:rFonts w:asciiTheme="minorHAnsi" w:hAnsiTheme="minorHAnsi"/>
          <w:sz w:val="15"/>
          <w:szCs w:val="15"/>
        </w:rPr>
        <w:t xml:space="preserve"> </w:t>
      </w:r>
      <w:r w:rsidRPr="000D09A4">
        <w:rPr>
          <w:rFonts w:asciiTheme="minorHAnsi" w:hAnsiTheme="minorHAnsi"/>
          <w:sz w:val="15"/>
          <w:szCs w:val="15"/>
        </w:rPr>
        <w:t>Wbft 2019. In par. 5.1 van het toezichtarrangement komt het kostenkader uitgebreider aan bod.</w:t>
      </w:r>
    </w:p>
  </w:footnote>
  <w:footnote w:id="40">
    <w:p w14:paraId="07071DF1" w14:textId="51AF359B" w:rsidR="00C36369" w:rsidRPr="000D09A4" w:rsidRDefault="00C36369" w:rsidP="00BE3A1A">
      <w:pPr>
        <w:pStyle w:val="Voetnoottekst"/>
        <w:widowControl w:val="0"/>
        <w:contextualSpacing/>
        <w:rPr>
          <w:rFonts w:asciiTheme="minorHAnsi" w:hAnsiTheme="minorHAnsi"/>
          <w:sz w:val="15"/>
          <w:szCs w:val="15"/>
        </w:rPr>
      </w:pPr>
      <w:r w:rsidRPr="000D09A4">
        <w:rPr>
          <w:rStyle w:val="Voetnootmarkering"/>
          <w:rFonts w:asciiTheme="minorHAnsi" w:hAnsiTheme="minorHAnsi"/>
          <w:sz w:val="15"/>
          <w:szCs w:val="15"/>
        </w:rPr>
        <w:footnoteRef/>
      </w:r>
      <w:r w:rsidRPr="000D09A4">
        <w:rPr>
          <w:rFonts w:asciiTheme="minorHAnsi" w:hAnsiTheme="minorHAnsi"/>
          <w:sz w:val="15"/>
          <w:szCs w:val="15"/>
        </w:rPr>
        <w:t xml:space="preserve"> Art. 6</w:t>
      </w:r>
      <w:r w:rsidR="004C40EB" w:rsidRPr="000D09A4">
        <w:rPr>
          <w:rFonts w:asciiTheme="minorHAnsi" w:hAnsiTheme="minorHAnsi"/>
          <w:sz w:val="15"/>
          <w:szCs w:val="15"/>
        </w:rPr>
        <w:t>, tweede</w:t>
      </w:r>
      <w:r w:rsidRPr="000D09A4">
        <w:rPr>
          <w:rFonts w:asciiTheme="minorHAnsi" w:hAnsiTheme="minorHAnsi"/>
          <w:sz w:val="15"/>
          <w:szCs w:val="15"/>
        </w:rPr>
        <w:t xml:space="preserve"> lid en art. 9</w:t>
      </w:r>
      <w:r w:rsidR="004C40EB" w:rsidRPr="000D09A4">
        <w:rPr>
          <w:rFonts w:asciiTheme="minorHAnsi" w:hAnsiTheme="minorHAnsi"/>
          <w:sz w:val="15"/>
          <w:szCs w:val="15"/>
        </w:rPr>
        <w:t>, tweede</w:t>
      </w:r>
      <w:r w:rsidRPr="000D09A4">
        <w:rPr>
          <w:rFonts w:asciiTheme="minorHAnsi" w:hAnsiTheme="minorHAnsi"/>
          <w:sz w:val="15"/>
          <w:szCs w:val="15"/>
        </w:rPr>
        <w:t xml:space="preserve"> lid</w:t>
      </w:r>
      <w:r w:rsidR="004C40EB" w:rsidRPr="000D09A4">
        <w:rPr>
          <w:rFonts w:asciiTheme="minorHAnsi" w:hAnsiTheme="minorHAnsi"/>
          <w:sz w:val="15"/>
          <w:szCs w:val="15"/>
        </w:rPr>
        <w:t>,</w:t>
      </w:r>
      <w:r w:rsidRPr="000D09A4">
        <w:rPr>
          <w:rFonts w:asciiTheme="minorHAnsi" w:hAnsiTheme="minorHAnsi"/>
          <w:sz w:val="15"/>
          <w:szCs w:val="15"/>
        </w:rPr>
        <w:t xml:space="preserve"> </w:t>
      </w:r>
      <w:r w:rsidRPr="000D09A4">
        <w:rPr>
          <w:rFonts w:asciiTheme="minorHAnsi" w:hAnsiTheme="minorHAnsi"/>
          <w:sz w:val="15"/>
          <w:szCs w:val="15"/>
        </w:rPr>
        <w:t>Wbft 2019.</w:t>
      </w:r>
    </w:p>
  </w:footnote>
  <w:footnote w:id="41">
    <w:p w14:paraId="37146CD6" w14:textId="24352801" w:rsidR="00C36369" w:rsidRPr="000D09A4" w:rsidRDefault="00C36369" w:rsidP="00BE3A1A">
      <w:pPr>
        <w:pStyle w:val="footnotedescription"/>
        <w:widowControl w:val="0"/>
        <w:spacing w:line="240" w:lineRule="auto"/>
        <w:contextualSpacing/>
        <w:rPr>
          <w:rFonts w:asciiTheme="minorHAnsi" w:hAnsiTheme="minorHAnsi"/>
          <w:color w:val="auto"/>
          <w:sz w:val="15"/>
          <w:szCs w:val="15"/>
        </w:rPr>
      </w:pPr>
      <w:r w:rsidRPr="000D09A4">
        <w:rPr>
          <w:rStyle w:val="footnotemark"/>
          <w:rFonts w:asciiTheme="minorHAnsi" w:hAnsiTheme="minorHAnsi"/>
          <w:color w:val="auto"/>
          <w:sz w:val="15"/>
          <w:szCs w:val="15"/>
        </w:rPr>
        <w:footnoteRef/>
      </w:r>
      <w:r w:rsidRPr="000D09A4">
        <w:rPr>
          <w:rFonts w:asciiTheme="minorHAnsi" w:hAnsiTheme="minorHAnsi"/>
          <w:color w:val="auto"/>
          <w:sz w:val="15"/>
          <w:szCs w:val="15"/>
        </w:rPr>
        <w:t xml:space="preserve"> </w:t>
      </w:r>
      <w:r w:rsidR="00AB7997" w:rsidRPr="000D09A4">
        <w:rPr>
          <w:rFonts w:asciiTheme="minorHAnsi" w:hAnsiTheme="minorHAnsi"/>
          <w:color w:val="auto"/>
          <w:sz w:val="15"/>
          <w:szCs w:val="15"/>
        </w:rPr>
        <w:t xml:space="preserve">Kaderstellende visie op toezicht, p. 26. </w:t>
      </w:r>
    </w:p>
  </w:footnote>
  <w:footnote w:id="42">
    <w:p w14:paraId="25A00FC2" w14:textId="77777777" w:rsidR="00C36369" w:rsidRPr="000D09A4" w:rsidRDefault="00C36369" w:rsidP="008C37E9">
      <w:pPr>
        <w:pStyle w:val="Voetnoottekst"/>
        <w:rPr>
          <w:rFonts w:asciiTheme="minorHAnsi" w:hAnsiTheme="minorHAnsi"/>
          <w:sz w:val="15"/>
          <w:szCs w:val="15"/>
        </w:rPr>
      </w:pPr>
      <w:r w:rsidRPr="000D09A4">
        <w:rPr>
          <w:rStyle w:val="Voetnootmarkering"/>
          <w:rFonts w:asciiTheme="minorHAnsi" w:hAnsiTheme="minorHAnsi"/>
          <w:sz w:val="15"/>
          <w:szCs w:val="15"/>
        </w:rPr>
        <w:footnoteRef/>
      </w:r>
      <w:r w:rsidRPr="000D09A4">
        <w:rPr>
          <w:rFonts w:asciiTheme="minorHAnsi" w:hAnsiTheme="minorHAnsi"/>
          <w:sz w:val="15"/>
          <w:szCs w:val="15"/>
        </w:rPr>
        <w:t xml:space="preserve"> Zie hiervoor in par. 3.3. </w:t>
      </w:r>
    </w:p>
  </w:footnote>
  <w:footnote w:id="43">
    <w:p w14:paraId="2C27D947" w14:textId="75CE909D" w:rsidR="00797673" w:rsidRPr="000D09A4" w:rsidRDefault="00797673">
      <w:pPr>
        <w:pStyle w:val="Voetnoottekst"/>
        <w:rPr>
          <w:rFonts w:asciiTheme="majorHAnsi" w:hAnsiTheme="majorHAnsi"/>
          <w:sz w:val="15"/>
          <w:szCs w:val="15"/>
        </w:rPr>
      </w:pPr>
      <w:r w:rsidRPr="000D09A4">
        <w:rPr>
          <w:rStyle w:val="Voetnootmarkering"/>
          <w:rFonts w:asciiTheme="majorHAnsi" w:hAnsiTheme="majorHAnsi"/>
          <w:sz w:val="15"/>
          <w:szCs w:val="15"/>
        </w:rPr>
        <w:footnoteRef/>
      </w:r>
      <w:r w:rsidRPr="000D09A4">
        <w:rPr>
          <w:rFonts w:asciiTheme="majorHAnsi" w:hAnsiTheme="majorHAnsi"/>
          <w:sz w:val="15"/>
          <w:szCs w:val="15"/>
        </w:rPr>
        <w:t xml:space="preserve"> Artikel </w:t>
      </w:r>
      <w:r w:rsidR="00530F96" w:rsidRPr="000D09A4">
        <w:rPr>
          <w:rFonts w:asciiTheme="majorHAnsi" w:hAnsiTheme="majorHAnsi"/>
          <w:sz w:val="15"/>
          <w:szCs w:val="15"/>
        </w:rPr>
        <w:t xml:space="preserve">13, tweede lid, </w:t>
      </w:r>
      <w:r w:rsidRPr="000D09A4">
        <w:rPr>
          <w:rFonts w:asciiTheme="majorHAnsi" w:hAnsiTheme="majorHAnsi"/>
          <w:sz w:val="15"/>
          <w:szCs w:val="15"/>
        </w:rPr>
        <w:t>Bankwe</w:t>
      </w:r>
      <w:r w:rsidR="00530F96" w:rsidRPr="000D09A4">
        <w:rPr>
          <w:rFonts w:asciiTheme="majorHAnsi" w:hAnsiTheme="majorHAnsi"/>
          <w:sz w:val="15"/>
          <w:szCs w:val="15"/>
        </w:rPr>
        <w:t>t 1998.</w:t>
      </w:r>
    </w:p>
  </w:footnote>
  <w:footnote w:id="44">
    <w:p w14:paraId="6BCBAA34" w14:textId="44B8422C" w:rsidR="00403207" w:rsidRPr="000D09A4" w:rsidRDefault="00403207">
      <w:pPr>
        <w:pStyle w:val="Voetnoottekst"/>
        <w:rPr>
          <w:rFonts w:asciiTheme="majorHAnsi" w:hAnsiTheme="majorHAnsi"/>
          <w:sz w:val="15"/>
          <w:szCs w:val="15"/>
        </w:rPr>
      </w:pPr>
      <w:r w:rsidRPr="000D09A4">
        <w:rPr>
          <w:rStyle w:val="Voetnootmarkering"/>
          <w:rFonts w:asciiTheme="majorHAnsi" w:hAnsiTheme="majorHAnsi"/>
          <w:sz w:val="15"/>
          <w:szCs w:val="15"/>
        </w:rPr>
        <w:footnoteRef/>
      </w:r>
      <w:r w:rsidRPr="000D09A4">
        <w:rPr>
          <w:rFonts w:asciiTheme="majorHAnsi" w:hAnsiTheme="majorHAnsi"/>
          <w:sz w:val="15"/>
          <w:szCs w:val="15"/>
        </w:rPr>
        <w:t xml:space="preserve"> Artikel 14, Bankwet 1998.</w:t>
      </w:r>
    </w:p>
  </w:footnote>
  <w:footnote w:id="45">
    <w:p w14:paraId="088939EE" w14:textId="724326E7" w:rsidR="00D44179" w:rsidRPr="000D09A4" w:rsidRDefault="00D44179">
      <w:pPr>
        <w:pStyle w:val="Voetnoottekst"/>
        <w:rPr>
          <w:rFonts w:ascii="Verdana" w:hAnsi="Verdana"/>
          <w:sz w:val="15"/>
          <w:szCs w:val="15"/>
        </w:rPr>
      </w:pPr>
      <w:r w:rsidRPr="000D09A4">
        <w:rPr>
          <w:rStyle w:val="Voetnootmarkering"/>
          <w:rFonts w:ascii="Verdana" w:hAnsi="Verdana"/>
          <w:sz w:val="15"/>
          <w:szCs w:val="15"/>
        </w:rPr>
        <w:footnoteRef/>
      </w:r>
      <w:r w:rsidRPr="000D09A4">
        <w:rPr>
          <w:rFonts w:ascii="Verdana" w:hAnsi="Verdana"/>
          <w:sz w:val="15"/>
          <w:szCs w:val="15"/>
        </w:rPr>
        <w:t xml:space="preserve"> </w:t>
      </w:r>
      <w:r w:rsidR="00797673" w:rsidRPr="000D09A4">
        <w:rPr>
          <w:rFonts w:ascii="Verdana" w:hAnsi="Verdana"/>
          <w:sz w:val="15"/>
          <w:szCs w:val="15"/>
        </w:rPr>
        <w:t xml:space="preserve">Dat geldt zowel voor middelen die afkomstig zijn van de rijksbegroting, als </w:t>
      </w:r>
      <w:r w:rsidR="002C1219" w:rsidRPr="000D09A4">
        <w:rPr>
          <w:rFonts w:ascii="Verdana" w:hAnsi="Verdana"/>
          <w:sz w:val="15"/>
          <w:szCs w:val="15"/>
        </w:rPr>
        <w:t xml:space="preserve">voor </w:t>
      </w:r>
      <w:r w:rsidR="00797673" w:rsidRPr="000D09A4">
        <w:rPr>
          <w:rFonts w:ascii="Verdana" w:hAnsi="Verdana"/>
          <w:sz w:val="15"/>
          <w:szCs w:val="15"/>
        </w:rPr>
        <w:t xml:space="preserve">middelen die </w:t>
      </w:r>
      <w:r w:rsidR="002C1219" w:rsidRPr="000D09A4">
        <w:rPr>
          <w:rFonts w:ascii="Verdana" w:hAnsi="Verdana"/>
          <w:sz w:val="15"/>
          <w:szCs w:val="15"/>
        </w:rPr>
        <w:t>via</w:t>
      </w:r>
      <w:r w:rsidR="00797673" w:rsidRPr="000D09A4">
        <w:rPr>
          <w:rFonts w:ascii="Verdana" w:hAnsi="Verdana"/>
          <w:sz w:val="15"/>
          <w:szCs w:val="15"/>
        </w:rPr>
        <w:t xml:space="preserve"> heffingen </w:t>
      </w:r>
      <w:r w:rsidR="002C1219" w:rsidRPr="000D09A4">
        <w:rPr>
          <w:rFonts w:ascii="Verdana" w:hAnsi="Verdana"/>
          <w:sz w:val="15"/>
          <w:szCs w:val="15"/>
        </w:rPr>
        <w:t>bij</w:t>
      </w:r>
      <w:r w:rsidR="00797673" w:rsidRPr="000D09A4">
        <w:rPr>
          <w:rFonts w:ascii="Verdana" w:hAnsi="Verdana"/>
          <w:sz w:val="15"/>
          <w:szCs w:val="15"/>
        </w:rPr>
        <w:t xml:space="preserve"> de </w:t>
      </w:r>
      <w:r w:rsidR="00797673" w:rsidRPr="000D09A4">
        <w:rPr>
          <w:rFonts w:ascii="Verdana" w:hAnsi="Verdana"/>
          <w:sz w:val="15"/>
          <w:szCs w:val="15"/>
        </w:rPr>
        <w:t xml:space="preserve">ondertoezichtstaande instellingen zijn </w:t>
      </w:r>
      <w:r w:rsidR="002C1219" w:rsidRPr="000D09A4">
        <w:rPr>
          <w:rFonts w:ascii="Verdana" w:hAnsi="Verdana"/>
          <w:sz w:val="15"/>
          <w:szCs w:val="15"/>
        </w:rPr>
        <w:t>opgehaald</w:t>
      </w:r>
      <w:r w:rsidR="00797673" w:rsidRPr="000D09A4">
        <w:rPr>
          <w:rFonts w:ascii="Verdana" w:hAnsi="Verdana"/>
          <w:sz w:val="15"/>
          <w:szCs w:val="15"/>
        </w:rPr>
        <w:t xml:space="preserve">. </w:t>
      </w:r>
    </w:p>
  </w:footnote>
  <w:footnote w:id="46">
    <w:p w14:paraId="138018A2" w14:textId="77777777" w:rsidR="00C36369" w:rsidRPr="004C40EB" w:rsidRDefault="00C36369" w:rsidP="00EB2D47">
      <w:pPr>
        <w:pStyle w:val="Voetnoottekst"/>
        <w:rPr>
          <w:rFonts w:asciiTheme="minorHAnsi" w:hAnsiTheme="minorHAnsi"/>
          <w:sz w:val="15"/>
          <w:szCs w:val="15"/>
        </w:rPr>
      </w:pPr>
      <w:r w:rsidRPr="000D09A4">
        <w:rPr>
          <w:rStyle w:val="Voetnootmarkering"/>
          <w:rFonts w:ascii="Verdana" w:eastAsiaTheme="majorEastAsia" w:hAnsi="Verdana"/>
          <w:sz w:val="15"/>
          <w:szCs w:val="15"/>
        </w:rPr>
        <w:footnoteRef/>
      </w:r>
      <w:r w:rsidRPr="000D09A4">
        <w:rPr>
          <w:rFonts w:ascii="Verdana" w:hAnsi="Verdana"/>
          <w:sz w:val="15"/>
          <w:szCs w:val="15"/>
        </w:rPr>
        <w:t xml:space="preserve"> </w:t>
      </w:r>
      <w:r w:rsidRPr="000D09A4">
        <w:rPr>
          <w:rFonts w:ascii="Verdana" w:hAnsi="Verdana"/>
          <w:i/>
          <w:sz w:val="15"/>
          <w:szCs w:val="15"/>
        </w:rPr>
        <w:t>Kamerstukken II</w:t>
      </w:r>
      <w:r w:rsidRPr="000D09A4">
        <w:rPr>
          <w:rFonts w:ascii="Verdana" w:hAnsi="Verdana"/>
          <w:sz w:val="15"/>
          <w:szCs w:val="15"/>
        </w:rPr>
        <w:t xml:space="preserve"> 2000/01, 27426, nr. 3, p. 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F47CC" w14:textId="70D14670" w:rsidR="00C36369" w:rsidRDefault="00C36369">
    <w:pPr>
      <w:pStyle w:val="Koptekst"/>
    </w:pPr>
  </w:p>
  <w:p w14:paraId="666223C4" w14:textId="77777777" w:rsidR="00C36369" w:rsidRDefault="00C363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C6621"/>
    <w:multiLevelType w:val="hybridMultilevel"/>
    <w:tmpl w:val="EE26C85E"/>
    <w:lvl w:ilvl="0" w:tplc="65ACD1AA">
      <w:start w:val="2"/>
      <w:numFmt w:val="bullet"/>
      <w:lvlText w:val="-"/>
      <w:lvlJc w:val="left"/>
      <w:pPr>
        <w:ind w:left="720" w:hanging="360"/>
      </w:pPr>
      <w:rPr>
        <w:rFonts w:ascii="Verdana" w:eastAsia="Arial Unicode MS"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3A303C9"/>
    <w:multiLevelType w:val="hybridMultilevel"/>
    <w:tmpl w:val="4FA6163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C3017DE"/>
    <w:multiLevelType w:val="multilevel"/>
    <w:tmpl w:val="8D0A3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0C6C2D"/>
    <w:multiLevelType w:val="hybridMultilevel"/>
    <w:tmpl w:val="D0803A5C"/>
    <w:lvl w:ilvl="0" w:tplc="0413000F">
      <w:start w:val="1"/>
      <w:numFmt w:val="decimal"/>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4" w15:restartNumberingAfterBreak="0">
    <w:nsid w:val="3CCE7DB2"/>
    <w:multiLevelType w:val="hybridMultilevel"/>
    <w:tmpl w:val="9C282A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E452557"/>
    <w:multiLevelType w:val="hybridMultilevel"/>
    <w:tmpl w:val="2932D6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9021EB9"/>
    <w:multiLevelType w:val="hybridMultilevel"/>
    <w:tmpl w:val="1674B23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53DD16DA"/>
    <w:multiLevelType w:val="multilevel"/>
    <w:tmpl w:val="CDE2CB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A304E5"/>
    <w:multiLevelType w:val="hybridMultilevel"/>
    <w:tmpl w:val="38B4AA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0E175FA"/>
    <w:multiLevelType w:val="hybridMultilevel"/>
    <w:tmpl w:val="55C86C70"/>
    <w:lvl w:ilvl="0" w:tplc="FEB06968">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4A0120B"/>
    <w:multiLevelType w:val="multilevel"/>
    <w:tmpl w:val="B330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7146F0"/>
    <w:multiLevelType w:val="multilevel"/>
    <w:tmpl w:val="2CF63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1D7A2D"/>
    <w:multiLevelType w:val="multilevel"/>
    <w:tmpl w:val="BBF41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EA4BA3"/>
    <w:multiLevelType w:val="multilevel"/>
    <w:tmpl w:val="E4CE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602287"/>
    <w:multiLevelType w:val="multilevel"/>
    <w:tmpl w:val="A8660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2D081D"/>
    <w:multiLevelType w:val="hybridMultilevel"/>
    <w:tmpl w:val="19DC5DDE"/>
    <w:lvl w:ilvl="0" w:tplc="C4A6CF94">
      <w:start w:val="1"/>
      <w:numFmt w:val="lowerRoman"/>
      <w:lvlText w:val="%1."/>
      <w:lvlJc w:val="left"/>
      <w:pPr>
        <w:ind w:left="1080" w:hanging="720"/>
      </w:pPr>
      <w:rPr>
        <w:rFonts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F617649"/>
    <w:multiLevelType w:val="multilevel"/>
    <w:tmpl w:val="4A562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0117994">
    <w:abstractNumId w:val="4"/>
  </w:num>
  <w:num w:numId="2" w16cid:durableId="1303073741">
    <w:abstractNumId w:val="2"/>
  </w:num>
  <w:num w:numId="3" w16cid:durableId="279841277">
    <w:abstractNumId w:val="14"/>
  </w:num>
  <w:num w:numId="4" w16cid:durableId="827746263">
    <w:abstractNumId w:val="16"/>
  </w:num>
  <w:num w:numId="5" w16cid:durableId="444354484">
    <w:abstractNumId w:val="7"/>
  </w:num>
  <w:num w:numId="6" w16cid:durableId="1734306215">
    <w:abstractNumId w:val="10"/>
  </w:num>
  <w:num w:numId="7" w16cid:durableId="1155340017">
    <w:abstractNumId w:val="13"/>
  </w:num>
  <w:num w:numId="8" w16cid:durableId="973750677">
    <w:abstractNumId w:val="11"/>
  </w:num>
  <w:num w:numId="9" w16cid:durableId="825363345">
    <w:abstractNumId w:val="12"/>
  </w:num>
  <w:num w:numId="10" w16cid:durableId="1812405157">
    <w:abstractNumId w:val="1"/>
  </w:num>
  <w:num w:numId="11" w16cid:durableId="2133788948">
    <w:abstractNumId w:val="5"/>
  </w:num>
  <w:num w:numId="12" w16cid:durableId="1064832588">
    <w:abstractNumId w:val="0"/>
  </w:num>
  <w:num w:numId="13" w16cid:durableId="684018736">
    <w:abstractNumId w:val="6"/>
  </w:num>
  <w:num w:numId="14" w16cid:durableId="6646258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80090462">
    <w:abstractNumId w:val="9"/>
  </w:num>
  <w:num w:numId="16" w16cid:durableId="1632906923">
    <w:abstractNumId w:val="8"/>
  </w:num>
  <w:num w:numId="17" w16cid:durableId="1911111416">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442"/>
  <w:hyphenationZone w:val="425"/>
  <w:drawingGridHorizontalSpacing w:val="9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A67"/>
    <w:rsid w:val="0000019C"/>
    <w:rsid w:val="00002858"/>
    <w:rsid w:val="00004159"/>
    <w:rsid w:val="000044B4"/>
    <w:rsid w:val="00004B5E"/>
    <w:rsid w:val="0000675A"/>
    <w:rsid w:val="00007914"/>
    <w:rsid w:val="000108DA"/>
    <w:rsid w:val="000116CD"/>
    <w:rsid w:val="000120A3"/>
    <w:rsid w:val="00012BA9"/>
    <w:rsid w:val="00014075"/>
    <w:rsid w:val="00014AD1"/>
    <w:rsid w:val="00020608"/>
    <w:rsid w:val="00021569"/>
    <w:rsid w:val="00022E0C"/>
    <w:rsid w:val="000251B9"/>
    <w:rsid w:val="00031301"/>
    <w:rsid w:val="0003189C"/>
    <w:rsid w:val="000320C2"/>
    <w:rsid w:val="00032177"/>
    <w:rsid w:val="00032743"/>
    <w:rsid w:val="00035E65"/>
    <w:rsid w:val="00036793"/>
    <w:rsid w:val="000378CC"/>
    <w:rsid w:val="00041D16"/>
    <w:rsid w:val="000437E9"/>
    <w:rsid w:val="00043C12"/>
    <w:rsid w:val="00044461"/>
    <w:rsid w:val="000446D2"/>
    <w:rsid w:val="00044D0C"/>
    <w:rsid w:val="00046174"/>
    <w:rsid w:val="00050211"/>
    <w:rsid w:val="00050A39"/>
    <w:rsid w:val="00051EF3"/>
    <w:rsid w:val="00053AAE"/>
    <w:rsid w:val="00053E3F"/>
    <w:rsid w:val="00055487"/>
    <w:rsid w:val="00055D3D"/>
    <w:rsid w:val="00064CA6"/>
    <w:rsid w:val="00065AFA"/>
    <w:rsid w:val="00066A33"/>
    <w:rsid w:val="00066E2C"/>
    <w:rsid w:val="000675E3"/>
    <w:rsid w:val="0007145A"/>
    <w:rsid w:val="00071BC6"/>
    <w:rsid w:val="00071F07"/>
    <w:rsid w:val="00073C15"/>
    <w:rsid w:val="00075F4A"/>
    <w:rsid w:val="00077AF4"/>
    <w:rsid w:val="00081577"/>
    <w:rsid w:val="000819B0"/>
    <w:rsid w:val="000822D5"/>
    <w:rsid w:val="00083BA5"/>
    <w:rsid w:val="000900EF"/>
    <w:rsid w:val="00091F11"/>
    <w:rsid w:val="00092B07"/>
    <w:rsid w:val="0009498C"/>
    <w:rsid w:val="00094C95"/>
    <w:rsid w:val="00094F35"/>
    <w:rsid w:val="00095480"/>
    <w:rsid w:val="00097021"/>
    <w:rsid w:val="000A2EDC"/>
    <w:rsid w:val="000A3725"/>
    <w:rsid w:val="000A3A08"/>
    <w:rsid w:val="000A40A0"/>
    <w:rsid w:val="000A67E7"/>
    <w:rsid w:val="000A6CC9"/>
    <w:rsid w:val="000A7442"/>
    <w:rsid w:val="000B0F33"/>
    <w:rsid w:val="000B1A84"/>
    <w:rsid w:val="000B1FA0"/>
    <w:rsid w:val="000B2B19"/>
    <w:rsid w:val="000C0094"/>
    <w:rsid w:val="000C3C7F"/>
    <w:rsid w:val="000C49C6"/>
    <w:rsid w:val="000C4DE5"/>
    <w:rsid w:val="000C5A17"/>
    <w:rsid w:val="000C5D51"/>
    <w:rsid w:val="000C5FF8"/>
    <w:rsid w:val="000C68FD"/>
    <w:rsid w:val="000C7CF8"/>
    <w:rsid w:val="000D09A4"/>
    <w:rsid w:val="000D0BAD"/>
    <w:rsid w:val="000D0EBC"/>
    <w:rsid w:val="000D1ACE"/>
    <w:rsid w:val="000D48E9"/>
    <w:rsid w:val="000D4969"/>
    <w:rsid w:val="000D694B"/>
    <w:rsid w:val="000D6C4C"/>
    <w:rsid w:val="000E0E4B"/>
    <w:rsid w:val="000E1CC3"/>
    <w:rsid w:val="000E2235"/>
    <w:rsid w:val="000E28EE"/>
    <w:rsid w:val="000E612D"/>
    <w:rsid w:val="000E6C15"/>
    <w:rsid w:val="000E6ED8"/>
    <w:rsid w:val="000E7A05"/>
    <w:rsid w:val="000F0923"/>
    <w:rsid w:val="000F31F0"/>
    <w:rsid w:val="000F5AA8"/>
    <w:rsid w:val="000F702B"/>
    <w:rsid w:val="000F795E"/>
    <w:rsid w:val="000F7AF3"/>
    <w:rsid w:val="00102D9D"/>
    <w:rsid w:val="001037B8"/>
    <w:rsid w:val="00104813"/>
    <w:rsid w:val="00104848"/>
    <w:rsid w:val="0010488F"/>
    <w:rsid w:val="00105EC2"/>
    <w:rsid w:val="00105F20"/>
    <w:rsid w:val="001061FA"/>
    <w:rsid w:val="001069DE"/>
    <w:rsid w:val="00106E40"/>
    <w:rsid w:val="00107A56"/>
    <w:rsid w:val="0011042D"/>
    <w:rsid w:val="0011225C"/>
    <w:rsid w:val="00112436"/>
    <w:rsid w:val="001138B5"/>
    <w:rsid w:val="001146F4"/>
    <w:rsid w:val="0011662A"/>
    <w:rsid w:val="00116A2E"/>
    <w:rsid w:val="00117BDF"/>
    <w:rsid w:val="00120307"/>
    <w:rsid w:val="00120629"/>
    <w:rsid w:val="00121346"/>
    <w:rsid w:val="0012173E"/>
    <w:rsid w:val="001226CB"/>
    <w:rsid w:val="001261A3"/>
    <w:rsid w:val="00126683"/>
    <w:rsid w:val="00127A06"/>
    <w:rsid w:val="00127D28"/>
    <w:rsid w:val="00130205"/>
    <w:rsid w:val="001304B3"/>
    <w:rsid w:val="00130577"/>
    <w:rsid w:val="00131435"/>
    <w:rsid w:val="0013287E"/>
    <w:rsid w:val="00135559"/>
    <w:rsid w:val="00136A50"/>
    <w:rsid w:val="00137598"/>
    <w:rsid w:val="00141AA6"/>
    <w:rsid w:val="001454E3"/>
    <w:rsid w:val="00145690"/>
    <w:rsid w:val="00145C18"/>
    <w:rsid w:val="001470A4"/>
    <w:rsid w:val="0014745B"/>
    <w:rsid w:val="00147643"/>
    <w:rsid w:val="00152059"/>
    <w:rsid w:val="00152309"/>
    <w:rsid w:val="00152684"/>
    <w:rsid w:val="001527D8"/>
    <w:rsid w:val="001567E2"/>
    <w:rsid w:val="001601FC"/>
    <w:rsid w:val="001628AB"/>
    <w:rsid w:val="00162B3F"/>
    <w:rsid w:val="00162E26"/>
    <w:rsid w:val="001633AB"/>
    <w:rsid w:val="00164058"/>
    <w:rsid w:val="00164D40"/>
    <w:rsid w:val="00164ECF"/>
    <w:rsid w:val="001652EC"/>
    <w:rsid w:val="0016628B"/>
    <w:rsid w:val="00167EA6"/>
    <w:rsid w:val="00170950"/>
    <w:rsid w:val="001714DB"/>
    <w:rsid w:val="0017208B"/>
    <w:rsid w:val="001742FC"/>
    <w:rsid w:val="00181556"/>
    <w:rsid w:val="00181DF8"/>
    <w:rsid w:val="0018472D"/>
    <w:rsid w:val="0018540B"/>
    <w:rsid w:val="00187C86"/>
    <w:rsid w:val="00190887"/>
    <w:rsid w:val="00190D5F"/>
    <w:rsid w:val="00191307"/>
    <w:rsid w:val="00195997"/>
    <w:rsid w:val="00195C45"/>
    <w:rsid w:val="00195F46"/>
    <w:rsid w:val="0019703D"/>
    <w:rsid w:val="001A2752"/>
    <w:rsid w:val="001A3A2F"/>
    <w:rsid w:val="001A3A7C"/>
    <w:rsid w:val="001A5C04"/>
    <w:rsid w:val="001A75EF"/>
    <w:rsid w:val="001B085F"/>
    <w:rsid w:val="001B16DE"/>
    <w:rsid w:val="001C3533"/>
    <w:rsid w:val="001C3C1E"/>
    <w:rsid w:val="001C558B"/>
    <w:rsid w:val="001C57E2"/>
    <w:rsid w:val="001C5A73"/>
    <w:rsid w:val="001C62F8"/>
    <w:rsid w:val="001C7EAB"/>
    <w:rsid w:val="001D27A8"/>
    <w:rsid w:val="001D405D"/>
    <w:rsid w:val="001D7BB9"/>
    <w:rsid w:val="001E03F1"/>
    <w:rsid w:val="001E3B0F"/>
    <w:rsid w:val="001E3F39"/>
    <w:rsid w:val="001E4FDD"/>
    <w:rsid w:val="001F0B19"/>
    <w:rsid w:val="001F1185"/>
    <w:rsid w:val="001F2405"/>
    <w:rsid w:val="001F421D"/>
    <w:rsid w:val="001F4632"/>
    <w:rsid w:val="001F791D"/>
    <w:rsid w:val="002001A7"/>
    <w:rsid w:val="002008D0"/>
    <w:rsid w:val="00201D4B"/>
    <w:rsid w:val="002038C1"/>
    <w:rsid w:val="00204BC2"/>
    <w:rsid w:val="00204DD0"/>
    <w:rsid w:val="002050C6"/>
    <w:rsid w:val="002059C6"/>
    <w:rsid w:val="00205F2D"/>
    <w:rsid w:val="002061C2"/>
    <w:rsid w:val="002062FA"/>
    <w:rsid w:val="002074DD"/>
    <w:rsid w:val="00207AD7"/>
    <w:rsid w:val="00207BFF"/>
    <w:rsid w:val="002124E6"/>
    <w:rsid w:val="0021250E"/>
    <w:rsid w:val="00213B35"/>
    <w:rsid w:val="00214BD3"/>
    <w:rsid w:val="00217B74"/>
    <w:rsid w:val="00220E68"/>
    <w:rsid w:val="0022141C"/>
    <w:rsid w:val="00221613"/>
    <w:rsid w:val="002218B4"/>
    <w:rsid w:val="00221C4C"/>
    <w:rsid w:val="00224881"/>
    <w:rsid w:val="002257C8"/>
    <w:rsid w:val="00230622"/>
    <w:rsid w:val="00231FA2"/>
    <w:rsid w:val="002326E2"/>
    <w:rsid w:val="00232BCA"/>
    <w:rsid w:val="0023313B"/>
    <w:rsid w:val="00233694"/>
    <w:rsid w:val="00236268"/>
    <w:rsid w:val="00237DF1"/>
    <w:rsid w:val="00241D29"/>
    <w:rsid w:val="00242BD5"/>
    <w:rsid w:val="00243D04"/>
    <w:rsid w:val="00245FD9"/>
    <w:rsid w:val="00246A97"/>
    <w:rsid w:val="002500E2"/>
    <w:rsid w:val="00252A86"/>
    <w:rsid w:val="00253062"/>
    <w:rsid w:val="00253276"/>
    <w:rsid w:val="00254AFD"/>
    <w:rsid w:val="00254E46"/>
    <w:rsid w:val="00256DE6"/>
    <w:rsid w:val="00261DBF"/>
    <w:rsid w:val="002625E8"/>
    <w:rsid w:val="002643DE"/>
    <w:rsid w:val="00264915"/>
    <w:rsid w:val="0026498B"/>
    <w:rsid w:val="0026688F"/>
    <w:rsid w:val="00271812"/>
    <w:rsid w:val="002756A6"/>
    <w:rsid w:val="002775EF"/>
    <w:rsid w:val="0028192B"/>
    <w:rsid w:val="00284A7A"/>
    <w:rsid w:val="00284E47"/>
    <w:rsid w:val="002850C3"/>
    <w:rsid w:val="002857C7"/>
    <w:rsid w:val="00285D5D"/>
    <w:rsid w:val="002867C3"/>
    <w:rsid w:val="002879EE"/>
    <w:rsid w:val="00290DD7"/>
    <w:rsid w:val="00292A67"/>
    <w:rsid w:val="00292E13"/>
    <w:rsid w:val="00293F44"/>
    <w:rsid w:val="0029496B"/>
    <w:rsid w:val="0029558F"/>
    <w:rsid w:val="002970C5"/>
    <w:rsid w:val="0029780E"/>
    <w:rsid w:val="002A107A"/>
    <w:rsid w:val="002A1DE1"/>
    <w:rsid w:val="002A5545"/>
    <w:rsid w:val="002A5D6A"/>
    <w:rsid w:val="002A61C6"/>
    <w:rsid w:val="002A7D98"/>
    <w:rsid w:val="002B1556"/>
    <w:rsid w:val="002B4DA1"/>
    <w:rsid w:val="002B5986"/>
    <w:rsid w:val="002B5D06"/>
    <w:rsid w:val="002B78B7"/>
    <w:rsid w:val="002C0807"/>
    <w:rsid w:val="002C1219"/>
    <w:rsid w:val="002C2303"/>
    <w:rsid w:val="002C35BE"/>
    <w:rsid w:val="002C5202"/>
    <w:rsid w:val="002C604F"/>
    <w:rsid w:val="002C6C6B"/>
    <w:rsid w:val="002D0E3C"/>
    <w:rsid w:val="002D2D1E"/>
    <w:rsid w:val="002D34DE"/>
    <w:rsid w:val="002D5319"/>
    <w:rsid w:val="002D59AB"/>
    <w:rsid w:val="002D611B"/>
    <w:rsid w:val="002D6AA6"/>
    <w:rsid w:val="002D6AE7"/>
    <w:rsid w:val="002E03E9"/>
    <w:rsid w:val="002E0FEB"/>
    <w:rsid w:val="002E24AF"/>
    <w:rsid w:val="002E6E51"/>
    <w:rsid w:val="002E6EEE"/>
    <w:rsid w:val="002E7ADF"/>
    <w:rsid w:val="002F2898"/>
    <w:rsid w:val="002F28A5"/>
    <w:rsid w:val="002F2E1E"/>
    <w:rsid w:val="002F56CA"/>
    <w:rsid w:val="002F6A44"/>
    <w:rsid w:val="002F6BF3"/>
    <w:rsid w:val="002F6D28"/>
    <w:rsid w:val="00304EF1"/>
    <w:rsid w:val="00305CDB"/>
    <w:rsid w:val="00305EB0"/>
    <w:rsid w:val="00310095"/>
    <w:rsid w:val="0031126C"/>
    <w:rsid w:val="00311C4F"/>
    <w:rsid w:val="00312052"/>
    <w:rsid w:val="003136B0"/>
    <w:rsid w:val="00313E7A"/>
    <w:rsid w:val="00315870"/>
    <w:rsid w:val="003204DD"/>
    <w:rsid w:val="003217E5"/>
    <w:rsid w:val="00321F88"/>
    <w:rsid w:val="00322A05"/>
    <w:rsid w:val="00322D27"/>
    <w:rsid w:val="003233DE"/>
    <w:rsid w:val="00325A20"/>
    <w:rsid w:val="00325CF8"/>
    <w:rsid w:val="003260F0"/>
    <w:rsid w:val="00326C55"/>
    <w:rsid w:val="00331087"/>
    <w:rsid w:val="003314A8"/>
    <w:rsid w:val="003326B3"/>
    <w:rsid w:val="00334177"/>
    <w:rsid w:val="00335E10"/>
    <w:rsid w:val="00335E11"/>
    <w:rsid w:val="003372ED"/>
    <w:rsid w:val="00337D0F"/>
    <w:rsid w:val="003463ED"/>
    <w:rsid w:val="0035058D"/>
    <w:rsid w:val="003545A4"/>
    <w:rsid w:val="003550F2"/>
    <w:rsid w:val="003554E8"/>
    <w:rsid w:val="003575BD"/>
    <w:rsid w:val="00357A4C"/>
    <w:rsid w:val="00357F81"/>
    <w:rsid w:val="003627A6"/>
    <w:rsid w:val="003627FB"/>
    <w:rsid w:val="00364542"/>
    <w:rsid w:val="00366999"/>
    <w:rsid w:val="00371234"/>
    <w:rsid w:val="00371DD1"/>
    <w:rsid w:val="00372429"/>
    <w:rsid w:val="003731FE"/>
    <w:rsid w:val="00373B04"/>
    <w:rsid w:val="00375232"/>
    <w:rsid w:val="0038156C"/>
    <w:rsid w:val="003825E1"/>
    <w:rsid w:val="00382F27"/>
    <w:rsid w:val="00385313"/>
    <w:rsid w:val="00385B6C"/>
    <w:rsid w:val="0038667B"/>
    <w:rsid w:val="0038693F"/>
    <w:rsid w:val="00386E44"/>
    <w:rsid w:val="003875BF"/>
    <w:rsid w:val="00390323"/>
    <w:rsid w:val="00390E00"/>
    <w:rsid w:val="00390E69"/>
    <w:rsid w:val="003931E8"/>
    <w:rsid w:val="00393257"/>
    <w:rsid w:val="00395087"/>
    <w:rsid w:val="00396D1C"/>
    <w:rsid w:val="003A2200"/>
    <w:rsid w:val="003A2B14"/>
    <w:rsid w:val="003A43E6"/>
    <w:rsid w:val="003A4F4C"/>
    <w:rsid w:val="003A5060"/>
    <w:rsid w:val="003A6D0C"/>
    <w:rsid w:val="003A77F0"/>
    <w:rsid w:val="003A7C38"/>
    <w:rsid w:val="003B2A6E"/>
    <w:rsid w:val="003B347B"/>
    <w:rsid w:val="003B4144"/>
    <w:rsid w:val="003B5CA6"/>
    <w:rsid w:val="003B69AD"/>
    <w:rsid w:val="003C1224"/>
    <w:rsid w:val="003C15DF"/>
    <w:rsid w:val="003C36EC"/>
    <w:rsid w:val="003C561C"/>
    <w:rsid w:val="003C6942"/>
    <w:rsid w:val="003C6AB5"/>
    <w:rsid w:val="003D1E21"/>
    <w:rsid w:val="003D2E50"/>
    <w:rsid w:val="003D3DB5"/>
    <w:rsid w:val="003D4539"/>
    <w:rsid w:val="003D616D"/>
    <w:rsid w:val="003D7A15"/>
    <w:rsid w:val="003E024F"/>
    <w:rsid w:val="003E09F4"/>
    <w:rsid w:val="003E2C9E"/>
    <w:rsid w:val="003E2F08"/>
    <w:rsid w:val="003E376E"/>
    <w:rsid w:val="003E5216"/>
    <w:rsid w:val="003E556D"/>
    <w:rsid w:val="003E63A6"/>
    <w:rsid w:val="003E74E5"/>
    <w:rsid w:val="003E7DC1"/>
    <w:rsid w:val="003F2189"/>
    <w:rsid w:val="003F23BC"/>
    <w:rsid w:val="003F349E"/>
    <w:rsid w:val="003F490B"/>
    <w:rsid w:val="003F4AFB"/>
    <w:rsid w:val="003F4C4A"/>
    <w:rsid w:val="003F4CA9"/>
    <w:rsid w:val="003F7EF3"/>
    <w:rsid w:val="004002B9"/>
    <w:rsid w:val="0040107A"/>
    <w:rsid w:val="00403207"/>
    <w:rsid w:val="004046B6"/>
    <w:rsid w:val="00405F81"/>
    <w:rsid w:val="0040701D"/>
    <w:rsid w:val="00411783"/>
    <w:rsid w:val="00411B41"/>
    <w:rsid w:val="0041392D"/>
    <w:rsid w:val="0041428B"/>
    <w:rsid w:val="00415752"/>
    <w:rsid w:val="004158E3"/>
    <w:rsid w:val="00415DC7"/>
    <w:rsid w:val="00416D53"/>
    <w:rsid w:val="004175EE"/>
    <w:rsid w:val="00421B43"/>
    <w:rsid w:val="004224A4"/>
    <w:rsid w:val="004228F2"/>
    <w:rsid w:val="004241CE"/>
    <w:rsid w:val="00425084"/>
    <w:rsid w:val="00426009"/>
    <w:rsid w:val="00426B3A"/>
    <w:rsid w:val="00426CA7"/>
    <w:rsid w:val="00427A5E"/>
    <w:rsid w:val="004315F9"/>
    <w:rsid w:val="00435682"/>
    <w:rsid w:val="00436C7C"/>
    <w:rsid w:val="00436E22"/>
    <w:rsid w:val="00437318"/>
    <w:rsid w:val="00440182"/>
    <w:rsid w:val="00440C04"/>
    <w:rsid w:val="00443743"/>
    <w:rsid w:val="00444064"/>
    <w:rsid w:val="00444993"/>
    <w:rsid w:val="004450E2"/>
    <w:rsid w:val="00445CBC"/>
    <w:rsid w:val="004469F4"/>
    <w:rsid w:val="00447C75"/>
    <w:rsid w:val="00450939"/>
    <w:rsid w:val="00450F87"/>
    <w:rsid w:val="004517E4"/>
    <w:rsid w:val="00453A60"/>
    <w:rsid w:val="00453CCA"/>
    <w:rsid w:val="00455249"/>
    <w:rsid w:val="0045544C"/>
    <w:rsid w:val="004626AD"/>
    <w:rsid w:val="0046284C"/>
    <w:rsid w:val="004628F3"/>
    <w:rsid w:val="0046306F"/>
    <w:rsid w:val="00463B0D"/>
    <w:rsid w:val="00464AAF"/>
    <w:rsid w:val="004651FC"/>
    <w:rsid w:val="004654E0"/>
    <w:rsid w:val="00466A02"/>
    <w:rsid w:val="004676B6"/>
    <w:rsid w:val="004707B7"/>
    <w:rsid w:val="004710D2"/>
    <w:rsid w:val="00472B29"/>
    <w:rsid w:val="00472DD7"/>
    <w:rsid w:val="0048022F"/>
    <w:rsid w:val="00482C48"/>
    <w:rsid w:val="00483E62"/>
    <w:rsid w:val="004849DD"/>
    <w:rsid w:val="0048505C"/>
    <w:rsid w:val="004851F4"/>
    <w:rsid w:val="00485508"/>
    <w:rsid w:val="00486815"/>
    <w:rsid w:val="00486AB5"/>
    <w:rsid w:val="00487859"/>
    <w:rsid w:val="004905D4"/>
    <w:rsid w:val="00490B45"/>
    <w:rsid w:val="00490EA2"/>
    <w:rsid w:val="00491117"/>
    <w:rsid w:val="00491668"/>
    <w:rsid w:val="004937EF"/>
    <w:rsid w:val="004944C8"/>
    <w:rsid w:val="00494C1A"/>
    <w:rsid w:val="00495370"/>
    <w:rsid w:val="00495D10"/>
    <w:rsid w:val="004A1661"/>
    <w:rsid w:val="004A1C82"/>
    <w:rsid w:val="004A3AE5"/>
    <w:rsid w:val="004A41B4"/>
    <w:rsid w:val="004A4317"/>
    <w:rsid w:val="004A47F6"/>
    <w:rsid w:val="004A51DA"/>
    <w:rsid w:val="004A5AE1"/>
    <w:rsid w:val="004A68C0"/>
    <w:rsid w:val="004B0926"/>
    <w:rsid w:val="004B1BB6"/>
    <w:rsid w:val="004B1CA5"/>
    <w:rsid w:val="004B27D1"/>
    <w:rsid w:val="004B5C5C"/>
    <w:rsid w:val="004B5DD8"/>
    <w:rsid w:val="004B6597"/>
    <w:rsid w:val="004B695F"/>
    <w:rsid w:val="004C1103"/>
    <w:rsid w:val="004C17FD"/>
    <w:rsid w:val="004C1B30"/>
    <w:rsid w:val="004C40EB"/>
    <w:rsid w:val="004C42BC"/>
    <w:rsid w:val="004C5C15"/>
    <w:rsid w:val="004C6BBB"/>
    <w:rsid w:val="004C7031"/>
    <w:rsid w:val="004C72A5"/>
    <w:rsid w:val="004C73F3"/>
    <w:rsid w:val="004D0380"/>
    <w:rsid w:val="004D064B"/>
    <w:rsid w:val="004D1CCB"/>
    <w:rsid w:val="004D3347"/>
    <w:rsid w:val="004D37AA"/>
    <w:rsid w:val="004D3900"/>
    <w:rsid w:val="004D4960"/>
    <w:rsid w:val="004D4A0D"/>
    <w:rsid w:val="004D6977"/>
    <w:rsid w:val="004D6BA0"/>
    <w:rsid w:val="004D7825"/>
    <w:rsid w:val="004E03C8"/>
    <w:rsid w:val="004E143A"/>
    <w:rsid w:val="004E16C3"/>
    <w:rsid w:val="004E26A4"/>
    <w:rsid w:val="004E291F"/>
    <w:rsid w:val="004E2A54"/>
    <w:rsid w:val="004E32AF"/>
    <w:rsid w:val="004E348F"/>
    <w:rsid w:val="004E5EAA"/>
    <w:rsid w:val="004E6E1F"/>
    <w:rsid w:val="004F1966"/>
    <w:rsid w:val="004F2BA0"/>
    <w:rsid w:val="004F3B90"/>
    <w:rsid w:val="004F3EE5"/>
    <w:rsid w:val="004F589F"/>
    <w:rsid w:val="00500E3D"/>
    <w:rsid w:val="00502A8F"/>
    <w:rsid w:val="005049EF"/>
    <w:rsid w:val="00506864"/>
    <w:rsid w:val="005101A3"/>
    <w:rsid w:val="005109E8"/>
    <w:rsid w:val="00510C2E"/>
    <w:rsid w:val="00513090"/>
    <w:rsid w:val="00513512"/>
    <w:rsid w:val="0051398A"/>
    <w:rsid w:val="00517611"/>
    <w:rsid w:val="00521756"/>
    <w:rsid w:val="00521B3E"/>
    <w:rsid w:val="00522347"/>
    <w:rsid w:val="005227F4"/>
    <w:rsid w:val="00522DED"/>
    <w:rsid w:val="00525E38"/>
    <w:rsid w:val="005269DE"/>
    <w:rsid w:val="00526E45"/>
    <w:rsid w:val="00527127"/>
    <w:rsid w:val="00530F96"/>
    <w:rsid w:val="00531AD7"/>
    <w:rsid w:val="0053298B"/>
    <w:rsid w:val="0053428A"/>
    <w:rsid w:val="0053477D"/>
    <w:rsid w:val="0053653D"/>
    <w:rsid w:val="005365C1"/>
    <w:rsid w:val="00543B55"/>
    <w:rsid w:val="00544AEB"/>
    <w:rsid w:val="0054566B"/>
    <w:rsid w:val="00545C25"/>
    <w:rsid w:val="0054712E"/>
    <w:rsid w:val="005472DF"/>
    <w:rsid w:val="00547FAF"/>
    <w:rsid w:val="005512FE"/>
    <w:rsid w:val="005534AE"/>
    <w:rsid w:val="00553766"/>
    <w:rsid w:val="00553B1F"/>
    <w:rsid w:val="00553F81"/>
    <w:rsid w:val="00554939"/>
    <w:rsid w:val="00555332"/>
    <w:rsid w:val="0055596B"/>
    <w:rsid w:val="005566B0"/>
    <w:rsid w:val="00557545"/>
    <w:rsid w:val="00557694"/>
    <w:rsid w:val="00557751"/>
    <w:rsid w:val="00557B18"/>
    <w:rsid w:val="00557BE6"/>
    <w:rsid w:val="00557D3B"/>
    <w:rsid w:val="00560688"/>
    <w:rsid w:val="00560F65"/>
    <w:rsid w:val="005627DA"/>
    <w:rsid w:val="00562B20"/>
    <w:rsid w:val="0056401C"/>
    <w:rsid w:val="00564190"/>
    <w:rsid w:val="00564CD2"/>
    <w:rsid w:val="00570936"/>
    <w:rsid w:val="00574383"/>
    <w:rsid w:val="005762A3"/>
    <w:rsid w:val="00581A8E"/>
    <w:rsid w:val="00581F72"/>
    <w:rsid w:val="00582FDD"/>
    <w:rsid w:val="005854AD"/>
    <w:rsid w:val="005872A5"/>
    <w:rsid w:val="005879C1"/>
    <w:rsid w:val="00590351"/>
    <w:rsid w:val="005906F8"/>
    <w:rsid w:val="00595A04"/>
    <w:rsid w:val="00597EC9"/>
    <w:rsid w:val="005A0FF8"/>
    <w:rsid w:val="005A18CF"/>
    <w:rsid w:val="005A37CF"/>
    <w:rsid w:val="005A3F3C"/>
    <w:rsid w:val="005A545E"/>
    <w:rsid w:val="005A54C0"/>
    <w:rsid w:val="005A683B"/>
    <w:rsid w:val="005A6999"/>
    <w:rsid w:val="005A7611"/>
    <w:rsid w:val="005A7D10"/>
    <w:rsid w:val="005B0AEE"/>
    <w:rsid w:val="005B0BF3"/>
    <w:rsid w:val="005B0D18"/>
    <w:rsid w:val="005B1AC1"/>
    <w:rsid w:val="005B2722"/>
    <w:rsid w:val="005B2B4E"/>
    <w:rsid w:val="005B43A1"/>
    <w:rsid w:val="005B460F"/>
    <w:rsid w:val="005B51C1"/>
    <w:rsid w:val="005B5281"/>
    <w:rsid w:val="005B6D97"/>
    <w:rsid w:val="005B701F"/>
    <w:rsid w:val="005C0657"/>
    <w:rsid w:val="005C1AC4"/>
    <w:rsid w:val="005C244A"/>
    <w:rsid w:val="005C3A70"/>
    <w:rsid w:val="005C3D5C"/>
    <w:rsid w:val="005C54DD"/>
    <w:rsid w:val="005C5724"/>
    <w:rsid w:val="005C5CE5"/>
    <w:rsid w:val="005C6DD1"/>
    <w:rsid w:val="005C7691"/>
    <w:rsid w:val="005D0EDF"/>
    <w:rsid w:val="005D1C58"/>
    <w:rsid w:val="005D4073"/>
    <w:rsid w:val="005D44EB"/>
    <w:rsid w:val="005D45AD"/>
    <w:rsid w:val="005D54DB"/>
    <w:rsid w:val="005D55A5"/>
    <w:rsid w:val="005D5CAD"/>
    <w:rsid w:val="005D5D96"/>
    <w:rsid w:val="005D6E50"/>
    <w:rsid w:val="005D7138"/>
    <w:rsid w:val="005D7D3A"/>
    <w:rsid w:val="005E01F2"/>
    <w:rsid w:val="005E020F"/>
    <w:rsid w:val="005E26E5"/>
    <w:rsid w:val="005E2D33"/>
    <w:rsid w:val="005E2EE4"/>
    <w:rsid w:val="005E44D1"/>
    <w:rsid w:val="005F0A0D"/>
    <w:rsid w:val="005F3204"/>
    <w:rsid w:val="005F37B7"/>
    <w:rsid w:val="005F5737"/>
    <w:rsid w:val="005F6569"/>
    <w:rsid w:val="00600B0F"/>
    <w:rsid w:val="00601E4C"/>
    <w:rsid w:val="00603B0F"/>
    <w:rsid w:val="00603B17"/>
    <w:rsid w:val="00605C44"/>
    <w:rsid w:val="00606058"/>
    <w:rsid w:val="00610B10"/>
    <w:rsid w:val="00611B03"/>
    <w:rsid w:val="00613E9E"/>
    <w:rsid w:val="00614395"/>
    <w:rsid w:val="00614F14"/>
    <w:rsid w:val="0061616E"/>
    <w:rsid w:val="00617D21"/>
    <w:rsid w:val="0062484F"/>
    <w:rsid w:val="006262C0"/>
    <w:rsid w:val="00626C1F"/>
    <w:rsid w:val="0062751A"/>
    <w:rsid w:val="00627C79"/>
    <w:rsid w:val="006306AC"/>
    <w:rsid w:val="006307E6"/>
    <w:rsid w:val="00632457"/>
    <w:rsid w:val="00633339"/>
    <w:rsid w:val="00634A71"/>
    <w:rsid w:val="006363D6"/>
    <w:rsid w:val="00640BB5"/>
    <w:rsid w:val="00640FDE"/>
    <w:rsid w:val="00641F77"/>
    <w:rsid w:val="00642392"/>
    <w:rsid w:val="006451C1"/>
    <w:rsid w:val="0064566A"/>
    <w:rsid w:val="00646819"/>
    <w:rsid w:val="00650744"/>
    <w:rsid w:val="006507D1"/>
    <w:rsid w:val="0065208A"/>
    <w:rsid w:val="00657DDF"/>
    <w:rsid w:val="00662A2A"/>
    <w:rsid w:val="00663C5C"/>
    <w:rsid w:val="0066644E"/>
    <w:rsid w:val="00666DDC"/>
    <w:rsid w:val="00671241"/>
    <w:rsid w:val="00671BA4"/>
    <w:rsid w:val="00671FC2"/>
    <w:rsid w:val="00677D37"/>
    <w:rsid w:val="00680457"/>
    <w:rsid w:val="00681802"/>
    <w:rsid w:val="00681CC8"/>
    <w:rsid w:val="00681DF6"/>
    <w:rsid w:val="00682D1B"/>
    <w:rsid w:val="00686F75"/>
    <w:rsid w:val="006873D5"/>
    <w:rsid w:val="00687896"/>
    <w:rsid w:val="006911D7"/>
    <w:rsid w:val="0069352D"/>
    <w:rsid w:val="0069566F"/>
    <w:rsid w:val="00696398"/>
    <w:rsid w:val="006963DA"/>
    <w:rsid w:val="00696FF8"/>
    <w:rsid w:val="006A04BB"/>
    <w:rsid w:val="006A4E3F"/>
    <w:rsid w:val="006A55F2"/>
    <w:rsid w:val="006A5828"/>
    <w:rsid w:val="006A74C1"/>
    <w:rsid w:val="006A7B0A"/>
    <w:rsid w:val="006B084F"/>
    <w:rsid w:val="006B1849"/>
    <w:rsid w:val="006B2686"/>
    <w:rsid w:val="006B36BB"/>
    <w:rsid w:val="006B52FF"/>
    <w:rsid w:val="006B570D"/>
    <w:rsid w:val="006B5866"/>
    <w:rsid w:val="006B5C44"/>
    <w:rsid w:val="006B7B69"/>
    <w:rsid w:val="006C062D"/>
    <w:rsid w:val="006C2C7A"/>
    <w:rsid w:val="006C47B0"/>
    <w:rsid w:val="006C7EAE"/>
    <w:rsid w:val="006D076B"/>
    <w:rsid w:val="006D2868"/>
    <w:rsid w:val="006D59F8"/>
    <w:rsid w:val="006D64B6"/>
    <w:rsid w:val="006E2699"/>
    <w:rsid w:val="006E3779"/>
    <w:rsid w:val="006E37CA"/>
    <w:rsid w:val="006E3852"/>
    <w:rsid w:val="006E421D"/>
    <w:rsid w:val="006E5161"/>
    <w:rsid w:val="006F0C93"/>
    <w:rsid w:val="006F11E7"/>
    <w:rsid w:val="006F1C5C"/>
    <w:rsid w:val="006F1CA7"/>
    <w:rsid w:val="006F21EE"/>
    <w:rsid w:val="006F2D14"/>
    <w:rsid w:val="006F328C"/>
    <w:rsid w:val="006F5B32"/>
    <w:rsid w:val="006F75C2"/>
    <w:rsid w:val="006F7628"/>
    <w:rsid w:val="0070062B"/>
    <w:rsid w:val="00700980"/>
    <w:rsid w:val="00701672"/>
    <w:rsid w:val="00702A67"/>
    <w:rsid w:val="00702BE5"/>
    <w:rsid w:val="0070395C"/>
    <w:rsid w:val="00703D43"/>
    <w:rsid w:val="00706862"/>
    <w:rsid w:val="00706D59"/>
    <w:rsid w:val="00706EFF"/>
    <w:rsid w:val="00707B9B"/>
    <w:rsid w:val="00711D6F"/>
    <w:rsid w:val="00712724"/>
    <w:rsid w:val="00716614"/>
    <w:rsid w:val="0072186A"/>
    <w:rsid w:val="00724391"/>
    <w:rsid w:val="00725FA1"/>
    <w:rsid w:val="007261BF"/>
    <w:rsid w:val="00726417"/>
    <w:rsid w:val="007264BB"/>
    <w:rsid w:val="007264DA"/>
    <w:rsid w:val="00730479"/>
    <w:rsid w:val="00731767"/>
    <w:rsid w:val="007342BB"/>
    <w:rsid w:val="00734A8C"/>
    <w:rsid w:val="00735C81"/>
    <w:rsid w:val="0073793E"/>
    <w:rsid w:val="00737B43"/>
    <w:rsid w:val="00741F94"/>
    <w:rsid w:val="00744A61"/>
    <w:rsid w:val="00745A17"/>
    <w:rsid w:val="00745F1B"/>
    <w:rsid w:val="0074617D"/>
    <w:rsid w:val="00746B75"/>
    <w:rsid w:val="00746E2A"/>
    <w:rsid w:val="0074735F"/>
    <w:rsid w:val="00747B14"/>
    <w:rsid w:val="00747BA8"/>
    <w:rsid w:val="007506A8"/>
    <w:rsid w:val="0075113C"/>
    <w:rsid w:val="00752D26"/>
    <w:rsid w:val="00754CBD"/>
    <w:rsid w:val="00756389"/>
    <w:rsid w:val="0075795C"/>
    <w:rsid w:val="0076055F"/>
    <w:rsid w:val="007606F7"/>
    <w:rsid w:val="00761F7F"/>
    <w:rsid w:val="00762FBD"/>
    <w:rsid w:val="00763DF5"/>
    <w:rsid w:val="00764471"/>
    <w:rsid w:val="007663C2"/>
    <w:rsid w:val="00767411"/>
    <w:rsid w:val="007678DF"/>
    <w:rsid w:val="00770F70"/>
    <w:rsid w:val="00772E37"/>
    <w:rsid w:val="00772EF0"/>
    <w:rsid w:val="00773353"/>
    <w:rsid w:val="007750C9"/>
    <w:rsid w:val="0077584E"/>
    <w:rsid w:val="007759BA"/>
    <w:rsid w:val="00775F67"/>
    <w:rsid w:val="00777C22"/>
    <w:rsid w:val="0078009C"/>
    <w:rsid w:val="007803EF"/>
    <w:rsid w:val="007804AC"/>
    <w:rsid w:val="00782AD0"/>
    <w:rsid w:val="007835E1"/>
    <w:rsid w:val="00783E87"/>
    <w:rsid w:val="00786104"/>
    <w:rsid w:val="007862C6"/>
    <w:rsid w:val="007878B8"/>
    <w:rsid w:val="00787B8F"/>
    <w:rsid w:val="007913FD"/>
    <w:rsid w:val="00793279"/>
    <w:rsid w:val="00794969"/>
    <w:rsid w:val="0079505F"/>
    <w:rsid w:val="007955ED"/>
    <w:rsid w:val="00795BF3"/>
    <w:rsid w:val="00796F80"/>
    <w:rsid w:val="00797673"/>
    <w:rsid w:val="00797C9E"/>
    <w:rsid w:val="007A0631"/>
    <w:rsid w:val="007A0981"/>
    <w:rsid w:val="007A11C2"/>
    <w:rsid w:val="007A1BB9"/>
    <w:rsid w:val="007A239F"/>
    <w:rsid w:val="007A4E4D"/>
    <w:rsid w:val="007A4FCE"/>
    <w:rsid w:val="007A59DF"/>
    <w:rsid w:val="007A5C21"/>
    <w:rsid w:val="007A68EB"/>
    <w:rsid w:val="007A727D"/>
    <w:rsid w:val="007A7579"/>
    <w:rsid w:val="007A7608"/>
    <w:rsid w:val="007B1E7B"/>
    <w:rsid w:val="007B2A61"/>
    <w:rsid w:val="007B32FF"/>
    <w:rsid w:val="007B3F3E"/>
    <w:rsid w:val="007B4363"/>
    <w:rsid w:val="007B457C"/>
    <w:rsid w:val="007B5346"/>
    <w:rsid w:val="007B6E44"/>
    <w:rsid w:val="007B7191"/>
    <w:rsid w:val="007C0561"/>
    <w:rsid w:val="007C0621"/>
    <w:rsid w:val="007C153D"/>
    <w:rsid w:val="007C15FD"/>
    <w:rsid w:val="007C1B47"/>
    <w:rsid w:val="007C28D3"/>
    <w:rsid w:val="007C6B09"/>
    <w:rsid w:val="007C75E0"/>
    <w:rsid w:val="007C7E2B"/>
    <w:rsid w:val="007D0B45"/>
    <w:rsid w:val="007D100F"/>
    <w:rsid w:val="007D2D89"/>
    <w:rsid w:val="007D6708"/>
    <w:rsid w:val="007D76F3"/>
    <w:rsid w:val="007E05F6"/>
    <w:rsid w:val="007E0DBB"/>
    <w:rsid w:val="007E12B1"/>
    <w:rsid w:val="007E1373"/>
    <w:rsid w:val="007E182F"/>
    <w:rsid w:val="007E1E5F"/>
    <w:rsid w:val="007E25E6"/>
    <w:rsid w:val="007E2F80"/>
    <w:rsid w:val="007E305D"/>
    <w:rsid w:val="007E3F48"/>
    <w:rsid w:val="007F36C8"/>
    <w:rsid w:val="007F6652"/>
    <w:rsid w:val="007F6D8C"/>
    <w:rsid w:val="007F742E"/>
    <w:rsid w:val="007F7481"/>
    <w:rsid w:val="007F7A3D"/>
    <w:rsid w:val="00801083"/>
    <w:rsid w:val="008014BA"/>
    <w:rsid w:val="00801EC3"/>
    <w:rsid w:val="008023DB"/>
    <w:rsid w:val="00803F94"/>
    <w:rsid w:val="0080446F"/>
    <w:rsid w:val="00804C5C"/>
    <w:rsid w:val="0080502E"/>
    <w:rsid w:val="00805392"/>
    <w:rsid w:val="008054C7"/>
    <w:rsid w:val="008074FE"/>
    <w:rsid w:val="00810A47"/>
    <w:rsid w:val="00811519"/>
    <w:rsid w:val="0081180D"/>
    <w:rsid w:val="00815F14"/>
    <w:rsid w:val="0081613E"/>
    <w:rsid w:val="0081694E"/>
    <w:rsid w:val="00817A40"/>
    <w:rsid w:val="00817B9F"/>
    <w:rsid w:val="00820426"/>
    <w:rsid w:val="00820514"/>
    <w:rsid w:val="008213D3"/>
    <w:rsid w:val="008213D7"/>
    <w:rsid w:val="00822F70"/>
    <w:rsid w:val="00823138"/>
    <w:rsid w:val="008250D9"/>
    <w:rsid w:val="00830390"/>
    <w:rsid w:val="008325C9"/>
    <w:rsid w:val="00832EEC"/>
    <w:rsid w:val="00834D8D"/>
    <w:rsid w:val="008362D9"/>
    <w:rsid w:val="00841174"/>
    <w:rsid w:val="00842DDC"/>
    <w:rsid w:val="00843D0D"/>
    <w:rsid w:val="0084483E"/>
    <w:rsid w:val="00845325"/>
    <w:rsid w:val="00845AF2"/>
    <w:rsid w:val="00847618"/>
    <w:rsid w:val="00850432"/>
    <w:rsid w:val="00850C01"/>
    <w:rsid w:val="00850F40"/>
    <w:rsid w:val="00851086"/>
    <w:rsid w:val="00851B4C"/>
    <w:rsid w:val="0085433E"/>
    <w:rsid w:val="00855441"/>
    <w:rsid w:val="00856803"/>
    <w:rsid w:val="0085741A"/>
    <w:rsid w:val="008604F0"/>
    <w:rsid w:val="00861D51"/>
    <w:rsid w:val="008631FB"/>
    <w:rsid w:val="00863AC3"/>
    <w:rsid w:val="008648E7"/>
    <w:rsid w:val="00866852"/>
    <w:rsid w:val="00867061"/>
    <w:rsid w:val="00873079"/>
    <w:rsid w:val="00873405"/>
    <w:rsid w:val="0087490D"/>
    <w:rsid w:val="00874E49"/>
    <w:rsid w:val="008752AA"/>
    <w:rsid w:val="008763F2"/>
    <w:rsid w:val="008769AB"/>
    <w:rsid w:val="0088263C"/>
    <w:rsid w:val="008834CA"/>
    <w:rsid w:val="00884E16"/>
    <w:rsid w:val="008900C3"/>
    <w:rsid w:val="00890559"/>
    <w:rsid w:val="008918EF"/>
    <w:rsid w:val="00893035"/>
    <w:rsid w:val="00895A48"/>
    <w:rsid w:val="0089688A"/>
    <w:rsid w:val="00896B43"/>
    <w:rsid w:val="008A0DF2"/>
    <w:rsid w:val="008A15D6"/>
    <w:rsid w:val="008A1B70"/>
    <w:rsid w:val="008A260C"/>
    <w:rsid w:val="008A34DF"/>
    <w:rsid w:val="008A3A0A"/>
    <w:rsid w:val="008A3BD2"/>
    <w:rsid w:val="008A4150"/>
    <w:rsid w:val="008A47A0"/>
    <w:rsid w:val="008A4BB9"/>
    <w:rsid w:val="008A4C42"/>
    <w:rsid w:val="008A784B"/>
    <w:rsid w:val="008B7E57"/>
    <w:rsid w:val="008C018E"/>
    <w:rsid w:val="008C1059"/>
    <w:rsid w:val="008C28C5"/>
    <w:rsid w:val="008C37E9"/>
    <w:rsid w:val="008C3A4B"/>
    <w:rsid w:val="008C5922"/>
    <w:rsid w:val="008C7F29"/>
    <w:rsid w:val="008D185E"/>
    <w:rsid w:val="008D212C"/>
    <w:rsid w:val="008D310D"/>
    <w:rsid w:val="008D33E8"/>
    <w:rsid w:val="008D4E35"/>
    <w:rsid w:val="008D5796"/>
    <w:rsid w:val="008D5E96"/>
    <w:rsid w:val="008E210F"/>
    <w:rsid w:val="008E54EA"/>
    <w:rsid w:val="008E5619"/>
    <w:rsid w:val="008E597E"/>
    <w:rsid w:val="008E6C3E"/>
    <w:rsid w:val="008E7360"/>
    <w:rsid w:val="008F00AA"/>
    <w:rsid w:val="008F0C7D"/>
    <w:rsid w:val="008F1161"/>
    <w:rsid w:val="008F282F"/>
    <w:rsid w:val="008F3575"/>
    <w:rsid w:val="008F532C"/>
    <w:rsid w:val="008F6474"/>
    <w:rsid w:val="008F69FA"/>
    <w:rsid w:val="008F75D6"/>
    <w:rsid w:val="008F7BB0"/>
    <w:rsid w:val="009008F1"/>
    <w:rsid w:val="00900A29"/>
    <w:rsid w:val="00900C54"/>
    <w:rsid w:val="00901C06"/>
    <w:rsid w:val="009029B5"/>
    <w:rsid w:val="00902D26"/>
    <w:rsid w:val="00905545"/>
    <w:rsid w:val="0090687E"/>
    <w:rsid w:val="00910215"/>
    <w:rsid w:val="009128AD"/>
    <w:rsid w:val="0091305E"/>
    <w:rsid w:val="00913498"/>
    <w:rsid w:val="00914363"/>
    <w:rsid w:val="00915EBE"/>
    <w:rsid w:val="009202AD"/>
    <w:rsid w:val="00922834"/>
    <w:rsid w:val="00922A5F"/>
    <w:rsid w:val="00923E89"/>
    <w:rsid w:val="00925D2C"/>
    <w:rsid w:val="00936265"/>
    <w:rsid w:val="00936C6C"/>
    <w:rsid w:val="00937FA7"/>
    <w:rsid w:val="00941544"/>
    <w:rsid w:val="00944467"/>
    <w:rsid w:val="0094481B"/>
    <w:rsid w:val="0094584B"/>
    <w:rsid w:val="00945862"/>
    <w:rsid w:val="009465C9"/>
    <w:rsid w:val="00946AC5"/>
    <w:rsid w:val="009503A5"/>
    <w:rsid w:val="009509AD"/>
    <w:rsid w:val="00950ADD"/>
    <w:rsid w:val="00950FC1"/>
    <w:rsid w:val="00951D39"/>
    <w:rsid w:val="00952BFC"/>
    <w:rsid w:val="00953B56"/>
    <w:rsid w:val="00954C67"/>
    <w:rsid w:val="009577FF"/>
    <w:rsid w:val="00961D89"/>
    <w:rsid w:val="00961FA3"/>
    <w:rsid w:val="0096567B"/>
    <w:rsid w:val="0096671C"/>
    <w:rsid w:val="00967541"/>
    <w:rsid w:val="00970131"/>
    <w:rsid w:val="0097038A"/>
    <w:rsid w:val="00971466"/>
    <w:rsid w:val="009716A8"/>
    <w:rsid w:val="00973F24"/>
    <w:rsid w:val="00973F99"/>
    <w:rsid w:val="009767D4"/>
    <w:rsid w:val="00976B29"/>
    <w:rsid w:val="00980671"/>
    <w:rsid w:val="00981D4F"/>
    <w:rsid w:val="00982AFE"/>
    <w:rsid w:val="00986C6A"/>
    <w:rsid w:val="00987B22"/>
    <w:rsid w:val="00987E0D"/>
    <w:rsid w:val="0099039E"/>
    <w:rsid w:val="0099091D"/>
    <w:rsid w:val="00992334"/>
    <w:rsid w:val="009929FC"/>
    <w:rsid w:val="00993231"/>
    <w:rsid w:val="00993ED5"/>
    <w:rsid w:val="00994479"/>
    <w:rsid w:val="0099554E"/>
    <w:rsid w:val="009966A0"/>
    <w:rsid w:val="00996FAD"/>
    <w:rsid w:val="00997184"/>
    <w:rsid w:val="00997BE1"/>
    <w:rsid w:val="009A002F"/>
    <w:rsid w:val="009A18E9"/>
    <w:rsid w:val="009A4F99"/>
    <w:rsid w:val="009B1312"/>
    <w:rsid w:val="009B21EF"/>
    <w:rsid w:val="009B22CA"/>
    <w:rsid w:val="009B2331"/>
    <w:rsid w:val="009B2513"/>
    <w:rsid w:val="009B3444"/>
    <w:rsid w:val="009B34CB"/>
    <w:rsid w:val="009B3731"/>
    <w:rsid w:val="009B3EEF"/>
    <w:rsid w:val="009C1DF5"/>
    <w:rsid w:val="009C2677"/>
    <w:rsid w:val="009C3995"/>
    <w:rsid w:val="009C400F"/>
    <w:rsid w:val="009C41ED"/>
    <w:rsid w:val="009C54BA"/>
    <w:rsid w:val="009C5613"/>
    <w:rsid w:val="009C5E92"/>
    <w:rsid w:val="009C613D"/>
    <w:rsid w:val="009C627C"/>
    <w:rsid w:val="009C63A2"/>
    <w:rsid w:val="009C6944"/>
    <w:rsid w:val="009C6F09"/>
    <w:rsid w:val="009C7D20"/>
    <w:rsid w:val="009D0F3B"/>
    <w:rsid w:val="009D11EB"/>
    <w:rsid w:val="009D1449"/>
    <w:rsid w:val="009D4885"/>
    <w:rsid w:val="009D4AA6"/>
    <w:rsid w:val="009D4E00"/>
    <w:rsid w:val="009E0C38"/>
    <w:rsid w:val="009E5313"/>
    <w:rsid w:val="009F04B2"/>
    <w:rsid w:val="009F0940"/>
    <w:rsid w:val="009F2E31"/>
    <w:rsid w:val="009F7631"/>
    <w:rsid w:val="009F7BA6"/>
    <w:rsid w:val="00A0005A"/>
    <w:rsid w:val="00A0021F"/>
    <w:rsid w:val="00A02881"/>
    <w:rsid w:val="00A03642"/>
    <w:rsid w:val="00A03A09"/>
    <w:rsid w:val="00A0464A"/>
    <w:rsid w:val="00A106E3"/>
    <w:rsid w:val="00A124B0"/>
    <w:rsid w:val="00A13C20"/>
    <w:rsid w:val="00A1456C"/>
    <w:rsid w:val="00A1506E"/>
    <w:rsid w:val="00A1626A"/>
    <w:rsid w:val="00A17669"/>
    <w:rsid w:val="00A17C6E"/>
    <w:rsid w:val="00A2151E"/>
    <w:rsid w:val="00A2251F"/>
    <w:rsid w:val="00A22F23"/>
    <w:rsid w:val="00A24551"/>
    <w:rsid w:val="00A25083"/>
    <w:rsid w:val="00A26190"/>
    <w:rsid w:val="00A27C7A"/>
    <w:rsid w:val="00A309BC"/>
    <w:rsid w:val="00A3150D"/>
    <w:rsid w:val="00A3161B"/>
    <w:rsid w:val="00A32287"/>
    <w:rsid w:val="00A32FA8"/>
    <w:rsid w:val="00A36031"/>
    <w:rsid w:val="00A402CC"/>
    <w:rsid w:val="00A40373"/>
    <w:rsid w:val="00A4038C"/>
    <w:rsid w:val="00A40519"/>
    <w:rsid w:val="00A419E5"/>
    <w:rsid w:val="00A42079"/>
    <w:rsid w:val="00A42C17"/>
    <w:rsid w:val="00A43AF8"/>
    <w:rsid w:val="00A43B3D"/>
    <w:rsid w:val="00A43DA1"/>
    <w:rsid w:val="00A443E6"/>
    <w:rsid w:val="00A45E51"/>
    <w:rsid w:val="00A461F9"/>
    <w:rsid w:val="00A4624F"/>
    <w:rsid w:val="00A4698A"/>
    <w:rsid w:val="00A473A4"/>
    <w:rsid w:val="00A51B83"/>
    <w:rsid w:val="00A52889"/>
    <w:rsid w:val="00A52B05"/>
    <w:rsid w:val="00A52CE2"/>
    <w:rsid w:val="00A533C1"/>
    <w:rsid w:val="00A5401F"/>
    <w:rsid w:val="00A55810"/>
    <w:rsid w:val="00A55A6A"/>
    <w:rsid w:val="00A573BD"/>
    <w:rsid w:val="00A579DE"/>
    <w:rsid w:val="00A62655"/>
    <w:rsid w:val="00A633AA"/>
    <w:rsid w:val="00A6499D"/>
    <w:rsid w:val="00A655A9"/>
    <w:rsid w:val="00A664C8"/>
    <w:rsid w:val="00A66D3C"/>
    <w:rsid w:val="00A716D6"/>
    <w:rsid w:val="00A72572"/>
    <w:rsid w:val="00A72E25"/>
    <w:rsid w:val="00A734C2"/>
    <w:rsid w:val="00A74495"/>
    <w:rsid w:val="00A756E9"/>
    <w:rsid w:val="00A7638B"/>
    <w:rsid w:val="00A77779"/>
    <w:rsid w:val="00A80C65"/>
    <w:rsid w:val="00A814D8"/>
    <w:rsid w:val="00A825F1"/>
    <w:rsid w:val="00A82790"/>
    <w:rsid w:val="00A840B1"/>
    <w:rsid w:val="00A87ECA"/>
    <w:rsid w:val="00A911CF"/>
    <w:rsid w:val="00A92D93"/>
    <w:rsid w:val="00A935A0"/>
    <w:rsid w:val="00A93658"/>
    <w:rsid w:val="00A936F4"/>
    <w:rsid w:val="00A9391F"/>
    <w:rsid w:val="00A9392C"/>
    <w:rsid w:val="00A94253"/>
    <w:rsid w:val="00A9460E"/>
    <w:rsid w:val="00A9555B"/>
    <w:rsid w:val="00A979C3"/>
    <w:rsid w:val="00AA0B5A"/>
    <w:rsid w:val="00AA53BC"/>
    <w:rsid w:val="00AA587E"/>
    <w:rsid w:val="00AA5D42"/>
    <w:rsid w:val="00AA6C7F"/>
    <w:rsid w:val="00AA776D"/>
    <w:rsid w:val="00AB2284"/>
    <w:rsid w:val="00AB240D"/>
    <w:rsid w:val="00AB2914"/>
    <w:rsid w:val="00AB37CF"/>
    <w:rsid w:val="00AB51E1"/>
    <w:rsid w:val="00AB6CEF"/>
    <w:rsid w:val="00AB7997"/>
    <w:rsid w:val="00AC132B"/>
    <w:rsid w:val="00AC375B"/>
    <w:rsid w:val="00AC3D88"/>
    <w:rsid w:val="00AC4C59"/>
    <w:rsid w:val="00AC5420"/>
    <w:rsid w:val="00AC5580"/>
    <w:rsid w:val="00AC5F10"/>
    <w:rsid w:val="00AD1802"/>
    <w:rsid w:val="00AD2286"/>
    <w:rsid w:val="00AD2D99"/>
    <w:rsid w:val="00AD318D"/>
    <w:rsid w:val="00AD4E4A"/>
    <w:rsid w:val="00AD5002"/>
    <w:rsid w:val="00AD66CC"/>
    <w:rsid w:val="00AD7799"/>
    <w:rsid w:val="00AE013C"/>
    <w:rsid w:val="00AE09E9"/>
    <w:rsid w:val="00AE34C1"/>
    <w:rsid w:val="00AE4DA7"/>
    <w:rsid w:val="00AE6C9B"/>
    <w:rsid w:val="00AE7B06"/>
    <w:rsid w:val="00AE7EF8"/>
    <w:rsid w:val="00AF204D"/>
    <w:rsid w:val="00AF2562"/>
    <w:rsid w:val="00AF3CBE"/>
    <w:rsid w:val="00AF431B"/>
    <w:rsid w:val="00AF5693"/>
    <w:rsid w:val="00AF5AB8"/>
    <w:rsid w:val="00AF75D0"/>
    <w:rsid w:val="00B0054F"/>
    <w:rsid w:val="00B005BF"/>
    <w:rsid w:val="00B0065E"/>
    <w:rsid w:val="00B016D2"/>
    <w:rsid w:val="00B01C47"/>
    <w:rsid w:val="00B05479"/>
    <w:rsid w:val="00B05684"/>
    <w:rsid w:val="00B064F0"/>
    <w:rsid w:val="00B069B4"/>
    <w:rsid w:val="00B06BE1"/>
    <w:rsid w:val="00B06FDD"/>
    <w:rsid w:val="00B100D7"/>
    <w:rsid w:val="00B10203"/>
    <w:rsid w:val="00B10563"/>
    <w:rsid w:val="00B10594"/>
    <w:rsid w:val="00B11AB1"/>
    <w:rsid w:val="00B11CD4"/>
    <w:rsid w:val="00B179B7"/>
    <w:rsid w:val="00B217B1"/>
    <w:rsid w:val="00B23D9E"/>
    <w:rsid w:val="00B254C1"/>
    <w:rsid w:val="00B2570A"/>
    <w:rsid w:val="00B26BA2"/>
    <w:rsid w:val="00B312C6"/>
    <w:rsid w:val="00B319CE"/>
    <w:rsid w:val="00B324FB"/>
    <w:rsid w:val="00B326FA"/>
    <w:rsid w:val="00B3311D"/>
    <w:rsid w:val="00B33C92"/>
    <w:rsid w:val="00B3525C"/>
    <w:rsid w:val="00B376E0"/>
    <w:rsid w:val="00B424D0"/>
    <w:rsid w:val="00B42932"/>
    <w:rsid w:val="00B459C5"/>
    <w:rsid w:val="00B473F9"/>
    <w:rsid w:val="00B47DB3"/>
    <w:rsid w:val="00B513A5"/>
    <w:rsid w:val="00B51644"/>
    <w:rsid w:val="00B5276F"/>
    <w:rsid w:val="00B53028"/>
    <w:rsid w:val="00B540C5"/>
    <w:rsid w:val="00B54120"/>
    <w:rsid w:val="00B54A9A"/>
    <w:rsid w:val="00B550AE"/>
    <w:rsid w:val="00B57524"/>
    <w:rsid w:val="00B60776"/>
    <w:rsid w:val="00B610BC"/>
    <w:rsid w:val="00B612BD"/>
    <w:rsid w:val="00B61472"/>
    <w:rsid w:val="00B61716"/>
    <w:rsid w:val="00B617E7"/>
    <w:rsid w:val="00B61BFD"/>
    <w:rsid w:val="00B64018"/>
    <w:rsid w:val="00B65053"/>
    <w:rsid w:val="00B65D08"/>
    <w:rsid w:val="00B65EDC"/>
    <w:rsid w:val="00B671EF"/>
    <w:rsid w:val="00B672BD"/>
    <w:rsid w:val="00B73626"/>
    <w:rsid w:val="00B73A47"/>
    <w:rsid w:val="00B73EB4"/>
    <w:rsid w:val="00B77A0E"/>
    <w:rsid w:val="00B80EE3"/>
    <w:rsid w:val="00B8167F"/>
    <w:rsid w:val="00B81764"/>
    <w:rsid w:val="00B82B7C"/>
    <w:rsid w:val="00B834A9"/>
    <w:rsid w:val="00B8509E"/>
    <w:rsid w:val="00B8539C"/>
    <w:rsid w:val="00B8562D"/>
    <w:rsid w:val="00B85660"/>
    <w:rsid w:val="00B91963"/>
    <w:rsid w:val="00B94D2B"/>
    <w:rsid w:val="00B94FB8"/>
    <w:rsid w:val="00BA29FE"/>
    <w:rsid w:val="00BA3217"/>
    <w:rsid w:val="00BA37B2"/>
    <w:rsid w:val="00BA419A"/>
    <w:rsid w:val="00BA4D0D"/>
    <w:rsid w:val="00BA5E14"/>
    <w:rsid w:val="00BA7F5B"/>
    <w:rsid w:val="00BB0BAA"/>
    <w:rsid w:val="00BB0F8D"/>
    <w:rsid w:val="00BB1225"/>
    <w:rsid w:val="00BB12D7"/>
    <w:rsid w:val="00BB2FE9"/>
    <w:rsid w:val="00BB469A"/>
    <w:rsid w:val="00BB5707"/>
    <w:rsid w:val="00BB6424"/>
    <w:rsid w:val="00BC11ED"/>
    <w:rsid w:val="00BC2720"/>
    <w:rsid w:val="00BC2736"/>
    <w:rsid w:val="00BC4418"/>
    <w:rsid w:val="00BC4A5B"/>
    <w:rsid w:val="00BC738A"/>
    <w:rsid w:val="00BD048D"/>
    <w:rsid w:val="00BD05F3"/>
    <w:rsid w:val="00BD0FC7"/>
    <w:rsid w:val="00BD1B77"/>
    <w:rsid w:val="00BD5197"/>
    <w:rsid w:val="00BD6561"/>
    <w:rsid w:val="00BD66CA"/>
    <w:rsid w:val="00BD6EFA"/>
    <w:rsid w:val="00BD7791"/>
    <w:rsid w:val="00BE03FB"/>
    <w:rsid w:val="00BE0B72"/>
    <w:rsid w:val="00BE0F8F"/>
    <w:rsid w:val="00BE1FBB"/>
    <w:rsid w:val="00BE2242"/>
    <w:rsid w:val="00BE24A9"/>
    <w:rsid w:val="00BE3A1A"/>
    <w:rsid w:val="00BE4F94"/>
    <w:rsid w:val="00BE5B71"/>
    <w:rsid w:val="00BE5D61"/>
    <w:rsid w:val="00BE6844"/>
    <w:rsid w:val="00BE6B1C"/>
    <w:rsid w:val="00BE6B52"/>
    <w:rsid w:val="00BE7AAD"/>
    <w:rsid w:val="00BF04A4"/>
    <w:rsid w:val="00BF0696"/>
    <w:rsid w:val="00BF0822"/>
    <w:rsid w:val="00BF23FD"/>
    <w:rsid w:val="00BF331E"/>
    <w:rsid w:val="00BF3B40"/>
    <w:rsid w:val="00BF3D8D"/>
    <w:rsid w:val="00BF5A8B"/>
    <w:rsid w:val="00BF7E76"/>
    <w:rsid w:val="00C0512B"/>
    <w:rsid w:val="00C05EBA"/>
    <w:rsid w:val="00C068F8"/>
    <w:rsid w:val="00C07D89"/>
    <w:rsid w:val="00C1150D"/>
    <w:rsid w:val="00C11777"/>
    <w:rsid w:val="00C1386D"/>
    <w:rsid w:val="00C1567F"/>
    <w:rsid w:val="00C17503"/>
    <w:rsid w:val="00C215A5"/>
    <w:rsid w:val="00C26AD2"/>
    <w:rsid w:val="00C27CFD"/>
    <w:rsid w:val="00C30F18"/>
    <w:rsid w:val="00C319F1"/>
    <w:rsid w:val="00C31DD2"/>
    <w:rsid w:val="00C32B04"/>
    <w:rsid w:val="00C33208"/>
    <w:rsid w:val="00C36369"/>
    <w:rsid w:val="00C36FB2"/>
    <w:rsid w:val="00C4162B"/>
    <w:rsid w:val="00C41765"/>
    <w:rsid w:val="00C41B1C"/>
    <w:rsid w:val="00C41C29"/>
    <w:rsid w:val="00C41EDC"/>
    <w:rsid w:val="00C421A6"/>
    <w:rsid w:val="00C42270"/>
    <w:rsid w:val="00C43E9E"/>
    <w:rsid w:val="00C447D4"/>
    <w:rsid w:val="00C46B8D"/>
    <w:rsid w:val="00C47119"/>
    <w:rsid w:val="00C52DA6"/>
    <w:rsid w:val="00C53DE3"/>
    <w:rsid w:val="00C559D4"/>
    <w:rsid w:val="00C570A5"/>
    <w:rsid w:val="00C605C6"/>
    <w:rsid w:val="00C609F0"/>
    <w:rsid w:val="00C6197B"/>
    <w:rsid w:val="00C61AE0"/>
    <w:rsid w:val="00C62A80"/>
    <w:rsid w:val="00C63B6F"/>
    <w:rsid w:val="00C63F6C"/>
    <w:rsid w:val="00C6779C"/>
    <w:rsid w:val="00C7044D"/>
    <w:rsid w:val="00C70CEC"/>
    <w:rsid w:val="00C74A12"/>
    <w:rsid w:val="00C807E7"/>
    <w:rsid w:val="00C80D65"/>
    <w:rsid w:val="00C8181D"/>
    <w:rsid w:val="00C82390"/>
    <w:rsid w:val="00C82C20"/>
    <w:rsid w:val="00C83335"/>
    <w:rsid w:val="00C83B21"/>
    <w:rsid w:val="00C84353"/>
    <w:rsid w:val="00C85F70"/>
    <w:rsid w:val="00C8677E"/>
    <w:rsid w:val="00C870A1"/>
    <w:rsid w:val="00C876F0"/>
    <w:rsid w:val="00C90965"/>
    <w:rsid w:val="00C90AAA"/>
    <w:rsid w:val="00C92068"/>
    <w:rsid w:val="00C92AAC"/>
    <w:rsid w:val="00C937A1"/>
    <w:rsid w:val="00C93CEA"/>
    <w:rsid w:val="00C944D2"/>
    <w:rsid w:val="00C95F52"/>
    <w:rsid w:val="00C96C61"/>
    <w:rsid w:val="00CA0B9A"/>
    <w:rsid w:val="00CA0FAB"/>
    <w:rsid w:val="00CA1793"/>
    <w:rsid w:val="00CA1CF5"/>
    <w:rsid w:val="00CA2CB6"/>
    <w:rsid w:val="00CA3CCE"/>
    <w:rsid w:val="00CA6781"/>
    <w:rsid w:val="00CB0177"/>
    <w:rsid w:val="00CB0A12"/>
    <w:rsid w:val="00CB2518"/>
    <w:rsid w:val="00CB3EAE"/>
    <w:rsid w:val="00CB45C4"/>
    <w:rsid w:val="00CB4D83"/>
    <w:rsid w:val="00CB654A"/>
    <w:rsid w:val="00CB7B77"/>
    <w:rsid w:val="00CC45C6"/>
    <w:rsid w:val="00CC62B1"/>
    <w:rsid w:val="00CC6FF5"/>
    <w:rsid w:val="00CC7E25"/>
    <w:rsid w:val="00CD0FC6"/>
    <w:rsid w:val="00CD2B08"/>
    <w:rsid w:val="00CD45A6"/>
    <w:rsid w:val="00CE0E40"/>
    <w:rsid w:val="00CE0F37"/>
    <w:rsid w:val="00CE200A"/>
    <w:rsid w:val="00CE261C"/>
    <w:rsid w:val="00CE2A60"/>
    <w:rsid w:val="00CE33F0"/>
    <w:rsid w:val="00CE5441"/>
    <w:rsid w:val="00CE5737"/>
    <w:rsid w:val="00CE6A62"/>
    <w:rsid w:val="00CF116A"/>
    <w:rsid w:val="00CF233A"/>
    <w:rsid w:val="00CF3318"/>
    <w:rsid w:val="00CF38AB"/>
    <w:rsid w:val="00CF3964"/>
    <w:rsid w:val="00CF465B"/>
    <w:rsid w:val="00CF4944"/>
    <w:rsid w:val="00CF5DFB"/>
    <w:rsid w:val="00CF684A"/>
    <w:rsid w:val="00CF6F14"/>
    <w:rsid w:val="00CF734F"/>
    <w:rsid w:val="00D00264"/>
    <w:rsid w:val="00D0031F"/>
    <w:rsid w:val="00D0059D"/>
    <w:rsid w:val="00D01AF7"/>
    <w:rsid w:val="00D041FF"/>
    <w:rsid w:val="00D04AC1"/>
    <w:rsid w:val="00D04EA3"/>
    <w:rsid w:val="00D05451"/>
    <w:rsid w:val="00D06CA2"/>
    <w:rsid w:val="00D06E03"/>
    <w:rsid w:val="00D07C8D"/>
    <w:rsid w:val="00D10244"/>
    <w:rsid w:val="00D105A4"/>
    <w:rsid w:val="00D1157F"/>
    <w:rsid w:val="00D11CE5"/>
    <w:rsid w:val="00D1223B"/>
    <w:rsid w:val="00D131D1"/>
    <w:rsid w:val="00D14100"/>
    <w:rsid w:val="00D14660"/>
    <w:rsid w:val="00D17F69"/>
    <w:rsid w:val="00D208AE"/>
    <w:rsid w:val="00D2123C"/>
    <w:rsid w:val="00D23297"/>
    <w:rsid w:val="00D23722"/>
    <w:rsid w:val="00D25D1C"/>
    <w:rsid w:val="00D26146"/>
    <w:rsid w:val="00D26FB4"/>
    <w:rsid w:val="00D2722A"/>
    <w:rsid w:val="00D30B13"/>
    <w:rsid w:val="00D319C0"/>
    <w:rsid w:val="00D326A8"/>
    <w:rsid w:val="00D3320E"/>
    <w:rsid w:val="00D33DA6"/>
    <w:rsid w:val="00D3518B"/>
    <w:rsid w:val="00D35C2C"/>
    <w:rsid w:val="00D35C53"/>
    <w:rsid w:val="00D35CC1"/>
    <w:rsid w:val="00D36106"/>
    <w:rsid w:val="00D36466"/>
    <w:rsid w:val="00D41053"/>
    <w:rsid w:val="00D44179"/>
    <w:rsid w:val="00D504B3"/>
    <w:rsid w:val="00D5107C"/>
    <w:rsid w:val="00D51B1D"/>
    <w:rsid w:val="00D52C38"/>
    <w:rsid w:val="00D53A46"/>
    <w:rsid w:val="00D53FEF"/>
    <w:rsid w:val="00D54128"/>
    <w:rsid w:val="00D55509"/>
    <w:rsid w:val="00D55D0A"/>
    <w:rsid w:val="00D565BB"/>
    <w:rsid w:val="00D572BD"/>
    <w:rsid w:val="00D61A4C"/>
    <w:rsid w:val="00D6289E"/>
    <w:rsid w:val="00D641C8"/>
    <w:rsid w:val="00D648F2"/>
    <w:rsid w:val="00D70073"/>
    <w:rsid w:val="00D71643"/>
    <w:rsid w:val="00D7374A"/>
    <w:rsid w:val="00D73DC1"/>
    <w:rsid w:val="00D74110"/>
    <w:rsid w:val="00D75ABC"/>
    <w:rsid w:val="00D76333"/>
    <w:rsid w:val="00D76CAE"/>
    <w:rsid w:val="00D77B86"/>
    <w:rsid w:val="00D812A2"/>
    <w:rsid w:val="00D812EA"/>
    <w:rsid w:val="00D83BA3"/>
    <w:rsid w:val="00D85E60"/>
    <w:rsid w:val="00D8786A"/>
    <w:rsid w:val="00D9051A"/>
    <w:rsid w:val="00D90E02"/>
    <w:rsid w:val="00D96AD0"/>
    <w:rsid w:val="00D96BB1"/>
    <w:rsid w:val="00D96FEF"/>
    <w:rsid w:val="00DA087D"/>
    <w:rsid w:val="00DA0E88"/>
    <w:rsid w:val="00DA1660"/>
    <w:rsid w:val="00DA5958"/>
    <w:rsid w:val="00DA6B25"/>
    <w:rsid w:val="00DA70FB"/>
    <w:rsid w:val="00DA7C66"/>
    <w:rsid w:val="00DB02A5"/>
    <w:rsid w:val="00DB21D0"/>
    <w:rsid w:val="00DB336B"/>
    <w:rsid w:val="00DB366E"/>
    <w:rsid w:val="00DB6A47"/>
    <w:rsid w:val="00DC071E"/>
    <w:rsid w:val="00DC1B49"/>
    <w:rsid w:val="00DC6178"/>
    <w:rsid w:val="00DC6BAA"/>
    <w:rsid w:val="00DC788F"/>
    <w:rsid w:val="00DC7CCB"/>
    <w:rsid w:val="00DD0951"/>
    <w:rsid w:val="00DD1447"/>
    <w:rsid w:val="00DD33B9"/>
    <w:rsid w:val="00DD5698"/>
    <w:rsid w:val="00DD56EB"/>
    <w:rsid w:val="00DD570E"/>
    <w:rsid w:val="00DD5F04"/>
    <w:rsid w:val="00DD725A"/>
    <w:rsid w:val="00DE0AFD"/>
    <w:rsid w:val="00DE418E"/>
    <w:rsid w:val="00DE669B"/>
    <w:rsid w:val="00DF09F4"/>
    <w:rsid w:val="00DF12C2"/>
    <w:rsid w:val="00DF28B4"/>
    <w:rsid w:val="00DF3963"/>
    <w:rsid w:val="00DF4C02"/>
    <w:rsid w:val="00DF5BB5"/>
    <w:rsid w:val="00DF641C"/>
    <w:rsid w:val="00DF7DFA"/>
    <w:rsid w:val="00E00616"/>
    <w:rsid w:val="00E0278E"/>
    <w:rsid w:val="00E0334D"/>
    <w:rsid w:val="00E037C3"/>
    <w:rsid w:val="00E0386C"/>
    <w:rsid w:val="00E038E9"/>
    <w:rsid w:val="00E03AE7"/>
    <w:rsid w:val="00E04594"/>
    <w:rsid w:val="00E10709"/>
    <w:rsid w:val="00E14875"/>
    <w:rsid w:val="00E23FAF"/>
    <w:rsid w:val="00E24043"/>
    <w:rsid w:val="00E262E2"/>
    <w:rsid w:val="00E27011"/>
    <w:rsid w:val="00E276E4"/>
    <w:rsid w:val="00E30793"/>
    <w:rsid w:val="00E31F1A"/>
    <w:rsid w:val="00E33723"/>
    <w:rsid w:val="00E356D7"/>
    <w:rsid w:val="00E3604B"/>
    <w:rsid w:val="00E367C9"/>
    <w:rsid w:val="00E37FDD"/>
    <w:rsid w:val="00E40CA8"/>
    <w:rsid w:val="00E42D6C"/>
    <w:rsid w:val="00E435F2"/>
    <w:rsid w:val="00E446E6"/>
    <w:rsid w:val="00E461B2"/>
    <w:rsid w:val="00E465DA"/>
    <w:rsid w:val="00E51AE7"/>
    <w:rsid w:val="00E5336D"/>
    <w:rsid w:val="00E5462A"/>
    <w:rsid w:val="00E54667"/>
    <w:rsid w:val="00E569AA"/>
    <w:rsid w:val="00E57126"/>
    <w:rsid w:val="00E600EE"/>
    <w:rsid w:val="00E61AA8"/>
    <w:rsid w:val="00E6298B"/>
    <w:rsid w:val="00E629C0"/>
    <w:rsid w:val="00E62DF5"/>
    <w:rsid w:val="00E62F5C"/>
    <w:rsid w:val="00E63BC1"/>
    <w:rsid w:val="00E64DCE"/>
    <w:rsid w:val="00E653BD"/>
    <w:rsid w:val="00E656E5"/>
    <w:rsid w:val="00E65944"/>
    <w:rsid w:val="00E662C9"/>
    <w:rsid w:val="00E67BCF"/>
    <w:rsid w:val="00E70E25"/>
    <w:rsid w:val="00E71090"/>
    <w:rsid w:val="00E717F2"/>
    <w:rsid w:val="00E71816"/>
    <w:rsid w:val="00E71E8D"/>
    <w:rsid w:val="00E72B2F"/>
    <w:rsid w:val="00E73DF7"/>
    <w:rsid w:val="00E753CB"/>
    <w:rsid w:val="00E754C0"/>
    <w:rsid w:val="00E773D5"/>
    <w:rsid w:val="00E82109"/>
    <w:rsid w:val="00E8415A"/>
    <w:rsid w:val="00E84A4C"/>
    <w:rsid w:val="00E84D90"/>
    <w:rsid w:val="00E84F95"/>
    <w:rsid w:val="00E85315"/>
    <w:rsid w:val="00E85A0F"/>
    <w:rsid w:val="00E874C7"/>
    <w:rsid w:val="00E90BEE"/>
    <w:rsid w:val="00E91E84"/>
    <w:rsid w:val="00E91FD4"/>
    <w:rsid w:val="00E9243B"/>
    <w:rsid w:val="00E934AB"/>
    <w:rsid w:val="00E942A6"/>
    <w:rsid w:val="00E961DF"/>
    <w:rsid w:val="00E96660"/>
    <w:rsid w:val="00EA3B0B"/>
    <w:rsid w:val="00EA5B73"/>
    <w:rsid w:val="00EA7485"/>
    <w:rsid w:val="00EA751E"/>
    <w:rsid w:val="00EB0AD0"/>
    <w:rsid w:val="00EB0B70"/>
    <w:rsid w:val="00EB1D4B"/>
    <w:rsid w:val="00EB2D47"/>
    <w:rsid w:val="00EB59C2"/>
    <w:rsid w:val="00EC1566"/>
    <w:rsid w:val="00EC4904"/>
    <w:rsid w:val="00EC4BBB"/>
    <w:rsid w:val="00EC5553"/>
    <w:rsid w:val="00EC56CC"/>
    <w:rsid w:val="00EC58F5"/>
    <w:rsid w:val="00EC6C1C"/>
    <w:rsid w:val="00EC73DC"/>
    <w:rsid w:val="00ED1253"/>
    <w:rsid w:val="00ED1694"/>
    <w:rsid w:val="00ED1FAA"/>
    <w:rsid w:val="00ED2F2A"/>
    <w:rsid w:val="00ED3091"/>
    <w:rsid w:val="00ED3F97"/>
    <w:rsid w:val="00ED4015"/>
    <w:rsid w:val="00EE017C"/>
    <w:rsid w:val="00EE126A"/>
    <w:rsid w:val="00EE14CC"/>
    <w:rsid w:val="00EE163E"/>
    <w:rsid w:val="00EE172D"/>
    <w:rsid w:val="00EE28B1"/>
    <w:rsid w:val="00EE3676"/>
    <w:rsid w:val="00EE4983"/>
    <w:rsid w:val="00EE5088"/>
    <w:rsid w:val="00EE6C32"/>
    <w:rsid w:val="00EE728F"/>
    <w:rsid w:val="00EE7996"/>
    <w:rsid w:val="00EF0708"/>
    <w:rsid w:val="00EF2448"/>
    <w:rsid w:val="00EF30F8"/>
    <w:rsid w:val="00EF32C9"/>
    <w:rsid w:val="00EF3E8A"/>
    <w:rsid w:val="00EF6063"/>
    <w:rsid w:val="00F009D5"/>
    <w:rsid w:val="00F00A47"/>
    <w:rsid w:val="00F0150E"/>
    <w:rsid w:val="00F02603"/>
    <w:rsid w:val="00F054CD"/>
    <w:rsid w:val="00F05E04"/>
    <w:rsid w:val="00F06DFD"/>
    <w:rsid w:val="00F07020"/>
    <w:rsid w:val="00F076C9"/>
    <w:rsid w:val="00F10FFC"/>
    <w:rsid w:val="00F11721"/>
    <w:rsid w:val="00F12CC5"/>
    <w:rsid w:val="00F13866"/>
    <w:rsid w:val="00F17F87"/>
    <w:rsid w:val="00F207F1"/>
    <w:rsid w:val="00F2105A"/>
    <w:rsid w:val="00F21459"/>
    <w:rsid w:val="00F22CDC"/>
    <w:rsid w:val="00F24D0E"/>
    <w:rsid w:val="00F257BA"/>
    <w:rsid w:val="00F25FEB"/>
    <w:rsid w:val="00F27A42"/>
    <w:rsid w:val="00F27D89"/>
    <w:rsid w:val="00F300D0"/>
    <w:rsid w:val="00F30147"/>
    <w:rsid w:val="00F33224"/>
    <w:rsid w:val="00F35891"/>
    <w:rsid w:val="00F36B74"/>
    <w:rsid w:val="00F37F26"/>
    <w:rsid w:val="00F451AA"/>
    <w:rsid w:val="00F452A2"/>
    <w:rsid w:val="00F4623E"/>
    <w:rsid w:val="00F50BEC"/>
    <w:rsid w:val="00F53B98"/>
    <w:rsid w:val="00F56CE4"/>
    <w:rsid w:val="00F56FD6"/>
    <w:rsid w:val="00F5769C"/>
    <w:rsid w:val="00F60E14"/>
    <w:rsid w:val="00F61F18"/>
    <w:rsid w:val="00F626E7"/>
    <w:rsid w:val="00F62F16"/>
    <w:rsid w:val="00F6484E"/>
    <w:rsid w:val="00F659F0"/>
    <w:rsid w:val="00F65C18"/>
    <w:rsid w:val="00F65ECF"/>
    <w:rsid w:val="00F66754"/>
    <w:rsid w:val="00F66B8B"/>
    <w:rsid w:val="00F712FD"/>
    <w:rsid w:val="00F7180E"/>
    <w:rsid w:val="00F7373D"/>
    <w:rsid w:val="00F737A5"/>
    <w:rsid w:val="00F73A91"/>
    <w:rsid w:val="00F73D73"/>
    <w:rsid w:val="00F75DF1"/>
    <w:rsid w:val="00F76570"/>
    <w:rsid w:val="00F7782D"/>
    <w:rsid w:val="00F77B74"/>
    <w:rsid w:val="00F805E0"/>
    <w:rsid w:val="00F82680"/>
    <w:rsid w:val="00F82862"/>
    <w:rsid w:val="00F85B09"/>
    <w:rsid w:val="00F86EB8"/>
    <w:rsid w:val="00F86EDE"/>
    <w:rsid w:val="00F87666"/>
    <w:rsid w:val="00F876CD"/>
    <w:rsid w:val="00F87C2C"/>
    <w:rsid w:val="00F901C0"/>
    <w:rsid w:val="00F91375"/>
    <w:rsid w:val="00F94DF1"/>
    <w:rsid w:val="00F963CD"/>
    <w:rsid w:val="00F96B32"/>
    <w:rsid w:val="00F978D3"/>
    <w:rsid w:val="00FA3A12"/>
    <w:rsid w:val="00FA4886"/>
    <w:rsid w:val="00FA515A"/>
    <w:rsid w:val="00FA610A"/>
    <w:rsid w:val="00FA6561"/>
    <w:rsid w:val="00FB27C5"/>
    <w:rsid w:val="00FB4B8C"/>
    <w:rsid w:val="00FB53BE"/>
    <w:rsid w:val="00FB7375"/>
    <w:rsid w:val="00FB7967"/>
    <w:rsid w:val="00FC0320"/>
    <w:rsid w:val="00FC0420"/>
    <w:rsid w:val="00FC367E"/>
    <w:rsid w:val="00FC3788"/>
    <w:rsid w:val="00FC585F"/>
    <w:rsid w:val="00FC5FC1"/>
    <w:rsid w:val="00FD02AA"/>
    <w:rsid w:val="00FD0717"/>
    <w:rsid w:val="00FD1671"/>
    <w:rsid w:val="00FD2F43"/>
    <w:rsid w:val="00FD3451"/>
    <w:rsid w:val="00FE05CF"/>
    <w:rsid w:val="00FE0E8D"/>
    <w:rsid w:val="00FE1293"/>
    <w:rsid w:val="00FE223B"/>
    <w:rsid w:val="00FE2243"/>
    <w:rsid w:val="00FE245F"/>
    <w:rsid w:val="00FE4706"/>
    <w:rsid w:val="00FE4C95"/>
    <w:rsid w:val="00FE5539"/>
    <w:rsid w:val="00FF03D2"/>
    <w:rsid w:val="00FF1AB0"/>
    <w:rsid w:val="00FF495B"/>
    <w:rsid w:val="00FF4CF5"/>
    <w:rsid w:val="00FF513F"/>
    <w:rsid w:val="00FF5B0B"/>
    <w:rsid w:val="00FF682A"/>
    <w:rsid w:val="00FF7BBD"/>
    <w:rsid w:val="00FF7D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2B369"/>
  <w15:docId w15:val="{F3391E8E-D37E-4D3D-9EF0-7584E3F69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3BA3"/>
    <w:rPr>
      <w:rFonts w:ascii="Verdana" w:hAnsi="Verdana"/>
      <w:sz w:val="18"/>
    </w:rPr>
  </w:style>
  <w:style w:type="paragraph" w:styleId="Kop1">
    <w:name w:val="heading 1"/>
    <w:basedOn w:val="Standaard"/>
    <w:next w:val="Standaard"/>
    <w:link w:val="Kop1Char"/>
    <w:uiPriority w:val="9"/>
    <w:qFormat/>
    <w:rsid w:val="00D83B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rsid w:val="003F4CA9"/>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next w:val="Standaard"/>
    <w:link w:val="Kop3Char"/>
    <w:uiPriority w:val="9"/>
    <w:semiHidden/>
    <w:unhideWhenUsed/>
    <w:rsid w:val="003F4CA9"/>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3F4CA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83BA3"/>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3F4CA9"/>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semiHidden/>
    <w:rsid w:val="003F4CA9"/>
    <w:rPr>
      <w:rFonts w:asciiTheme="majorHAnsi" w:eastAsiaTheme="majorEastAsia" w:hAnsiTheme="majorHAnsi" w:cstheme="majorBidi"/>
      <w:b/>
      <w:bCs/>
      <w:color w:val="4F81BD" w:themeColor="accent1"/>
      <w:sz w:val="18"/>
    </w:rPr>
  </w:style>
  <w:style w:type="character" w:customStyle="1" w:styleId="Kop4Char">
    <w:name w:val="Kop 4 Char"/>
    <w:basedOn w:val="Standaardalinea-lettertype"/>
    <w:link w:val="Kop4"/>
    <w:uiPriority w:val="9"/>
    <w:semiHidden/>
    <w:rsid w:val="003F4CA9"/>
    <w:rPr>
      <w:rFonts w:asciiTheme="majorHAnsi" w:eastAsiaTheme="majorEastAsia" w:hAnsiTheme="majorHAnsi" w:cstheme="majorBidi"/>
      <w:b/>
      <w:bCs/>
      <w:i/>
      <w:iCs/>
      <w:color w:val="4F81BD" w:themeColor="accent1"/>
      <w:sz w:val="18"/>
    </w:rPr>
  </w:style>
  <w:style w:type="paragraph" w:styleId="Geenafstand">
    <w:name w:val="No Spacing"/>
    <w:aliases w:val="hoofdtekst"/>
    <w:link w:val="GeenafstandChar"/>
    <w:uiPriority w:val="1"/>
    <w:qFormat/>
    <w:rsid w:val="00D83BA3"/>
    <w:pPr>
      <w:spacing w:after="0" w:line="240" w:lineRule="auto"/>
    </w:pPr>
    <w:rPr>
      <w:rFonts w:ascii="Verdana" w:hAnsi="Verdana"/>
      <w:sz w:val="18"/>
    </w:rPr>
  </w:style>
  <w:style w:type="character" w:customStyle="1" w:styleId="GeenafstandChar">
    <w:name w:val="Geen afstand Char"/>
    <w:aliases w:val="hoofdtekst Char"/>
    <w:basedOn w:val="Standaardalinea-lettertype"/>
    <w:link w:val="Geenafstand"/>
    <w:uiPriority w:val="1"/>
    <w:rsid w:val="003F4CA9"/>
    <w:rPr>
      <w:rFonts w:ascii="Verdana" w:hAnsi="Verdana"/>
      <w:sz w:val="18"/>
    </w:rPr>
  </w:style>
  <w:style w:type="paragraph" w:styleId="Voetnoottekst">
    <w:name w:val="footnote text"/>
    <w:basedOn w:val="Standaard"/>
    <w:link w:val="VoetnoottekstChar"/>
    <w:uiPriority w:val="99"/>
    <w:unhideWhenUsed/>
    <w:rsid w:val="00F77B74"/>
    <w:pPr>
      <w:spacing w:after="0" w:line="240" w:lineRule="auto"/>
    </w:pPr>
    <w:rPr>
      <w:rFonts w:ascii="Times New Roman" w:eastAsia="Times New Roman" w:hAnsi="Times New Roman" w:cs="Times New Roman"/>
      <w:sz w:val="20"/>
      <w:szCs w:val="20"/>
      <w:lang w:eastAsia="nl-NL"/>
    </w:rPr>
  </w:style>
  <w:style w:type="character" w:customStyle="1" w:styleId="VoetnoottekstChar">
    <w:name w:val="Voetnoottekst Char"/>
    <w:basedOn w:val="Standaardalinea-lettertype"/>
    <w:link w:val="Voetnoottekst"/>
    <w:uiPriority w:val="99"/>
    <w:rsid w:val="00F77B74"/>
    <w:rPr>
      <w:rFonts w:ascii="Times New Roman" w:eastAsia="Times New Roman" w:hAnsi="Times New Roman" w:cs="Times New Roman"/>
      <w:sz w:val="20"/>
      <w:szCs w:val="20"/>
      <w:lang w:eastAsia="nl-NL"/>
    </w:rPr>
  </w:style>
  <w:style w:type="character" w:styleId="Voetnootmarkering">
    <w:name w:val="footnote reference"/>
    <w:basedOn w:val="Standaardalinea-lettertype"/>
    <w:uiPriority w:val="99"/>
    <w:unhideWhenUsed/>
    <w:rsid w:val="00F77B74"/>
    <w:rPr>
      <w:vertAlign w:val="superscript"/>
    </w:rPr>
  </w:style>
  <w:style w:type="paragraph" w:styleId="Koptekst">
    <w:name w:val="header"/>
    <w:basedOn w:val="Standaard"/>
    <w:link w:val="KoptekstChar"/>
    <w:uiPriority w:val="99"/>
    <w:unhideWhenUsed/>
    <w:rsid w:val="003F4CA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F4CA9"/>
    <w:rPr>
      <w:rFonts w:ascii="Verdana" w:hAnsi="Verdana"/>
      <w:sz w:val="18"/>
    </w:rPr>
  </w:style>
  <w:style w:type="paragraph" w:styleId="Voettekst">
    <w:name w:val="footer"/>
    <w:basedOn w:val="Standaard"/>
    <w:link w:val="VoettekstChar"/>
    <w:uiPriority w:val="99"/>
    <w:unhideWhenUsed/>
    <w:rsid w:val="003F4CA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F4CA9"/>
    <w:rPr>
      <w:rFonts w:ascii="Verdana" w:hAnsi="Verdana"/>
      <w:sz w:val="18"/>
    </w:rPr>
  </w:style>
  <w:style w:type="paragraph" w:styleId="Ballontekst">
    <w:name w:val="Balloon Text"/>
    <w:basedOn w:val="Standaard"/>
    <w:link w:val="BallontekstChar"/>
    <w:uiPriority w:val="99"/>
    <w:semiHidden/>
    <w:unhideWhenUsed/>
    <w:rsid w:val="003F4CA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F4CA9"/>
    <w:rPr>
      <w:rFonts w:ascii="Tahoma" w:hAnsi="Tahoma" w:cs="Tahoma"/>
      <w:sz w:val="16"/>
      <w:szCs w:val="16"/>
    </w:rPr>
  </w:style>
  <w:style w:type="character" w:styleId="Nadruk">
    <w:name w:val="Emphasis"/>
    <w:basedOn w:val="Standaardalinea-lettertype"/>
    <w:uiPriority w:val="20"/>
    <w:qFormat/>
    <w:rsid w:val="003F4CA9"/>
    <w:rPr>
      <w:b/>
      <w:bCs/>
      <w:i w:val="0"/>
      <w:iCs w:val="0"/>
    </w:rPr>
  </w:style>
  <w:style w:type="character" w:customStyle="1" w:styleId="st1">
    <w:name w:val="st1"/>
    <w:basedOn w:val="Standaardalinea-lettertype"/>
    <w:rsid w:val="003F4CA9"/>
  </w:style>
  <w:style w:type="paragraph" w:styleId="Normaalweb">
    <w:name w:val="Normal (Web)"/>
    <w:basedOn w:val="Standaard"/>
    <w:uiPriority w:val="99"/>
    <w:unhideWhenUsed/>
    <w:rsid w:val="003F4CA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3F4CA9"/>
    <w:pPr>
      <w:spacing w:after="0"/>
      <w:ind w:left="720"/>
      <w:contextualSpacing/>
    </w:pPr>
  </w:style>
  <w:style w:type="character" w:styleId="Hyperlink">
    <w:name w:val="Hyperlink"/>
    <w:basedOn w:val="Standaardalinea-lettertype"/>
    <w:uiPriority w:val="99"/>
    <w:unhideWhenUsed/>
    <w:rsid w:val="003F4CA9"/>
    <w:rPr>
      <w:strike w:val="0"/>
      <w:dstrike w:val="0"/>
      <w:color w:val="211261"/>
      <w:u w:val="single"/>
      <w:effect w:val="none"/>
    </w:rPr>
  </w:style>
  <w:style w:type="paragraph" w:customStyle="1" w:styleId="lid3">
    <w:name w:val="lid3"/>
    <w:basedOn w:val="Standaard"/>
    <w:rsid w:val="003F4CA9"/>
    <w:pPr>
      <w:spacing w:after="75" w:line="240" w:lineRule="auto"/>
    </w:pPr>
    <w:rPr>
      <w:rFonts w:ascii="Times New Roman" w:eastAsia="Times New Roman" w:hAnsi="Times New Roman" w:cs="Times New Roman"/>
      <w:sz w:val="24"/>
      <w:szCs w:val="24"/>
      <w:lang w:eastAsia="nl-NL"/>
    </w:rPr>
  </w:style>
  <w:style w:type="paragraph" w:customStyle="1" w:styleId="labeled5">
    <w:name w:val="labeled5"/>
    <w:basedOn w:val="Standaard"/>
    <w:rsid w:val="003F4CA9"/>
    <w:pPr>
      <w:spacing w:after="75" w:line="240" w:lineRule="auto"/>
    </w:pPr>
    <w:rPr>
      <w:rFonts w:ascii="Times New Roman" w:eastAsia="Times New Roman" w:hAnsi="Times New Roman" w:cs="Times New Roman"/>
      <w:sz w:val="24"/>
      <w:szCs w:val="24"/>
      <w:lang w:eastAsia="nl-NL"/>
    </w:rPr>
  </w:style>
  <w:style w:type="character" w:customStyle="1" w:styleId="ol3">
    <w:name w:val="ol3"/>
    <w:basedOn w:val="Standaardalinea-lettertype"/>
    <w:rsid w:val="003F4CA9"/>
    <w:rPr>
      <w:b/>
      <w:bCs/>
    </w:rPr>
  </w:style>
  <w:style w:type="paragraph" w:customStyle="1" w:styleId="CharChar">
    <w:name w:val="Char Char"/>
    <w:basedOn w:val="Standaard"/>
    <w:rsid w:val="003F4CA9"/>
    <w:pPr>
      <w:spacing w:after="160" w:line="240" w:lineRule="exact"/>
    </w:pPr>
    <w:rPr>
      <w:rFonts w:ascii="Tahoma" w:eastAsia="Times New Roman" w:hAnsi="Tahoma" w:cs="Times New Roman"/>
      <w:sz w:val="20"/>
      <w:szCs w:val="20"/>
      <w:lang w:val="en-US"/>
    </w:rPr>
  </w:style>
  <w:style w:type="table" w:styleId="Tabelraster">
    <w:name w:val="Table Grid"/>
    <w:basedOn w:val="Standaardtabel"/>
    <w:uiPriority w:val="59"/>
    <w:rsid w:val="003F4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F4CA9"/>
    <w:pPr>
      <w:autoSpaceDE w:val="0"/>
      <w:autoSpaceDN w:val="0"/>
      <w:adjustRightInd w:val="0"/>
      <w:spacing w:after="0" w:line="240" w:lineRule="auto"/>
    </w:pPr>
    <w:rPr>
      <w:rFonts w:ascii="Verdana" w:hAnsi="Verdana" w:cs="Verdana"/>
      <w:color w:val="000000"/>
      <w:sz w:val="24"/>
      <w:szCs w:val="24"/>
    </w:rPr>
  </w:style>
  <w:style w:type="paragraph" w:customStyle="1" w:styleId="Pa7">
    <w:name w:val="Pa7"/>
    <w:basedOn w:val="Default"/>
    <w:next w:val="Default"/>
    <w:uiPriority w:val="99"/>
    <w:rsid w:val="003F4CA9"/>
    <w:pPr>
      <w:spacing w:line="191" w:lineRule="atLeast"/>
    </w:pPr>
    <w:rPr>
      <w:rFonts w:ascii="Museo Sans 300" w:hAnsi="Museo Sans 300" w:cstheme="minorBidi"/>
      <w:color w:val="auto"/>
    </w:rPr>
  </w:style>
  <w:style w:type="paragraph" w:customStyle="1" w:styleId="Pa4">
    <w:name w:val="Pa4"/>
    <w:basedOn w:val="Default"/>
    <w:next w:val="Default"/>
    <w:uiPriority w:val="99"/>
    <w:rsid w:val="003F4CA9"/>
    <w:pPr>
      <w:spacing w:line="221" w:lineRule="atLeast"/>
    </w:pPr>
    <w:rPr>
      <w:rFonts w:ascii="Museo Sans 300" w:hAnsi="Museo Sans 300" w:cstheme="minorBidi"/>
      <w:color w:val="auto"/>
    </w:rPr>
  </w:style>
  <w:style w:type="character" w:customStyle="1" w:styleId="apple-converted-space">
    <w:name w:val="apple-converted-space"/>
    <w:basedOn w:val="Standaardalinea-lettertype"/>
    <w:rsid w:val="003F4CA9"/>
  </w:style>
  <w:style w:type="paragraph" w:customStyle="1" w:styleId="Pa0">
    <w:name w:val="Pa0"/>
    <w:basedOn w:val="Default"/>
    <w:next w:val="Default"/>
    <w:uiPriority w:val="99"/>
    <w:rsid w:val="003F4CA9"/>
    <w:pPr>
      <w:spacing w:line="161" w:lineRule="atLeast"/>
    </w:pPr>
    <w:rPr>
      <w:rFonts w:ascii="Museo Sans 300" w:hAnsi="Museo Sans 300" w:cstheme="minorBidi"/>
      <w:color w:val="auto"/>
    </w:rPr>
  </w:style>
  <w:style w:type="character" w:customStyle="1" w:styleId="docsearchterm">
    <w:name w:val="docsearchterm"/>
    <w:basedOn w:val="Standaardalinea-lettertype"/>
    <w:rsid w:val="003F4CA9"/>
  </w:style>
  <w:style w:type="character" w:customStyle="1" w:styleId="wknlfootnotehref">
    <w:name w:val="wknl_footnote_href"/>
    <w:basedOn w:val="Standaardalinea-lettertype"/>
    <w:rsid w:val="003F4CA9"/>
  </w:style>
  <w:style w:type="paragraph" w:customStyle="1" w:styleId="lid">
    <w:name w:val="lid"/>
    <w:basedOn w:val="Standaard"/>
    <w:rsid w:val="003F4CA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dnr">
    <w:name w:val="lidnr"/>
    <w:basedOn w:val="Standaardalinea-lettertype"/>
    <w:rsid w:val="003F4CA9"/>
  </w:style>
  <w:style w:type="paragraph" w:customStyle="1" w:styleId="al">
    <w:name w:val="al"/>
    <w:basedOn w:val="Standaard"/>
    <w:rsid w:val="003F4CA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3F4CA9"/>
    <w:rPr>
      <w:b/>
      <w:bCs/>
    </w:rPr>
  </w:style>
  <w:style w:type="paragraph" w:styleId="Bijschrift">
    <w:name w:val="caption"/>
    <w:basedOn w:val="Standaard"/>
    <w:next w:val="Standaard"/>
    <w:uiPriority w:val="35"/>
    <w:unhideWhenUsed/>
    <w:qFormat/>
    <w:rsid w:val="003F4CA9"/>
    <w:pPr>
      <w:spacing w:line="240" w:lineRule="auto"/>
    </w:pPr>
    <w:rPr>
      <w:b/>
      <w:bCs/>
      <w:color w:val="4F81BD" w:themeColor="accent1"/>
      <w:szCs w:val="18"/>
    </w:rPr>
  </w:style>
  <w:style w:type="character" w:customStyle="1" w:styleId="productname">
    <w:name w:val="productname"/>
    <w:basedOn w:val="Standaardalinea-lettertype"/>
    <w:rsid w:val="003F4CA9"/>
  </w:style>
  <w:style w:type="character" w:customStyle="1" w:styleId="citeertitel">
    <w:name w:val="citeertitel"/>
    <w:basedOn w:val="Standaardalinea-lettertype"/>
    <w:rsid w:val="003F4CA9"/>
  </w:style>
  <w:style w:type="character" w:customStyle="1" w:styleId="auteurs">
    <w:name w:val="auteurs"/>
    <w:basedOn w:val="Standaardalinea-lettertype"/>
    <w:rsid w:val="003F4CA9"/>
  </w:style>
  <w:style w:type="paragraph" w:customStyle="1" w:styleId="labeled1">
    <w:name w:val="labeled1"/>
    <w:basedOn w:val="Standaard"/>
    <w:rsid w:val="003F4CA9"/>
    <w:pPr>
      <w:spacing w:after="0" w:line="240" w:lineRule="auto"/>
      <w:ind w:left="1200"/>
    </w:pPr>
    <w:rPr>
      <w:rFonts w:ascii="Times New Roman" w:eastAsia="Times New Roman" w:hAnsi="Times New Roman" w:cs="Times New Roman"/>
      <w:sz w:val="24"/>
      <w:szCs w:val="24"/>
      <w:lang w:eastAsia="nl-NL"/>
    </w:rPr>
  </w:style>
  <w:style w:type="character" w:customStyle="1" w:styleId="ol1">
    <w:name w:val="ol1"/>
    <w:basedOn w:val="Standaardalinea-lettertype"/>
    <w:rsid w:val="003F4CA9"/>
  </w:style>
  <w:style w:type="paragraph" w:customStyle="1" w:styleId="Pa2">
    <w:name w:val="Pa2"/>
    <w:basedOn w:val="Default"/>
    <w:next w:val="Default"/>
    <w:uiPriority w:val="99"/>
    <w:rsid w:val="003F4CA9"/>
    <w:pPr>
      <w:spacing w:line="191" w:lineRule="atLeast"/>
    </w:pPr>
    <w:rPr>
      <w:rFonts w:ascii="Times New Roman" w:hAnsi="Times New Roman" w:cs="Times New Roman"/>
      <w:color w:val="auto"/>
    </w:rPr>
  </w:style>
  <w:style w:type="paragraph" w:customStyle="1" w:styleId="doc-ti">
    <w:name w:val="doc-ti"/>
    <w:basedOn w:val="Standaard"/>
    <w:rsid w:val="003F4CA9"/>
    <w:pPr>
      <w:spacing w:before="150" w:after="75" w:line="240" w:lineRule="auto"/>
      <w:jc w:val="center"/>
    </w:pPr>
    <w:rPr>
      <w:rFonts w:ascii="Times New Roman" w:eastAsia="Times New Roman" w:hAnsi="Times New Roman" w:cs="Times New Roman"/>
      <w:b/>
      <w:bCs/>
      <w:sz w:val="24"/>
      <w:szCs w:val="24"/>
      <w:lang w:eastAsia="nl-NL"/>
    </w:rPr>
  </w:style>
  <w:style w:type="character" w:customStyle="1" w:styleId="wknlfootnotehref3">
    <w:name w:val="wknl_footnote_href3"/>
    <w:basedOn w:val="Standaardalinea-lettertype"/>
    <w:rsid w:val="003F4CA9"/>
  </w:style>
  <w:style w:type="character" w:customStyle="1" w:styleId="docsearchterm2">
    <w:name w:val="docsearchterm2"/>
    <w:basedOn w:val="Standaardalinea-lettertype"/>
    <w:rsid w:val="003F4CA9"/>
  </w:style>
  <w:style w:type="character" w:customStyle="1" w:styleId="footnote-number">
    <w:name w:val="footnote-number"/>
    <w:basedOn w:val="Standaardalinea-lettertype"/>
    <w:rsid w:val="003F4CA9"/>
  </w:style>
  <w:style w:type="character" w:customStyle="1" w:styleId="ng-hide">
    <w:name w:val="ng-hide"/>
    <w:basedOn w:val="Standaardalinea-lettertype"/>
    <w:rsid w:val="003F4CA9"/>
  </w:style>
  <w:style w:type="character" w:customStyle="1" w:styleId="wknlfootnotetitle2">
    <w:name w:val="wknl_footnote_title2"/>
    <w:basedOn w:val="Standaardalinea-lettertype"/>
    <w:rsid w:val="003F4CA9"/>
  </w:style>
  <w:style w:type="character" w:customStyle="1" w:styleId="wknlnoota">
    <w:name w:val="wknl_noot_a"/>
    <w:basedOn w:val="Standaardalinea-lettertype"/>
    <w:rsid w:val="003F4CA9"/>
  </w:style>
  <w:style w:type="character" w:customStyle="1" w:styleId="ol2">
    <w:name w:val="ol2"/>
    <w:basedOn w:val="Standaardalinea-lettertype"/>
    <w:rsid w:val="003F4CA9"/>
    <w:rPr>
      <w:i w:val="0"/>
      <w:iCs w:val="0"/>
    </w:rPr>
  </w:style>
  <w:style w:type="paragraph" w:customStyle="1" w:styleId="tussenkop1">
    <w:name w:val="tussenkop1"/>
    <w:basedOn w:val="Standaard"/>
    <w:rsid w:val="003F4CA9"/>
    <w:pPr>
      <w:spacing w:before="240" w:after="240" w:line="240" w:lineRule="auto"/>
    </w:pPr>
    <w:rPr>
      <w:rFonts w:ascii="Times New Roman" w:eastAsia="Times New Roman" w:hAnsi="Times New Roman" w:cs="Times New Roman"/>
      <w:sz w:val="24"/>
      <w:szCs w:val="24"/>
      <w:lang w:eastAsia="nl-NL"/>
    </w:rPr>
  </w:style>
  <w:style w:type="paragraph" w:customStyle="1" w:styleId="intro">
    <w:name w:val="intro"/>
    <w:basedOn w:val="Standaard"/>
    <w:rsid w:val="003F4CA9"/>
    <w:pPr>
      <w:spacing w:after="240" w:line="240" w:lineRule="auto"/>
    </w:pPr>
    <w:rPr>
      <w:rFonts w:ascii="MuseoSans-300" w:eastAsia="Times New Roman" w:hAnsi="MuseoSans-300" w:cs="Times New Roman"/>
      <w:sz w:val="21"/>
      <w:szCs w:val="21"/>
      <w:lang w:eastAsia="nl-NL"/>
    </w:rPr>
  </w:style>
  <w:style w:type="paragraph" w:styleId="Kopvaninhoudsopgave">
    <w:name w:val="TOC Heading"/>
    <w:basedOn w:val="Kop1"/>
    <w:next w:val="Standaard"/>
    <w:uiPriority w:val="39"/>
    <w:unhideWhenUsed/>
    <w:qFormat/>
    <w:rsid w:val="003F4CA9"/>
    <w:pPr>
      <w:outlineLvl w:val="9"/>
    </w:pPr>
  </w:style>
  <w:style w:type="paragraph" w:styleId="Inhopg2">
    <w:name w:val="toc 2"/>
    <w:basedOn w:val="Standaard"/>
    <w:next w:val="Standaard"/>
    <w:autoRedefine/>
    <w:uiPriority w:val="39"/>
    <w:unhideWhenUsed/>
    <w:qFormat/>
    <w:rsid w:val="00D812A2"/>
    <w:pPr>
      <w:tabs>
        <w:tab w:val="left" w:pos="442"/>
        <w:tab w:val="left" w:pos="709"/>
        <w:tab w:val="left" w:pos="1416"/>
        <w:tab w:val="right" w:leader="dot" w:pos="9060"/>
      </w:tabs>
      <w:spacing w:after="0"/>
    </w:pPr>
  </w:style>
  <w:style w:type="paragraph" w:styleId="Inhopg1">
    <w:name w:val="toc 1"/>
    <w:basedOn w:val="Standaard"/>
    <w:next w:val="Standaard"/>
    <w:autoRedefine/>
    <w:uiPriority w:val="39"/>
    <w:unhideWhenUsed/>
    <w:qFormat/>
    <w:rsid w:val="00C068F8"/>
    <w:pPr>
      <w:tabs>
        <w:tab w:val="left" w:pos="440"/>
        <w:tab w:val="left" w:pos="1100"/>
        <w:tab w:val="right" w:leader="dot" w:pos="9062"/>
      </w:tabs>
      <w:spacing w:after="0" w:line="260" w:lineRule="atLeast"/>
      <w:ind w:left="1416" w:hanging="1416"/>
    </w:pPr>
    <w:rPr>
      <w:rFonts w:cs="Arial"/>
      <w:noProof/>
      <w:szCs w:val="18"/>
    </w:rPr>
  </w:style>
  <w:style w:type="paragraph" w:styleId="Inhopg3">
    <w:name w:val="toc 3"/>
    <w:basedOn w:val="Standaard"/>
    <w:next w:val="Standaard"/>
    <w:autoRedefine/>
    <w:uiPriority w:val="39"/>
    <w:semiHidden/>
    <w:unhideWhenUsed/>
    <w:qFormat/>
    <w:rsid w:val="003F4CA9"/>
    <w:pPr>
      <w:spacing w:after="100"/>
      <w:ind w:left="440"/>
    </w:pPr>
    <w:rPr>
      <w:rFonts w:asciiTheme="minorHAnsi" w:eastAsiaTheme="minorEastAsia" w:hAnsiTheme="minorHAnsi"/>
      <w:sz w:val="22"/>
    </w:rPr>
  </w:style>
  <w:style w:type="paragraph" w:customStyle="1" w:styleId="footnotedescription">
    <w:name w:val="footnote description"/>
    <w:next w:val="Standaard"/>
    <w:link w:val="footnotedescriptionChar"/>
    <w:hidden/>
    <w:rsid w:val="00982AFE"/>
    <w:pPr>
      <w:spacing w:after="0" w:line="259" w:lineRule="auto"/>
    </w:pPr>
    <w:rPr>
      <w:rFonts w:ascii="Verdana" w:eastAsia="Verdana" w:hAnsi="Verdana" w:cs="Times New Roman"/>
      <w:color w:val="000000"/>
      <w:sz w:val="14"/>
      <w:szCs w:val="20"/>
      <w:lang w:eastAsia="nl-NL"/>
    </w:rPr>
  </w:style>
  <w:style w:type="character" w:customStyle="1" w:styleId="footnotedescriptionChar">
    <w:name w:val="footnote description Char"/>
    <w:link w:val="footnotedescription"/>
    <w:rsid w:val="00982AFE"/>
    <w:rPr>
      <w:rFonts w:ascii="Verdana" w:eastAsia="Verdana" w:hAnsi="Verdana" w:cs="Times New Roman"/>
      <w:color w:val="000000"/>
      <w:sz w:val="14"/>
      <w:szCs w:val="20"/>
      <w:lang w:eastAsia="nl-NL"/>
    </w:rPr>
  </w:style>
  <w:style w:type="character" w:customStyle="1" w:styleId="footnotemark">
    <w:name w:val="footnote mark"/>
    <w:hidden/>
    <w:rsid w:val="00982AFE"/>
    <w:rPr>
      <w:rFonts w:ascii="Verdana" w:eastAsia="Verdana" w:hAnsi="Verdana" w:cs="Verdana"/>
      <w:color w:val="000000"/>
      <w:sz w:val="12"/>
      <w:vertAlign w:val="superscript"/>
    </w:rPr>
  </w:style>
  <w:style w:type="character" w:styleId="Verwijzingopmerking">
    <w:name w:val="annotation reference"/>
    <w:basedOn w:val="Standaardalinea-lettertype"/>
    <w:uiPriority w:val="99"/>
    <w:semiHidden/>
    <w:unhideWhenUsed/>
    <w:rsid w:val="004A51DA"/>
    <w:rPr>
      <w:sz w:val="16"/>
      <w:szCs w:val="16"/>
    </w:rPr>
  </w:style>
  <w:style w:type="paragraph" w:styleId="Tekstopmerking">
    <w:name w:val="annotation text"/>
    <w:basedOn w:val="Standaard"/>
    <w:link w:val="TekstopmerkingChar"/>
    <w:uiPriority w:val="99"/>
    <w:unhideWhenUsed/>
    <w:rsid w:val="004A51DA"/>
    <w:pPr>
      <w:spacing w:line="240" w:lineRule="auto"/>
    </w:pPr>
    <w:rPr>
      <w:sz w:val="20"/>
      <w:szCs w:val="20"/>
    </w:rPr>
  </w:style>
  <w:style w:type="character" w:customStyle="1" w:styleId="TekstopmerkingChar">
    <w:name w:val="Tekst opmerking Char"/>
    <w:basedOn w:val="Standaardalinea-lettertype"/>
    <w:link w:val="Tekstopmerking"/>
    <w:uiPriority w:val="99"/>
    <w:rsid w:val="004A51DA"/>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4A51DA"/>
    <w:rPr>
      <w:b/>
      <w:bCs/>
    </w:rPr>
  </w:style>
  <w:style w:type="character" w:customStyle="1" w:styleId="OnderwerpvanopmerkingChar">
    <w:name w:val="Onderwerp van opmerking Char"/>
    <w:basedOn w:val="TekstopmerkingChar"/>
    <w:link w:val="Onderwerpvanopmerking"/>
    <w:uiPriority w:val="99"/>
    <w:semiHidden/>
    <w:rsid w:val="004A51DA"/>
    <w:rPr>
      <w:rFonts w:ascii="Verdana" w:hAnsi="Verdana"/>
      <w:b/>
      <w:bCs/>
      <w:sz w:val="20"/>
      <w:szCs w:val="20"/>
    </w:rPr>
  </w:style>
  <w:style w:type="character" w:customStyle="1" w:styleId="highlight">
    <w:name w:val="highlight"/>
    <w:basedOn w:val="Standaardalinea-lettertype"/>
    <w:rsid w:val="001304B3"/>
  </w:style>
  <w:style w:type="character" w:styleId="GevolgdeHyperlink">
    <w:name w:val="FollowedHyperlink"/>
    <w:basedOn w:val="Standaardalinea-lettertype"/>
    <w:uiPriority w:val="99"/>
    <w:semiHidden/>
    <w:unhideWhenUsed/>
    <w:rsid w:val="00804C5C"/>
    <w:rPr>
      <w:color w:val="800080" w:themeColor="followedHyperlink"/>
      <w:u w:val="single"/>
    </w:rPr>
  </w:style>
  <w:style w:type="character" w:styleId="Subtieleverwijzing">
    <w:name w:val="Subtle Reference"/>
    <w:aliases w:val="kop 2"/>
    <w:basedOn w:val="Standaardalinea-lettertype"/>
    <w:uiPriority w:val="31"/>
    <w:qFormat/>
    <w:rsid w:val="00AB37CF"/>
    <w:rPr>
      <w:smallCaps/>
      <w:color w:val="5A5A5A" w:themeColor="text1" w:themeTint="A5"/>
      <w:szCs w:val="18"/>
    </w:rPr>
  </w:style>
  <w:style w:type="paragraph" w:customStyle="1" w:styleId="Kop01">
    <w:name w:val="Kop 01"/>
    <w:basedOn w:val="Kop1"/>
    <w:link w:val="Kop01Char"/>
    <w:qFormat/>
    <w:rsid w:val="00AB37CF"/>
    <w:pPr>
      <w:spacing w:before="0" w:line="260" w:lineRule="exact"/>
    </w:pPr>
    <w:rPr>
      <w:rFonts w:ascii="Verdana" w:hAnsi="Verdana"/>
      <w:color w:val="auto"/>
      <w:sz w:val="18"/>
      <w:szCs w:val="18"/>
    </w:rPr>
  </w:style>
  <w:style w:type="paragraph" w:customStyle="1" w:styleId="kop02">
    <w:name w:val="kop 02"/>
    <w:basedOn w:val="Kop2"/>
    <w:link w:val="kop02Char"/>
    <w:qFormat/>
    <w:rsid w:val="00CE0E40"/>
    <w:rPr>
      <w:rFonts w:ascii="Verdana" w:hAnsi="Verdana"/>
      <w:b w:val="0"/>
      <w:sz w:val="18"/>
    </w:rPr>
  </w:style>
  <w:style w:type="character" w:customStyle="1" w:styleId="Kop01Char">
    <w:name w:val="Kop 01 Char"/>
    <w:basedOn w:val="Kop1Char"/>
    <w:link w:val="Kop01"/>
    <w:rsid w:val="00AB37CF"/>
    <w:rPr>
      <w:rFonts w:ascii="Verdana" w:eastAsiaTheme="majorEastAsia" w:hAnsi="Verdana" w:cstheme="majorBidi"/>
      <w:b/>
      <w:bCs/>
      <w:color w:val="365F91" w:themeColor="accent1" w:themeShade="BF"/>
      <w:sz w:val="18"/>
      <w:szCs w:val="18"/>
    </w:rPr>
  </w:style>
  <w:style w:type="character" w:customStyle="1" w:styleId="kop02Char">
    <w:name w:val="kop 02 Char"/>
    <w:basedOn w:val="Kop2Char"/>
    <w:link w:val="kop02"/>
    <w:rsid w:val="00CE0E40"/>
    <w:rPr>
      <w:rFonts w:ascii="Verdana" w:eastAsia="Times New Roman" w:hAnsi="Verdana" w:cs="Times New Roman"/>
      <w:b w:val="0"/>
      <w:bCs/>
      <w:sz w:val="18"/>
      <w:szCs w:val="36"/>
      <w:lang w:eastAsia="nl-NL"/>
    </w:rPr>
  </w:style>
  <w:style w:type="character" w:styleId="Tekstvantijdelijkeaanduiding">
    <w:name w:val="Placeholder Text"/>
    <w:basedOn w:val="Standaardalinea-lettertype"/>
    <w:uiPriority w:val="99"/>
    <w:semiHidden/>
    <w:rsid w:val="00EC1566"/>
    <w:rPr>
      <w:color w:val="808080"/>
    </w:rPr>
  </w:style>
  <w:style w:type="paragraph" w:styleId="Revisie">
    <w:name w:val="Revision"/>
    <w:hidden/>
    <w:uiPriority w:val="99"/>
    <w:semiHidden/>
    <w:rsid w:val="00073C15"/>
    <w:pPr>
      <w:spacing w:after="0" w:line="240" w:lineRule="auto"/>
    </w:pPr>
    <w:rPr>
      <w:rFonts w:ascii="Verdana" w:hAnsi="Verdana"/>
      <w:sz w:val="18"/>
    </w:rPr>
  </w:style>
  <w:style w:type="character" w:styleId="Onopgelostemelding">
    <w:name w:val="Unresolved Mention"/>
    <w:basedOn w:val="Standaardalinea-lettertype"/>
    <w:uiPriority w:val="99"/>
    <w:semiHidden/>
    <w:unhideWhenUsed/>
    <w:rsid w:val="009F7BA6"/>
    <w:rPr>
      <w:color w:val="605E5C"/>
      <w:shd w:val="clear" w:color="auto" w:fill="E1DFDD"/>
    </w:rPr>
  </w:style>
  <w:style w:type="character" w:customStyle="1" w:styleId="cf01">
    <w:name w:val="cf01"/>
    <w:basedOn w:val="Standaardalinea-lettertype"/>
    <w:rsid w:val="0005548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2015">
      <w:bodyDiv w:val="1"/>
      <w:marLeft w:val="0"/>
      <w:marRight w:val="0"/>
      <w:marTop w:val="0"/>
      <w:marBottom w:val="0"/>
      <w:divBdr>
        <w:top w:val="none" w:sz="0" w:space="0" w:color="auto"/>
        <w:left w:val="none" w:sz="0" w:space="0" w:color="auto"/>
        <w:bottom w:val="none" w:sz="0" w:space="0" w:color="auto"/>
        <w:right w:val="none" w:sz="0" w:space="0" w:color="auto"/>
      </w:divBdr>
    </w:div>
    <w:div w:id="49886783">
      <w:bodyDiv w:val="1"/>
      <w:marLeft w:val="0"/>
      <w:marRight w:val="0"/>
      <w:marTop w:val="0"/>
      <w:marBottom w:val="0"/>
      <w:divBdr>
        <w:top w:val="none" w:sz="0" w:space="0" w:color="auto"/>
        <w:left w:val="none" w:sz="0" w:space="0" w:color="auto"/>
        <w:bottom w:val="none" w:sz="0" w:space="0" w:color="auto"/>
        <w:right w:val="none" w:sz="0" w:space="0" w:color="auto"/>
      </w:divBdr>
    </w:div>
    <w:div w:id="98910703">
      <w:bodyDiv w:val="1"/>
      <w:marLeft w:val="0"/>
      <w:marRight w:val="0"/>
      <w:marTop w:val="0"/>
      <w:marBottom w:val="0"/>
      <w:divBdr>
        <w:top w:val="none" w:sz="0" w:space="0" w:color="auto"/>
        <w:left w:val="none" w:sz="0" w:space="0" w:color="auto"/>
        <w:bottom w:val="none" w:sz="0" w:space="0" w:color="auto"/>
        <w:right w:val="none" w:sz="0" w:space="0" w:color="auto"/>
      </w:divBdr>
      <w:divsChild>
        <w:div w:id="1016544060">
          <w:marLeft w:val="0"/>
          <w:marRight w:val="0"/>
          <w:marTop w:val="0"/>
          <w:marBottom w:val="0"/>
          <w:divBdr>
            <w:top w:val="none" w:sz="0" w:space="0" w:color="auto"/>
            <w:left w:val="none" w:sz="0" w:space="0" w:color="auto"/>
            <w:bottom w:val="none" w:sz="0" w:space="0" w:color="auto"/>
            <w:right w:val="none" w:sz="0" w:space="0" w:color="auto"/>
          </w:divBdr>
          <w:divsChild>
            <w:div w:id="787043065">
              <w:marLeft w:val="0"/>
              <w:marRight w:val="0"/>
              <w:marTop w:val="0"/>
              <w:marBottom w:val="0"/>
              <w:divBdr>
                <w:top w:val="none" w:sz="0" w:space="0" w:color="auto"/>
                <w:left w:val="none" w:sz="0" w:space="0" w:color="auto"/>
                <w:bottom w:val="none" w:sz="0" w:space="0" w:color="auto"/>
                <w:right w:val="none" w:sz="0" w:space="0" w:color="auto"/>
              </w:divBdr>
              <w:divsChild>
                <w:div w:id="32386943">
                  <w:marLeft w:val="0"/>
                  <w:marRight w:val="0"/>
                  <w:marTop w:val="0"/>
                  <w:marBottom w:val="0"/>
                  <w:divBdr>
                    <w:top w:val="none" w:sz="0" w:space="0" w:color="auto"/>
                    <w:left w:val="none" w:sz="0" w:space="0" w:color="auto"/>
                    <w:bottom w:val="none" w:sz="0" w:space="0" w:color="auto"/>
                    <w:right w:val="none" w:sz="0" w:space="0" w:color="auto"/>
                  </w:divBdr>
                  <w:divsChild>
                    <w:div w:id="1816219744">
                      <w:marLeft w:val="0"/>
                      <w:marRight w:val="0"/>
                      <w:marTop w:val="0"/>
                      <w:marBottom w:val="0"/>
                      <w:divBdr>
                        <w:top w:val="none" w:sz="0" w:space="0" w:color="auto"/>
                        <w:left w:val="none" w:sz="0" w:space="0" w:color="auto"/>
                        <w:bottom w:val="none" w:sz="0" w:space="0" w:color="auto"/>
                        <w:right w:val="none" w:sz="0" w:space="0" w:color="auto"/>
                      </w:divBdr>
                      <w:divsChild>
                        <w:div w:id="1010063049">
                          <w:marLeft w:val="0"/>
                          <w:marRight w:val="0"/>
                          <w:marTop w:val="0"/>
                          <w:marBottom w:val="0"/>
                          <w:divBdr>
                            <w:top w:val="none" w:sz="0" w:space="0" w:color="auto"/>
                            <w:left w:val="none" w:sz="0" w:space="0" w:color="auto"/>
                            <w:bottom w:val="none" w:sz="0" w:space="0" w:color="auto"/>
                            <w:right w:val="none" w:sz="0" w:space="0" w:color="auto"/>
                          </w:divBdr>
                          <w:divsChild>
                            <w:div w:id="174483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42226">
      <w:bodyDiv w:val="1"/>
      <w:marLeft w:val="300"/>
      <w:marRight w:val="0"/>
      <w:marTop w:val="0"/>
      <w:marBottom w:val="0"/>
      <w:divBdr>
        <w:top w:val="none" w:sz="0" w:space="0" w:color="auto"/>
        <w:left w:val="none" w:sz="0" w:space="0" w:color="auto"/>
        <w:bottom w:val="none" w:sz="0" w:space="0" w:color="auto"/>
        <w:right w:val="none" w:sz="0" w:space="0" w:color="auto"/>
      </w:divBdr>
      <w:divsChild>
        <w:div w:id="1005985424">
          <w:marLeft w:val="0"/>
          <w:marRight w:val="0"/>
          <w:marTop w:val="0"/>
          <w:marBottom w:val="0"/>
          <w:divBdr>
            <w:top w:val="none" w:sz="0" w:space="0" w:color="auto"/>
            <w:left w:val="none" w:sz="0" w:space="0" w:color="auto"/>
            <w:bottom w:val="none" w:sz="0" w:space="0" w:color="auto"/>
            <w:right w:val="none" w:sz="0" w:space="0" w:color="auto"/>
          </w:divBdr>
          <w:divsChild>
            <w:div w:id="1122919829">
              <w:marLeft w:val="0"/>
              <w:marRight w:val="0"/>
              <w:marTop w:val="0"/>
              <w:marBottom w:val="0"/>
              <w:divBdr>
                <w:top w:val="none" w:sz="0" w:space="0" w:color="auto"/>
                <w:left w:val="none" w:sz="0" w:space="0" w:color="auto"/>
                <w:bottom w:val="none" w:sz="0" w:space="0" w:color="auto"/>
                <w:right w:val="none" w:sz="0" w:space="0" w:color="auto"/>
              </w:divBdr>
              <w:divsChild>
                <w:div w:id="1504975068">
                  <w:marLeft w:val="0"/>
                  <w:marRight w:val="0"/>
                  <w:marTop w:val="0"/>
                  <w:marBottom w:val="0"/>
                  <w:divBdr>
                    <w:top w:val="none" w:sz="0" w:space="0" w:color="auto"/>
                    <w:left w:val="none" w:sz="0" w:space="0" w:color="auto"/>
                    <w:bottom w:val="none" w:sz="0" w:space="0" w:color="auto"/>
                    <w:right w:val="none" w:sz="0" w:space="0" w:color="auto"/>
                  </w:divBdr>
                  <w:divsChild>
                    <w:div w:id="1139416228">
                      <w:marLeft w:val="0"/>
                      <w:marRight w:val="0"/>
                      <w:marTop w:val="0"/>
                      <w:marBottom w:val="0"/>
                      <w:divBdr>
                        <w:top w:val="none" w:sz="0" w:space="0" w:color="auto"/>
                        <w:left w:val="none" w:sz="0" w:space="0" w:color="auto"/>
                        <w:bottom w:val="none" w:sz="0" w:space="0" w:color="auto"/>
                        <w:right w:val="none" w:sz="0" w:space="0" w:color="auto"/>
                      </w:divBdr>
                      <w:divsChild>
                        <w:div w:id="1979991223">
                          <w:marLeft w:val="0"/>
                          <w:marRight w:val="0"/>
                          <w:marTop w:val="0"/>
                          <w:marBottom w:val="0"/>
                          <w:divBdr>
                            <w:top w:val="none" w:sz="0" w:space="0" w:color="auto"/>
                            <w:left w:val="none" w:sz="0" w:space="0" w:color="auto"/>
                            <w:bottom w:val="none" w:sz="0" w:space="0" w:color="auto"/>
                            <w:right w:val="none" w:sz="0" w:space="0" w:color="auto"/>
                          </w:divBdr>
                          <w:divsChild>
                            <w:div w:id="1942034043">
                              <w:marLeft w:val="0"/>
                              <w:marRight w:val="0"/>
                              <w:marTop w:val="0"/>
                              <w:marBottom w:val="0"/>
                              <w:divBdr>
                                <w:top w:val="none" w:sz="0" w:space="0" w:color="auto"/>
                                <w:left w:val="none" w:sz="0" w:space="0" w:color="auto"/>
                                <w:bottom w:val="none" w:sz="0" w:space="0" w:color="auto"/>
                                <w:right w:val="none" w:sz="0" w:space="0" w:color="auto"/>
                              </w:divBdr>
                              <w:divsChild>
                                <w:div w:id="1029255117">
                                  <w:marLeft w:val="0"/>
                                  <w:marRight w:val="0"/>
                                  <w:marTop w:val="0"/>
                                  <w:marBottom w:val="0"/>
                                  <w:divBdr>
                                    <w:top w:val="none" w:sz="0" w:space="0" w:color="auto"/>
                                    <w:left w:val="none" w:sz="0" w:space="0" w:color="auto"/>
                                    <w:bottom w:val="none" w:sz="0" w:space="0" w:color="auto"/>
                                    <w:right w:val="none" w:sz="0" w:space="0" w:color="auto"/>
                                  </w:divBdr>
                                  <w:divsChild>
                                    <w:div w:id="1232232056">
                                      <w:marLeft w:val="0"/>
                                      <w:marRight w:val="0"/>
                                      <w:marTop w:val="0"/>
                                      <w:marBottom w:val="0"/>
                                      <w:divBdr>
                                        <w:top w:val="none" w:sz="0" w:space="0" w:color="auto"/>
                                        <w:left w:val="none" w:sz="0" w:space="0" w:color="auto"/>
                                        <w:bottom w:val="none" w:sz="0" w:space="0" w:color="auto"/>
                                        <w:right w:val="none" w:sz="0" w:space="0" w:color="auto"/>
                                      </w:divBdr>
                                      <w:divsChild>
                                        <w:div w:id="193277874">
                                          <w:marLeft w:val="0"/>
                                          <w:marRight w:val="0"/>
                                          <w:marTop w:val="0"/>
                                          <w:marBottom w:val="0"/>
                                          <w:divBdr>
                                            <w:top w:val="none" w:sz="0" w:space="0" w:color="auto"/>
                                            <w:left w:val="none" w:sz="0" w:space="0" w:color="auto"/>
                                            <w:bottom w:val="none" w:sz="0" w:space="0" w:color="auto"/>
                                            <w:right w:val="none" w:sz="0" w:space="0" w:color="auto"/>
                                          </w:divBdr>
                                          <w:divsChild>
                                            <w:div w:id="1783454129">
                                              <w:marLeft w:val="0"/>
                                              <w:marRight w:val="0"/>
                                              <w:marTop w:val="0"/>
                                              <w:marBottom w:val="0"/>
                                              <w:divBdr>
                                                <w:top w:val="none" w:sz="0" w:space="0" w:color="auto"/>
                                                <w:left w:val="none" w:sz="0" w:space="0" w:color="auto"/>
                                                <w:bottom w:val="none" w:sz="0" w:space="0" w:color="auto"/>
                                                <w:right w:val="none" w:sz="0" w:space="0" w:color="auto"/>
                                              </w:divBdr>
                                              <w:divsChild>
                                                <w:div w:id="1481117453">
                                                  <w:marLeft w:val="0"/>
                                                  <w:marRight w:val="0"/>
                                                  <w:marTop w:val="0"/>
                                                  <w:marBottom w:val="0"/>
                                                  <w:divBdr>
                                                    <w:top w:val="none" w:sz="0" w:space="0" w:color="auto"/>
                                                    <w:left w:val="none" w:sz="0" w:space="0" w:color="auto"/>
                                                    <w:bottom w:val="none" w:sz="0" w:space="0" w:color="auto"/>
                                                    <w:right w:val="none" w:sz="0" w:space="0" w:color="auto"/>
                                                  </w:divBdr>
                                                  <w:divsChild>
                                                    <w:div w:id="579146082">
                                                      <w:marLeft w:val="0"/>
                                                      <w:marRight w:val="0"/>
                                                      <w:marTop w:val="0"/>
                                                      <w:marBottom w:val="0"/>
                                                      <w:divBdr>
                                                        <w:top w:val="none" w:sz="0" w:space="0" w:color="auto"/>
                                                        <w:left w:val="none" w:sz="0" w:space="0" w:color="auto"/>
                                                        <w:bottom w:val="none" w:sz="0" w:space="0" w:color="auto"/>
                                                        <w:right w:val="none" w:sz="0" w:space="0" w:color="auto"/>
                                                      </w:divBdr>
                                                      <w:divsChild>
                                                        <w:div w:id="350646664">
                                                          <w:marLeft w:val="0"/>
                                                          <w:marRight w:val="0"/>
                                                          <w:marTop w:val="0"/>
                                                          <w:marBottom w:val="0"/>
                                                          <w:divBdr>
                                                            <w:top w:val="none" w:sz="0" w:space="0" w:color="auto"/>
                                                            <w:left w:val="none" w:sz="0" w:space="0" w:color="auto"/>
                                                            <w:bottom w:val="none" w:sz="0" w:space="0" w:color="auto"/>
                                                            <w:right w:val="none" w:sz="0" w:space="0" w:color="auto"/>
                                                          </w:divBdr>
                                                          <w:divsChild>
                                                            <w:div w:id="1218123830">
                                                              <w:marLeft w:val="0"/>
                                                              <w:marRight w:val="0"/>
                                                              <w:marTop w:val="0"/>
                                                              <w:marBottom w:val="0"/>
                                                              <w:divBdr>
                                                                <w:top w:val="none" w:sz="0" w:space="0" w:color="auto"/>
                                                                <w:left w:val="none" w:sz="0" w:space="0" w:color="auto"/>
                                                                <w:bottom w:val="none" w:sz="0" w:space="0" w:color="auto"/>
                                                                <w:right w:val="none" w:sz="0" w:space="0" w:color="auto"/>
                                                              </w:divBdr>
                                                            </w:div>
                                                            <w:div w:id="1332103887">
                                                              <w:marLeft w:val="0"/>
                                                              <w:marRight w:val="0"/>
                                                              <w:marTop w:val="0"/>
                                                              <w:marBottom w:val="0"/>
                                                              <w:divBdr>
                                                                <w:top w:val="none" w:sz="0" w:space="0" w:color="auto"/>
                                                                <w:left w:val="none" w:sz="0" w:space="0" w:color="auto"/>
                                                                <w:bottom w:val="none" w:sz="0" w:space="0" w:color="auto"/>
                                                                <w:right w:val="none" w:sz="0" w:space="0" w:color="auto"/>
                                                              </w:divBdr>
                                                            </w:div>
                                                            <w:div w:id="92408684">
                                                              <w:marLeft w:val="0"/>
                                                              <w:marRight w:val="0"/>
                                                              <w:marTop w:val="0"/>
                                                              <w:marBottom w:val="0"/>
                                                              <w:divBdr>
                                                                <w:top w:val="none" w:sz="0" w:space="0" w:color="auto"/>
                                                                <w:left w:val="none" w:sz="0" w:space="0" w:color="auto"/>
                                                                <w:bottom w:val="none" w:sz="0" w:space="0" w:color="auto"/>
                                                                <w:right w:val="none" w:sz="0" w:space="0" w:color="auto"/>
                                                              </w:divBdr>
                                                            </w:div>
                                                            <w:div w:id="115332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8495210">
      <w:bodyDiv w:val="1"/>
      <w:marLeft w:val="187"/>
      <w:marRight w:val="0"/>
      <w:marTop w:val="0"/>
      <w:marBottom w:val="0"/>
      <w:divBdr>
        <w:top w:val="none" w:sz="0" w:space="0" w:color="auto"/>
        <w:left w:val="none" w:sz="0" w:space="0" w:color="auto"/>
        <w:bottom w:val="none" w:sz="0" w:space="0" w:color="auto"/>
        <w:right w:val="none" w:sz="0" w:space="0" w:color="auto"/>
      </w:divBdr>
      <w:divsChild>
        <w:div w:id="451217866">
          <w:marLeft w:val="0"/>
          <w:marRight w:val="0"/>
          <w:marTop w:val="0"/>
          <w:marBottom w:val="0"/>
          <w:divBdr>
            <w:top w:val="none" w:sz="0" w:space="0" w:color="auto"/>
            <w:left w:val="none" w:sz="0" w:space="0" w:color="auto"/>
            <w:bottom w:val="none" w:sz="0" w:space="0" w:color="auto"/>
            <w:right w:val="none" w:sz="0" w:space="0" w:color="auto"/>
          </w:divBdr>
          <w:divsChild>
            <w:div w:id="1656031190">
              <w:marLeft w:val="0"/>
              <w:marRight w:val="0"/>
              <w:marTop w:val="0"/>
              <w:marBottom w:val="0"/>
              <w:divBdr>
                <w:top w:val="none" w:sz="0" w:space="0" w:color="auto"/>
                <w:left w:val="none" w:sz="0" w:space="0" w:color="auto"/>
                <w:bottom w:val="none" w:sz="0" w:space="0" w:color="auto"/>
                <w:right w:val="none" w:sz="0" w:space="0" w:color="auto"/>
              </w:divBdr>
              <w:divsChild>
                <w:div w:id="226842252">
                  <w:marLeft w:val="0"/>
                  <w:marRight w:val="0"/>
                  <w:marTop w:val="0"/>
                  <w:marBottom w:val="0"/>
                  <w:divBdr>
                    <w:top w:val="none" w:sz="0" w:space="0" w:color="auto"/>
                    <w:left w:val="none" w:sz="0" w:space="0" w:color="auto"/>
                    <w:bottom w:val="none" w:sz="0" w:space="0" w:color="auto"/>
                    <w:right w:val="none" w:sz="0" w:space="0" w:color="auto"/>
                  </w:divBdr>
                  <w:divsChild>
                    <w:div w:id="840313212">
                      <w:marLeft w:val="0"/>
                      <w:marRight w:val="0"/>
                      <w:marTop w:val="0"/>
                      <w:marBottom w:val="0"/>
                      <w:divBdr>
                        <w:top w:val="none" w:sz="0" w:space="0" w:color="auto"/>
                        <w:left w:val="none" w:sz="0" w:space="0" w:color="auto"/>
                        <w:bottom w:val="none" w:sz="0" w:space="0" w:color="auto"/>
                        <w:right w:val="none" w:sz="0" w:space="0" w:color="auto"/>
                      </w:divBdr>
                      <w:divsChild>
                        <w:div w:id="1906260113">
                          <w:marLeft w:val="0"/>
                          <w:marRight w:val="0"/>
                          <w:marTop w:val="0"/>
                          <w:marBottom w:val="0"/>
                          <w:divBdr>
                            <w:top w:val="none" w:sz="0" w:space="0" w:color="auto"/>
                            <w:left w:val="none" w:sz="0" w:space="0" w:color="auto"/>
                            <w:bottom w:val="none" w:sz="0" w:space="0" w:color="auto"/>
                            <w:right w:val="none" w:sz="0" w:space="0" w:color="auto"/>
                          </w:divBdr>
                          <w:divsChild>
                            <w:div w:id="1882474187">
                              <w:marLeft w:val="0"/>
                              <w:marRight w:val="0"/>
                              <w:marTop w:val="0"/>
                              <w:marBottom w:val="0"/>
                              <w:divBdr>
                                <w:top w:val="none" w:sz="0" w:space="0" w:color="auto"/>
                                <w:left w:val="none" w:sz="0" w:space="0" w:color="auto"/>
                                <w:bottom w:val="none" w:sz="0" w:space="0" w:color="auto"/>
                                <w:right w:val="none" w:sz="0" w:space="0" w:color="auto"/>
                              </w:divBdr>
                              <w:divsChild>
                                <w:div w:id="1498301091">
                                  <w:marLeft w:val="0"/>
                                  <w:marRight w:val="0"/>
                                  <w:marTop w:val="0"/>
                                  <w:marBottom w:val="0"/>
                                  <w:divBdr>
                                    <w:top w:val="none" w:sz="0" w:space="0" w:color="auto"/>
                                    <w:left w:val="none" w:sz="0" w:space="0" w:color="auto"/>
                                    <w:bottom w:val="none" w:sz="0" w:space="0" w:color="auto"/>
                                    <w:right w:val="none" w:sz="0" w:space="0" w:color="auto"/>
                                  </w:divBdr>
                                  <w:divsChild>
                                    <w:div w:id="42141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9777208">
      <w:bodyDiv w:val="1"/>
      <w:marLeft w:val="0"/>
      <w:marRight w:val="0"/>
      <w:marTop w:val="0"/>
      <w:marBottom w:val="0"/>
      <w:divBdr>
        <w:top w:val="none" w:sz="0" w:space="0" w:color="auto"/>
        <w:left w:val="none" w:sz="0" w:space="0" w:color="auto"/>
        <w:bottom w:val="none" w:sz="0" w:space="0" w:color="auto"/>
        <w:right w:val="none" w:sz="0" w:space="0" w:color="auto"/>
      </w:divBdr>
    </w:div>
    <w:div w:id="615910517">
      <w:bodyDiv w:val="1"/>
      <w:marLeft w:val="187"/>
      <w:marRight w:val="0"/>
      <w:marTop w:val="0"/>
      <w:marBottom w:val="0"/>
      <w:divBdr>
        <w:top w:val="none" w:sz="0" w:space="0" w:color="auto"/>
        <w:left w:val="none" w:sz="0" w:space="0" w:color="auto"/>
        <w:bottom w:val="none" w:sz="0" w:space="0" w:color="auto"/>
        <w:right w:val="none" w:sz="0" w:space="0" w:color="auto"/>
      </w:divBdr>
      <w:divsChild>
        <w:div w:id="1020425509">
          <w:marLeft w:val="0"/>
          <w:marRight w:val="0"/>
          <w:marTop w:val="0"/>
          <w:marBottom w:val="0"/>
          <w:divBdr>
            <w:top w:val="none" w:sz="0" w:space="0" w:color="auto"/>
            <w:left w:val="none" w:sz="0" w:space="0" w:color="auto"/>
            <w:bottom w:val="none" w:sz="0" w:space="0" w:color="auto"/>
            <w:right w:val="none" w:sz="0" w:space="0" w:color="auto"/>
          </w:divBdr>
          <w:divsChild>
            <w:div w:id="1377702625">
              <w:marLeft w:val="0"/>
              <w:marRight w:val="0"/>
              <w:marTop w:val="0"/>
              <w:marBottom w:val="0"/>
              <w:divBdr>
                <w:top w:val="none" w:sz="0" w:space="0" w:color="auto"/>
                <w:left w:val="none" w:sz="0" w:space="0" w:color="auto"/>
                <w:bottom w:val="none" w:sz="0" w:space="0" w:color="auto"/>
                <w:right w:val="none" w:sz="0" w:space="0" w:color="auto"/>
              </w:divBdr>
              <w:divsChild>
                <w:div w:id="1502424102">
                  <w:marLeft w:val="0"/>
                  <w:marRight w:val="0"/>
                  <w:marTop w:val="0"/>
                  <w:marBottom w:val="0"/>
                  <w:divBdr>
                    <w:top w:val="none" w:sz="0" w:space="0" w:color="auto"/>
                    <w:left w:val="none" w:sz="0" w:space="0" w:color="auto"/>
                    <w:bottom w:val="none" w:sz="0" w:space="0" w:color="auto"/>
                    <w:right w:val="none" w:sz="0" w:space="0" w:color="auto"/>
                  </w:divBdr>
                  <w:divsChild>
                    <w:div w:id="673648840">
                      <w:marLeft w:val="0"/>
                      <w:marRight w:val="0"/>
                      <w:marTop w:val="0"/>
                      <w:marBottom w:val="0"/>
                      <w:divBdr>
                        <w:top w:val="none" w:sz="0" w:space="0" w:color="auto"/>
                        <w:left w:val="none" w:sz="0" w:space="0" w:color="auto"/>
                        <w:bottom w:val="none" w:sz="0" w:space="0" w:color="auto"/>
                        <w:right w:val="none" w:sz="0" w:space="0" w:color="auto"/>
                      </w:divBdr>
                      <w:divsChild>
                        <w:div w:id="1864785430">
                          <w:marLeft w:val="0"/>
                          <w:marRight w:val="0"/>
                          <w:marTop w:val="0"/>
                          <w:marBottom w:val="0"/>
                          <w:divBdr>
                            <w:top w:val="none" w:sz="0" w:space="0" w:color="auto"/>
                            <w:left w:val="none" w:sz="0" w:space="0" w:color="auto"/>
                            <w:bottom w:val="none" w:sz="0" w:space="0" w:color="auto"/>
                            <w:right w:val="none" w:sz="0" w:space="0" w:color="auto"/>
                          </w:divBdr>
                          <w:divsChild>
                            <w:div w:id="478156961">
                              <w:marLeft w:val="0"/>
                              <w:marRight w:val="0"/>
                              <w:marTop w:val="0"/>
                              <w:marBottom w:val="0"/>
                              <w:divBdr>
                                <w:top w:val="none" w:sz="0" w:space="0" w:color="auto"/>
                                <w:left w:val="none" w:sz="0" w:space="0" w:color="auto"/>
                                <w:bottom w:val="none" w:sz="0" w:space="0" w:color="auto"/>
                                <w:right w:val="none" w:sz="0" w:space="0" w:color="auto"/>
                              </w:divBdr>
                              <w:divsChild>
                                <w:div w:id="748428871">
                                  <w:marLeft w:val="0"/>
                                  <w:marRight w:val="0"/>
                                  <w:marTop w:val="0"/>
                                  <w:marBottom w:val="0"/>
                                  <w:divBdr>
                                    <w:top w:val="none" w:sz="0" w:space="0" w:color="auto"/>
                                    <w:left w:val="none" w:sz="0" w:space="0" w:color="auto"/>
                                    <w:bottom w:val="none" w:sz="0" w:space="0" w:color="auto"/>
                                    <w:right w:val="none" w:sz="0" w:space="0" w:color="auto"/>
                                  </w:divBdr>
                                  <w:divsChild>
                                    <w:div w:id="954675028">
                                      <w:marLeft w:val="0"/>
                                      <w:marRight w:val="0"/>
                                      <w:marTop w:val="0"/>
                                      <w:marBottom w:val="0"/>
                                      <w:divBdr>
                                        <w:top w:val="none" w:sz="0" w:space="0" w:color="auto"/>
                                        <w:left w:val="none" w:sz="0" w:space="0" w:color="auto"/>
                                        <w:bottom w:val="none" w:sz="0" w:space="0" w:color="auto"/>
                                        <w:right w:val="none" w:sz="0" w:space="0" w:color="auto"/>
                                      </w:divBdr>
                                      <w:divsChild>
                                        <w:div w:id="76094384">
                                          <w:marLeft w:val="0"/>
                                          <w:marRight w:val="0"/>
                                          <w:marTop w:val="0"/>
                                          <w:marBottom w:val="0"/>
                                          <w:divBdr>
                                            <w:top w:val="none" w:sz="0" w:space="0" w:color="auto"/>
                                            <w:left w:val="none" w:sz="0" w:space="0" w:color="auto"/>
                                            <w:bottom w:val="none" w:sz="0" w:space="0" w:color="auto"/>
                                            <w:right w:val="none" w:sz="0" w:space="0" w:color="auto"/>
                                          </w:divBdr>
                                          <w:divsChild>
                                            <w:div w:id="883755522">
                                              <w:marLeft w:val="0"/>
                                              <w:marRight w:val="0"/>
                                              <w:marTop w:val="0"/>
                                              <w:marBottom w:val="0"/>
                                              <w:divBdr>
                                                <w:top w:val="none" w:sz="0" w:space="0" w:color="auto"/>
                                                <w:left w:val="none" w:sz="0" w:space="0" w:color="auto"/>
                                                <w:bottom w:val="none" w:sz="0" w:space="0" w:color="auto"/>
                                                <w:right w:val="none" w:sz="0" w:space="0" w:color="auto"/>
                                              </w:divBdr>
                                              <w:divsChild>
                                                <w:div w:id="20645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6183166">
      <w:bodyDiv w:val="1"/>
      <w:marLeft w:val="0"/>
      <w:marRight w:val="0"/>
      <w:marTop w:val="0"/>
      <w:marBottom w:val="0"/>
      <w:divBdr>
        <w:top w:val="none" w:sz="0" w:space="0" w:color="auto"/>
        <w:left w:val="none" w:sz="0" w:space="0" w:color="auto"/>
        <w:bottom w:val="none" w:sz="0" w:space="0" w:color="auto"/>
        <w:right w:val="none" w:sz="0" w:space="0" w:color="auto"/>
      </w:divBdr>
      <w:divsChild>
        <w:div w:id="1016276020">
          <w:marLeft w:val="0"/>
          <w:marRight w:val="0"/>
          <w:marTop w:val="0"/>
          <w:marBottom w:val="0"/>
          <w:divBdr>
            <w:top w:val="none" w:sz="0" w:space="0" w:color="auto"/>
            <w:left w:val="none" w:sz="0" w:space="0" w:color="auto"/>
            <w:bottom w:val="none" w:sz="0" w:space="0" w:color="auto"/>
            <w:right w:val="none" w:sz="0" w:space="0" w:color="auto"/>
          </w:divBdr>
        </w:div>
        <w:div w:id="4527097">
          <w:marLeft w:val="0"/>
          <w:marRight w:val="0"/>
          <w:marTop w:val="0"/>
          <w:marBottom w:val="0"/>
          <w:divBdr>
            <w:top w:val="none" w:sz="0" w:space="0" w:color="auto"/>
            <w:left w:val="none" w:sz="0" w:space="0" w:color="auto"/>
            <w:bottom w:val="none" w:sz="0" w:space="0" w:color="auto"/>
            <w:right w:val="none" w:sz="0" w:space="0" w:color="auto"/>
          </w:divBdr>
        </w:div>
        <w:div w:id="1289160889">
          <w:marLeft w:val="0"/>
          <w:marRight w:val="0"/>
          <w:marTop w:val="0"/>
          <w:marBottom w:val="0"/>
          <w:divBdr>
            <w:top w:val="none" w:sz="0" w:space="0" w:color="auto"/>
            <w:left w:val="none" w:sz="0" w:space="0" w:color="auto"/>
            <w:bottom w:val="none" w:sz="0" w:space="0" w:color="auto"/>
            <w:right w:val="none" w:sz="0" w:space="0" w:color="auto"/>
          </w:divBdr>
        </w:div>
        <w:div w:id="729692402">
          <w:marLeft w:val="0"/>
          <w:marRight w:val="0"/>
          <w:marTop w:val="0"/>
          <w:marBottom w:val="0"/>
          <w:divBdr>
            <w:top w:val="none" w:sz="0" w:space="0" w:color="auto"/>
            <w:left w:val="none" w:sz="0" w:space="0" w:color="auto"/>
            <w:bottom w:val="none" w:sz="0" w:space="0" w:color="auto"/>
            <w:right w:val="none" w:sz="0" w:space="0" w:color="auto"/>
          </w:divBdr>
        </w:div>
      </w:divsChild>
    </w:div>
    <w:div w:id="724917378">
      <w:bodyDiv w:val="1"/>
      <w:marLeft w:val="187"/>
      <w:marRight w:val="0"/>
      <w:marTop w:val="0"/>
      <w:marBottom w:val="0"/>
      <w:divBdr>
        <w:top w:val="none" w:sz="0" w:space="0" w:color="auto"/>
        <w:left w:val="none" w:sz="0" w:space="0" w:color="auto"/>
        <w:bottom w:val="none" w:sz="0" w:space="0" w:color="auto"/>
        <w:right w:val="none" w:sz="0" w:space="0" w:color="auto"/>
      </w:divBdr>
      <w:divsChild>
        <w:div w:id="1213031499">
          <w:marLeft w:val="0"/>
          <w:marRight w:val="0"/>
          <w:marTop w:val="0"/>
          <w:marBottom w:val="0"/>
          <w:divBdr>
            <w:top w:val="none" w:sz="0" w:space="0" w:color="auto"/>
            <w:left w:val="none" w:sz="0" w:space="0" w:color="auto"/>
            <w:bottom w:val="none" w:sz="0" w:space="0" w:color="auto"/>
            <w:right w:val="none" w:sz="0" w:space="0" w:color="auto"/>
          </w:divBdr>
          <w:divsChild>
            <w:div w:id="491219393">
              <w:marLeft w:val="0"/>
              <w:marRight w:val="0"/>
              <w:marTop w:val="0"/>
              <w:marBottom w:val="0"/>
              <w:divBdr>
                <w:top w:val="none" w:sz="0" w:space="0" w:color="auto"/>
                <w:left w:val="none" w:sz="0" w:space="0" w:color="auto"/>
                <w:bottom w:val="none" w:sz="0" w:space="0" w:color="auto"/>
                <w:right w:val="none" w:sz="0" w:space="0" w:color="auto"/>
              </w:divBdr>
              <w:divsChild>
                <w:div w:id="238443484">
                  <w:marLeft w:val="0"/>
                  <w:marRight w:val="0"/>
                  <w:marTop w:val="0"/>
                  <w:marBottom w:val="0"/>
                  <w:divBdr>
                    <w:top w:val="none" w:sz="0" w:space="0" w:color="auto"/>
                    <w:left w:val="none" w:sz="0" w:space="0" w:color="auto"/>
                    <w:bottom w:val="none" w:sz="0" w:space="0" w:color="auto"/>
                    <w:right w:val="none" w:sz="0" w:space="0" w:color="auto"/>
                  </w:divBdr>
                  <w:divsChild>
                    <w:div w:id="1025591952">
                      <w:marLeft w:val="0"/>
                      <w:marRight w:val="0"/>
                      <w:marTop w:val="0"/>
                      <w:marBottom w:val="0"/>
                      <w:divBdr>
                        <w:top w:val="none" w:sz="0" w:space="0" w:color="auto"/>
                        <w:left w:val="none" w:sz="0" w:space="0" w:color="auto"/>
                        <w:bottom w:val="none" w:sz="0" w:space="0" w:color="auto"/>
                        <w:right w:val="none" w:sz="0" w:space="0" w:color="auto"/>
                      </w:divBdr>
                      <w:divsChild>
                        <w:div w:id="1564290019">
                          <w:marLeft w:val="0"/>
                          <w:marRight w:val="0"/>
                          <w:marTop w:val="0"/>
                          <w:marBottom w:val="0"/>
                          <w:divBdr>
                            <w:top w:val="none" w:sz="0" w:space="0" w:color="auto"/>
                            <w:left w:val="none" w:sz="0" w:space="0" w:color="auto"/>
                            <w:bottom w:val="none" w:sz="0" w:space="0" w:color="auto"/>
                            <w:right w:val="none" w:sz="0" w:space="0" w:color="auto"/>
                          </w:divBdr>
                          <w:divsChild>
                            <w:div w:id="1669091009">
                              <w:marLeft w:val="0"/>
                              <w:marRight w:val="0"/>
                              <w:marTop w:val="0"/>
                              <w:marBottom w:val="0"/>
                              <w:divBdr>
                                <w:top w:val="none" w:sz="0" w:space="0" w:color="auto"/>
                                <w:left w:val="none" w:sz="0" w:space="0" w:color="auto"/>
                                <w:bottom w:val="none" w:sz="0" w:space="0" w:color="auto"/>
                                <w:right w:val="none" w:sz="0" w:space="0" w:color="auto"/>
                              </w:divBdr>
                              <w:divsChild>
                                <w:div w:id="139468077">
                                  <w:marLeft w:val="0"/>
                                  <w:marRight w:val="0"/>
                                  <w:marTop w:val="0"/>
                                  <w:marBottom w:val="0"/>
                                  <w:divBdr>
                                    <w:top w:val="none" w:sz="0" w:space="0" w:color="auto"/>
                                    <w:left w:val="none" w:sz="0" w:space="0" w:color="auto"/>
                                    <w:bottom w:val="none" w:sz="0" w:space="0" w:color="auto"/>
                                    <w:right w:val="none" w:sz="0" w:space="0" w:color="auto"/>
                                  </w:divBdr>
                                  <w:divsChild>
                                    <w:div w:id="278072678">
                                      <w:marLeft w:val="0"/>
                                      <w:marRight w:val="0"/>
                                      <w:marTop w:val="0"/>
                                      <w:marBottom w:val="0"/>
                                      <w:divBdr>
                                        <w:top w:val="none" w:sz="0" w:space="0" w:color="auto"/>
                                        <w:left w:val="none" w:sz="0" w:space="0" w:color="auto"/>
                                        <w:bottom w:val="none" w:sz="0" w:space="0" w:color="auto"/>
                                        <w:right w:val="none" w:sz="0" w:space="0" w:color="auto"/>
                                      </w:divBdr>
                                      <w:divsChild>
                                        <w:div w:id="478617212">
                                          <w:marLeft w:val="0"/>
                                          <w:marRight w:val="0"/>
                                          <w:marTop w:val="0"/>
                                          <w:marBottom w:val="0"/>
                                          <w:divBdr>
                                            <w:top w:val="none" w:sz="0" w:space="0" w:color="auto"/>
                                            <w:left w:val="none" w:sz="0" w:space="0" w:color="auto"/>
                                            <w:bottom w:val="none" w:sz="0" w:space="0" w:color="auto"/>
                                            <w:right w:val="none" w:sz="0" w:space="0" w:color="auto"/>
                                          </w:divBdr>
                                          <w:divsChild>
                                            <w:div w:id="329604583">
                                              <w:marLeft w:val="0"/>
                                              <w:marRight w:val="0"/>
                                              <w:marTop w:val="0"/>
                                              <w:marBottom w:val="0"/>
                                              <w:divBdr>
                                                <w:top w:val="none" w:sz="0" w:space="0" w:color="auto"/>
                                                <w:left w:val="none" w:sz="0" w:space="0" w:color="auto"/>
                                                <w:bottom w:val="none" w:sz="0" w:space="0" w:color="auto"/>
                                                <w:right w:val="none" w:sz="0" w:space="0" w:color="auto"/>
                                              </w:divBdr>
                                              <w:divsChild>
                                                <w:div w:id="20225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5896485">
      <w:bodyDiv w:val="1"/>
      <w:marLeft w:val="187"/>
      <w:marRight w:val="0"/>
      <w:marTop w:val="0"/>
      <w:marBottom w:val="0"/>
      <w:divBdr>
        <w:top w:val="none" w:sz="0" w:space="0" w:color="auto"/>
        <w:left w:val="none" w:sz="0" w:space="0" w:color="auto"/>
        <w:bottom w:val="none" w:sz="0" w:space="0" w:color="auto"/>
        <w:right w:val="none" w:sz="0" w:space="0" w:color="auto"/>
      </w:divBdr>
      <w:divsChild>
        <w:div w:id="1328829924">
          <w:marLeft w:val="0"/>
          <w:marRight w:val="0"/>
          <w:marTop w:val="0"/>
          <w:marBottom w:val="0"/>
          <w:divBdr>
            <w:top w:val="none" w:sz="0" w:space="0" w:color="auto"/>
            <w:left w:val="none" w:sz="0" w:space="0" w:color="auto"/>
            <w:bottom w:val="none" w:sz="0" w:space="0" w:color="auto"/>
            <w:right w:val="none" w:sz="0" w:space="0" w:color="auto"/>
          </w:divBdr>
          <w:divsChild>
            <w:div w:id="1439450159">
              <w:marLeft w:val="0"/>
              <w:marRight w:val="0"/>
              <w:marTop w:val="0"/>
              <w:marBottom w:val="0"/>
              <w:divBdr>
                <w:top w:val="none" w:sz="0" w:space="0" w:color="auto"/>
                <w:left w:val="none" w:sz="0" w:space="0" w:color="auto"/>
                <w:bottom w:val="none" w:sz="0" w:space="0" w:color="auto"/>
                <w:right w:val="none" w:sz="0" w:space="0" w:color="auto"/>
              </w:divBdr>
              <w:divsChild>
                <w:div w:id="1458795720">
                  <w:marLeft w:val="0"/>
                  <w:marRight w:val="0"/>
                  <w:marTop w:val="0"/>
                  <w:marBottom w:val="0"/>
                  <w:divBdr>
                    <w:top w:val="none" w:sz="0" w:space="0" w:color="auto"/>
                    <w:left w:val="none" w:sz="0" w:space="0" w:color="auto"/>
                    <w:bottom w:val="none" w:sz="0" w:space="0" w:color="auto"/>
                    <w:right w:val="none" w:sz="0" w:space="0" w:color="auto"/>
                  </w:divBdr>
                  <w:divsChild>
                    <w:div w:id="670176863">
                      <w:marLeft w:val="0"/>
                      <w:marRight w:val="0"/>
                      <w:marTop w:val="0"/>
                      <w:marBottom w:val="0"/>
                      <w:divBdr>
                        <w:top w:val="none" w:sz="0" w:space="0" w:color="auto"/>
                        <w:left w:val="none" w:sz="0" w:space="0" w:color="auto"/>
                        <w:bottom w:val="none" w:sz="0" w:space="0" w:color="auto"/>
                        <w:right w:val="none" w:sz="0" w:space="0" w:color="auto"/>
                      </w:divBdr>
                      <w:divsChild>
                        <w:div w:id="1291864724">
                          <w:marLeft w:val="0"/>
                          <w:marRight w:val="0"/>
                          <w:marTop w:val="0"/>
                          <w:marBottom w:val="0"/>
                          <w:divBdr>
                            <w:top w:val="none" w:sz="0" w:space="0" w:color="auto"/>
                            <w:left w:val="none" w:sz="0" w:space="0" w:color="auto"/>
                            <w:bottom w:val="none" w:sz="0" w:space="0" w:color="auto"/>
                            <w:right w:val="none" w:sz="0" w:space="0" w:color="auto"/>
                          </w:divBdr>
                          <w:divsChild>
                            <w:div w:id="1736706244">
                              <w:marLeft w:val="0"/>
                              <w:marRight w:val="0"/>
                              <w:marTop w:val="0"/>
                              <w:marBottom w:val="0"/>
                              <w:divBdr>
                                <w:top w:val="none" w:sz="0" w:space="0" w:color="auto"/>
                                <w:left w:val="none" w:sz="0" w:space="0" w:color="auto"/>
                                <w:bottom w:val="none" w:sz="0" w:space="0" w:color="auto"/>
                                <w:right w:val="none" w:sz="0" w:space="0" w:color="auto"/>
                              </w:divBdr>
                              <w:divsChild>
                                <w:div w:id="250048856">
                                  <w:marLeft w:val="0"/>
                                  <w:marRight w:val="0"/>
                                  <w:marTop w:val="0"/>
                                  <w:marBottom w:val="0"/>
                                  <w:divBdr>
                                    <w:top w:val="none" w:sz="0" w:space="0" w:color="auto"/>
                                    <w:left w:val="none" w:sz="0" w:space="0" w:color="auto"/>
                                    <w:bottom w:val="none" w:sz="0" w:space="0" w:color="auto"/>
                                    <w:right w:val="none" w:sz="0" w:space="0" w:color="auto"/>
                                  </w:divBdr>
                                  <w:divsChild>
                                    <w:div w:id="1979142634">
                                      <w:marLeft w:val="0"/>
                                      <w:marRight w:val="0"/>
                                      <w:marTop w:val="0"/>
                                      <w:marBottom w:val="0"/>
                                      <w:divBdr>
                                        <w:top w:val="none" w:sz="0" w:space="0" w:color="auto"/>
                                        <w:left w:val="none" w:sz="0" w:space="0" w:color="auto"/>
                                        <w:bottom w:val="none" w:sz="0" w:space="0" w:color="auto"/>
                                        <w:right w:val="none" w:sz="0" w:space="0" w:color="auto"/>
                                      </w:divBdr>
                                      <w:divsChild>
                                        <w:div w:id="942762725">
                                          <w:marLeft w:val="0"/>
                                          <w:marRight w:val="0"/>
                                          <w:marTop w:val="0"/>
                                          <w:marBottom w:val="0"/>
                                          <w:divBdr>
                                            <w:top w:val="none" w:sz="0" w:space="0" w:color="auto"/>
                                            <w:left w:val="none" w:sz="0" w:space="0" w:color="auto"/>
                                            <w:bottom w:val="none" w:sz="0" w:space="0" w:color="auto"/>
                                            <w:right w:val="none" w:sz="0" w:space="0" w:color="auto"/>
                                          </w:divBdr>
                                          <w:divsChild>
                                            <w:div w:id="2101170393">
                                              <w:marLeft w:val="0"/>
                                              <w:marRight w:val="0"/>
                                              <w:marTop w:val="0"/>
                                              <w:marBottom w:val="0"/>
                                              <w:divBdr>
                                                <w:top w:val="none" w:sz="0" w:space="0" w:color="auto"/>
                                                <w:left w:val="none" w:sz="0" w:space="0" w:color="auto"/>
                                                <w:bottom w:val="none" w:sz="0" w:space="0" w:color="auto"/>
                                                <w:right w:val="none" w:sz="0" w:space="0" w:color="auto"/>
                                              </w:divBdr>
                                              <w:divsChild>
                                                <w:div w:id="233397608">
                                                  <w:marLeft w:val="0"/>
                                                  <w:marRight w:val="0"/>
                                                  <w:marTop w:val="0"/>
                                                  <w:marBottom w:val="0"/>
                                                  <w:divBdr>
                                                    <w:top w:val="none" w:sz="0" w:space="0" w:color="auto"/>
                                                    <w:left w:val="none" w:sz="0" w:space="0" w:color="auto"/>
                                                    <w:bottom w:val="none" w:sz="0" w:space="0" w:color="auto"/>
                                                    <w:right w:val="none" w:sz="0" w:space="0" w:color="auto"/>
                                                  </w:divBdr>
                                                  <w:divsChild>
                                                    <w:div w:id="1295401946">
                                                      <w:marLeft w:val="0"/>
                                                      <w:marRight w:val="0"/>
                                                      <w:marTop w:val="0"/>
                                                      <w:marBottom w:val="0"/>
                                                      <w:divBdr>
                                                        <w:top w:val="none" w:sz="0" w:space="0" w:color="auto"/>
                                                        <w:left w:val="none" w:sz="0" w:space="0" w:color="auto"/>
                                                        <w:bottom w:val="none" w:sz="0" w:space="0" w:color="auto"/>
                                                        <w:right w:val="none" w:sz="0" w:space="0" w:color="auto"/>
                                                      </w:divBdr>
                                                    </w:div>
                                                    <w:div w:id="760950560">
                                                      <w:marLeft w:val="0"/>
                                                      <w:marRight w:val="0"/>
                                                      <w:marTop w:val="0"/>
                                                      <w:marBottom w:val="0"/>
                                                      <w:divBdr>
                                                        <w:top w:val="none" w:sz="0" w:space="0" w:color="auto"/>
                                                        <w:left w:val="none" w:sz="0" w:space="0" w:color="auto"/>
                                                        <w:bottom w:val="none" w:sz="0" w:space="0" w:color="auto"/>
                                                        <w:right w:val="none" w:sz="0" w:space="0" w:color="auto"/>
                                                      </w:divBdr>
                                                    </w:div>
                                                    <w:div w:id="2059160090">
                                                      <w:marLeft w:val="0"/>
                                                      <w:marRight w:val="0"/>
                                                      <w:marTop w:val="0"/>
                                                      <w:marBottom w:val="0"/>
                                                      <w:divBdr>
                                                        <w:top w:val="none" w:sz="0" w:space="0" w:color="auto"/>
                                                        <w:left w:val="none" w:sz="0" w:space="0" w:color="auto"/>
                                                        <w:bottom w:val="none" w:sz="0" w:space="0" w:color="auto"/>
                                                        <w:right w:val="none" w:sz="0" w:space="0" w:color="auto"/>
                                                      </w:divBdr>
                                                    </w:div>
                                                    <w:div w:id="160395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6562572">
      <w:bodyDiv w:val="1"/>
      <w:marLeft w:val="0"/>
      <w:marRight w:val="0"/>
      <w:marTop w:val="0"/>
      <w:marBottom w:val="0"/>
      <w:divBdr>
        <w:top w:val="none" w:sz="0" w:space="0" w:color="auto"/>
        <w:left w:val="none" w:sz="0" w:space="0" w:color="auto"/>
        <w:bottom w:val="none" w:sz="0" w:space="0" w:color="auto"/>
        <w:right w:val="none" w:sz="0" w:space="0" w:color="auto"/>
      </w:divBdr>
    </w:div>
    <w:div w:id="1484615310">
      <w:bodyDiv w:val="1"/>
      <w:marLeft w:val="0"/>
      <w:marRight w:val="0"/>
      <w:marTop w:val="0"/>
      <w:marBottom w:val="0"/>
      <w:divBdr>
        <w:top w:val="none" w:sz="0" w:space="0" w:color="auto"/>
        <w:left w:val="none" w:sz="0" w:space="0" w:color="auto"/>
        <w:bottom w:val="none" w:sz="0" w:space="0" w:color="auto"/>
        <w:right w:val="none" w:sz="0" w:space="0" w:color="auto"/>
      </w:divBdr>
    </w:div>
    <w:div w:id="1521893250">
      <w:bodyDiv w:val="1"/>
      <w:marLeft w:val="0"/>
      <w:marRight w:val="0"/>
      <w:marTop w:val="0"/>
      <w:marBottom w:val="0"/>
      <w:divBdr>
        <w:top w:val="none" w:sz="0" w:space="0" w:color="auto"/>
        <w:left w:val="none" w:sz="0" w:space="0" w:color="auto"/>
        <w:bottom w:val="none" w:sz="0" w:space="0" w:color="auto"/>
        <w:right w:val="none" w:sz="0" w:space="0" w:color="auto"/>
      </w:divBdr>
      <w:divsChild>
        <w:div w:id="931819947">
          <w:marLeft w:val="0"/>
          <w:marRight w:val="0"/>
          <w:marTop w:val="0"/>
          <w:marBottom w:val="0"/>
          <w:divBdr>
            <w:top w:val="none" w:sz="0" w:space="0" w:color="auto"/>
            <w:left w:val="none" w:sz="0" w:space="0" w:color="auto"/>
            <w:bottom w:val="none" w:sz="0" w:space="0" w:color="auto"/>
            <w:right w:val="none" w:sz="0" w:space="0" w:color="auto"/>
          </w:divBdr>
        </w:div>
        <w:div w:id="1583222971">
          <w:marLeft w:val="0"/>
          <w:marRight w:val="0"/>
          <w:marTop w:val="0"/>
          <w:marBottom w:val="0"/>
          <w:divBdr>
            <w:top w:val="none" w:sz="0" w:space="0" w:color="auto"/>
            <w:left w:val="none" w:sz="0" w:space="0" w:color="auto"/>
            <w:bottom w:val="none" w:sz="0" w:space="0" w:color="auto"/>
            <w:right w:val="none" w:sz="0" w:space="0" w:color="auto"/>
          </w:divBdr>
        </w:div>
      </w:divsChild>
    </w:div>
    <w:div w:id="1622764585">
      <w:bodyDiv w:val="1"/>
      <w:marLeft w:val="0"/>
      <w:marRight w:val="0"/>
      <w:marTop w:val="0"/>
      <w:marBottom w:val="0"/>
      <w:divBdr>
        <w:top w:val="none" w:sz="0" w:space="0" w:color="auto"/>
        <w:left w:val="none" w:sz="0" w:space="0" w:color="auto"/>
        <w:bottom w:val="none" w:sz="0" w:space="0" w:color="auto"/>
        <w:right w:val="none" w:sz="0" w:space="0" w:color="auto"/>
      </w:divBdr>
      <w:divsChild>
        <w:div w:id="258564170">
          <w:marLeft w:val="0"/>
          <w:marRight w:val="0"/>
          <w:marTop w:val="0"/>
          <w:marBottom w:val="0"/>
          <w:divBdr>
            <w:top w:val="none" w:sz="0" w:space="0" w:color="auto"/>
            <w:left w:val="none" w:sz="0" w:space="0" w:color="auto"/>
            <w:bottom w:val="none" w:sz="0" w:space="0" w:color="auto"/>
            <w:right w:val="none" w:sz="0" w:space="0" w:color="auto"/>
          </w:divBdr>
        </w:div>
        <w:div w:id="230042462">
          <w:marLeft w:val="0"/>
          <w:marRight w:val="0"/>
          <w:marTop w:val="0"/>
          <w:marBottom w:val="0"/>
          <w:divBdr>
            <w:top w:val="none" w:sz="0" w:space="0" w:color="auto"/>
            <w:left w:val="none" w:sz="0" w:space="0" w:color="auto"/>
            <w:bottom w:val="none" w:sz="0" w:space="0" w:color="auto"/>
            <w:right w:val="none" w:sz="0" w:space="0" w:color="auto"/>
          </w:divBdr>
        </w:div>
        <w:div w:id="1113791733">
          <w:marLeft w:val="0"/>
          <w:marRight w:val="0"/>
          <w:marTop w:val="0"/>
          <w:marBottom w:val="0"/>
          <w:divBdr>
            <w:top w:val="none" w:sz="0" w:space="0" w:color="auto"/>
            <w:left w:val="none" w:sz="0" w:space="0" w:color="auto"/>
            <w:bottom w:val="none" w:sz="0" w:space="0" w:color="auto"/>
            <w:right w:val="none" w:sz="0" w:space="0" w:color="auto"/>
          </w:divBdr>
        </w:div>
      </w:divsChild>
    </w:div>
    <w:div w:id="1649016890">
      <w:bodyDiv w:val="1"/>
      <w:marLeft w:val="0"/>
      <w:marRight w:val="0"/>
      <w:marTop w:val="0"/>
      <w:marBottom w:val="0"/>
      <w:divBdr>
        <w:top w:val="none" w:sz="0" w:space="0" w:color="auto"/>
        <w:left w:val="none" w:sz="0" w:space="0" w:color="auto"/>
        <w:bottom w:val="none" w:sz="0" w:space="0" w:color="auto"/>
        <w:right w:val="none" w:sz="0" w:space="0" w:color="auto"/>
      </w:divBdr>
    </w:div>
    <w:div w:id="1716614558">
      <w:bodyDiv w:val="1"/>
      <w:marLeft w:val="0"/>
      <w:marRight w:val="0"/>
      <w:marTop w:val="0"/>
      <w:marBottom w:val="0"/>
      <w:divBdr>
        <w:top w:val="none" w:sz="0" w:space="0" w:color="auto"/>
        <w:left w:val="none" w:sz="0" w:space="0" w:color="auto"/>
        <w:bottom w:val="none" w:sz="0" w:space="0" w:color="auto"/>
        <w:right w:val="none" w:sz="0" w:space="0" w:color="auto"/>
      </w:divBdr>
    </w:div>
    <w:div w:id="1746682127">
      <w:bodyDiv w:val="1"/>
      <w:marLeft w:val="0"/>
      <w:marRight w:val="0"/>
      <w:marTop w:val="0"/>
      <w:marBottom w:val="0"/>
      <w:divBdr>
        <w:top w:val="none" w:sz="0" w:space="0" w:color="auto"/>
        <w:left w:val="none" w:sz="0" w:space="0" w:color="auto"/>
        <w:bottom w:val="none" w:sz="0" w:space="0" w:color="auto"/>
        <w:right w:val="none" w:sz="0" w:space="0" w:color="auto"/>
      </w:divBdr>
    </w:div>
    <w:div w:id="1899315680">
      <w:bodyDiv w:val="1"/>
      <w:marLeft w:val="0"/>
      <w:marRight w:val="0"/>
      <w:marTop w:val="0"/>
      <w:marBottom w:val="0"/>
      <w:divBdr>
        <w:top w:val="none" w:sz="0" w:space="0" w:color="auto"/>
        <w:left w:val="none" w:sz="0" w:space="0" w:color="auto"/>
        <w:bottom w:val="none" w:sz="0" w:space="0" w:color="auto"/>
        <w:right w:val="none" w:sz="0" w:space="0" w:color="auto"/>
      </w:divBdr>
    </w:div>
    <w:div w:id="1987738778">
      <w:bodyDiv w:val="1"/>
      <w:marLeft w:val="0"/>
      <w:marRight w:val="0"/>
      <w:marTop w:val="0"/>
      <w:marBottom w:val="0"/>
      <w:divBdr>
        <w:top w:val="none" w:sz="0" w:space="0" w:color="auto"/>
        <w:left w:val="none" w:sz="0" w:space="0" w:color="auto"/>
        <w:bottom w:val="none" w:sz="0" w:space="0" w:color="auto"/>
        <w:right w:val="none" w:sz="0" w:space="0" w:color="auto"/>
      </w:divBdr>
    </w:div>
    <w:div w:id="208463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diagramData" Target="diagrams/data1.xml" Id="rId8" /><Relationship Type="http://schemas.openxmlformats.org/officeDocument/2006/relationships/header" Target="header1.xml" Id="rId13" /><Relationship Type="http://schemas.openxmlformats.org/officeDocument/2006/relationships/styles" Target="styles.xml" Id="rId3" /><Relationship Type="http://schemas.openxmlformats.org/officeDocument/2006/relationships/endnotes" Target="endnotes.xml" Id="rId7" /><Relationship Type="http://schemas.microsoft.com/office/2007/relationships/diagramDrawing" Target="diagrams/drawing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diagramColors" Target="diagrams/colors1.xml"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diagramQuickStyle" Target="diagrams/quickStyle1.xml" Id="rId10" /><Relationship Type="http://schemas.openxmlformats.org/officeDocument/2006/relationships/settings" Target="settings.xml" Id="rId4" /><Relationship Type="http://schemas.openxmlformats.org/officeDocument/2006/relationships/diagramLayout" Target="diagrams/layout1.xml" Id="rId9" /><Relationship Type="http://schemas.openxmlformats.org/officeDocument/2006/relationships/footer" Target="footer1.xml" Id="rId14"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40F1508-0CE4-4A67-A28E-E15C17079EA7}" type="doc">
      <dgm:prSet loTypeId="urn:microsoft.com/office/officeart/2005/8/layout/pyramid1" loCatId="pyramid" qsTypeId="urn:microsoft.com/office/officeart/2005/8/quickstyle/simple1" qsCatId="simple" csTypeId="urn:microsoft.com/office/officeart/2005/8/colors/accent1_2" csCatId="accent1" phldr="1"/>
      <dgm:spPr/>
    </dgm:pt>
    <dgm:pt modelId="{C9C4059E-AB8F-426B-A0E1-A2D1F2C62F47}">
      <dgm:prSet phldrT="[Tekst]" custT="1"/>
      <dgm:spPr/>
      <dgm:t>
        <a:bodyPr/>
        <a:lstStyle/>
        <a:p>
          <a:r>
            <a:rPr lang="nl-NL" sz="800"/>
            <a:t>zachte wettelijke bevoegdheden</a:t>
          </a:r>
        </a:p>
      </dgm:t>
    </dgm:pt>
    <dgm:pt modelId="{F6096D36-7F90-46AC-AB8F-D073DFC0CB6E}" type="parTrans" cxnId="{05B3F176-E8A4-404D-850F-5934C33E270F}">
      <dgm:prSet/>
      <dgm:spPr/>
      <dgm:t>
        <a:bodyPr/>
        <a:lstStyle/>
        <a:p>
          <a:endParaRPr lang="nl-NL"/>
        </a:p>
      </dgm:t>
    </dgm:pt>
    <dgm:pt modelId="{7D8402A1-EE25-4D97-89C0-4EBF75CC3885}" type="sibTrans" cxnId="{05B3F176-E8A4-404D-850F-5934C33E270F}">
      <dgm:prSet/>
      <dgm:spPr/>
      <dgm:t>
        <a:bodyPr/>
        <a:lstStyle/>
        <a:p>
          <a:endParaRPr lang="nl-NL"/>
        </a:p>
      </dgm:t>
    </dgm:pt>
    <dgm:pt modelId="{AD196207-8F85-4891-BD01-E7AE9870DC5F}">
      <dgm:prSet phldrT="[Tekst]" custT="1"/>
      <dgm:spPr/>
      <dgm:t>
        <a:bodyPr/>
        <a:lstStyle/>
        <a:p>
          <a:r>
            <a:rPr lang="nl-NL" sz="800"/>
            <a:t>overreding</a:t>
          </a:r>
        </a:p>
      </dgm:t>
    </dgm:pt>
    <dgm:pt modelId="{99D38AC4-3C58-41CD-BB6D-D339430AAEB9}" type="parTrans" cxnId="{7760674B-06E9-4900-9F13-FE70ECF6663C}">
      <dgm:prSet/>
      <dgm:spPr/>
      <dgm:t>
        <a:bodyPr/>
        <a:lstStyle/>
        <a:p>
          <a:endParaRPr lang="nl-NL"/>
        </a:p>
      </dgm:t>
    </dgm:pt>
    <dgm:pt modelId="{2283E53A-2866-450D-BE05-3998DBD5B17D}" type="sibTrans" cxnId="{7760674B-06E9-4900-9F13-FE70ECF6663C}">
      <dgm:prSet/>
      <dgm:spPr/>
      <dgm:t>
        <a:bodyPr/>
        <a:lstStyle/>
        <a:p>
          <a:endParaRPr lang="nl-NL"/>
        </a:p>
      </dgm:t>
    </dgm:pt>
    <dgm:pt modelId="{75E16A2D-E197-445F-A8EF-BD660A728F15}">
      <dgm:prSet phldrT="[Tekst]" custT="1"/>
      <dgm:spPr/>
      <dgm:t>
        <a:bodyPr/>
        <a:lstStyle/>
        <a:p>
          <a:pPr>
            <a:spcAft>
              <a:spcPts val="0"/>
            </a:spcAft>
          </a:pPr>
          <a:endParaRPr lang="nl-NL" sz="800"/>
        </a:p>
        <a:p>
          <a:pPr>
            <a:spcAft>
              <a:spcPts val="0"/>
            </a:spcAft>
          </a:pPr>
          <a:endParaRPr lang="nl-NL" sz="800"/>
        </a:p>
        <a:p>
          <a:pPr>
            <a:spcAft>
              <a:spcPts val="0"/>
            </a:spcAft>
          </a:pPr>
          <a:r>
            <a:rPr lang="nl-NL" sz="800"/>
            <a:t>harde </a:t>
          </a:r>
        </a:p>
        <a:p>
          <a:pPr>
            <a:spcAft>
              <a:spcPts val="0"/>
            </a:spcAft>
          </a:pPr>
          <a:r>
            <a:rPr lang="nl-NL" sz="800"/>
            <a:t>wettelijke </a:t>
          </a:r>
        </a:p>
        <a:p>
          <a:pPr>
            <a:spcAft>
              <a:spcPts val="0"/>
            </a:spcAft>
          </a:pPr>
          <a:r>
            <a:rPr lang="nl-NL" sz="800"/>
            <a:t>bevoegdheden</a:t>
          </a:r>
        </a:p>
      </dgm:t>
    </dgm:pt>
    <dgm:pt modelId="{DA8135B4-2687-4360-A887-3CDE0B45BBF4}" type="parTrans" cxnId="{87B1EEF6-0508-45F8-AF2E-9E285CD288E1}">
      <dgm:prSet/>
      <dgm:spPr/>
      <dgm:t>
        <a:bodyPr/>
        <a:lstStyle/>
        <a:p>
          <a:endParaRPr lang="nl-NL"/>
        </a:p>
      </dgm:t>
    </dgm:pt>
    <dgm:pt modelId="{16BE13C8-64DA-4F40-B2BB-49E0CCFC4162}" type="sibTrans" cxnId="{87B1EEF6-0508-45F8-AF2E-9E285CD288E1}">
      <dgm:prSet/>
      <dgm:spPr/>
      <dgm:t>
        <a:bodyPr/>
        <a:lstStyle/>
        <a:p>
          <a:endParaRPr lang="nl-NL"/>
        </a:p>
      </dgm:t>
    </dgm:pt>
    <dgm:pt modelId="{B7421B84-56B5-4792-A152-3F633E1701F6}" type="pres">
      <dgm:prSet presAssocID="{640F1508-0CE4-4A67-A28E-E15C17079EA7}" presName="Name0" presStyleCnt="0">
        <dgm:presLayoutVars>
          <dgm:dir/>
          <dgm:animLvl val="lvl"/>
          <dgm:resizeHandles val="exact"/>
        </dgm:presLayoutVars>
      </dgm:prSet>
      <dgm:spPr/>
    </dgm:pt>
    <dgm:pt modelId="{FAF1827A-362D-4E97-8709-59EE62697D70}" type="pres">
      <dgm:prSet presAssocID="{75E16A2D-E197-445F-A8EF-BD660A728F15}" presName="Name8" presStyleCnt="0"/>
      <dgm:spPr/>
    </dgm:pt>
    <dgm:pt modelId="{E279BDD3-E203-4E30-8701-676F69805681}" type="pres">
      <dgm:prSet presAssocID="{75E16A2D-E197-445F-A8EF-BD660A728F15}" presName="level" presStyleLbl="node1" presStyleIdx="0" presStyleCnt="3" custLinFactNeighborX="-1494" custLinFactNeighborY="-24171">
        <dgm:presLayoutVars>
          <dgm:chMax val="1"/>
          <dgm:bulletEnabled val="1"/>
        </dgm:presLayoutVars>
      </dgm:prSet>
      <dgm:spPr/>
    </dgm:pt>
    <dgm:pt modelId="{6EBBC0A2-CA8B-4DCF-80DA-9EDBB0F4B7A3}" type="pres">
      <dgm:prSet presAssocID="{75E16A2D-E197-445F-A8EF-BD660A728F15}" presName="levelTx" presStyleLbl="revTx" presStyleIdx="0" presStyleCnt="0">
        <dgm:presLayoutVars>
          <dgm:chMax val="1"/>
          <dgm:bulletEnabled val="1"/>
        </dgm:presLayoutVars>
      </dgm:prSet>
      <dgm:spPr/>
    </dgm:pt>
    <dgm:pt modelId="{94BF37E9-BEC8-4E65-9A2F-EC942A59E527}" type="pres">
      <dgm:prSet presAssocID="{C9C4059E-AB8F-426B-A0E1-A2D1F2C62F47}" presName="Name8" presStyleCnt="0"/>
      <dgm:spPr/>
    </dgm:pt>
    <dgm:pt modelId="{3F6053B6-469F-445E-96B7-5C4AB2C51066}" type="pres">
      <dgm:prSet presAssocID="{C9C4059E-AB8F-426B-A0E1-A2D1F2C62F47}" presName="level" presStyleLbl="node1" presStyleIdx="1" presStyleCnt="3" custScaleY="75000">
        <dgm:presLayoutVars>
          <dgm:chMax val="1"/>
          <dgm:bulletEnabled val="1"/>
        </dgm:presLayoutVars>
      </dgm:prSet>
      <dgm:spPr/>
    </dgm:pt>
    <dgm:pt modelId="{3CE3AE44-BEF0-4709-AF03-3A70621501EB}" type="pres">
      <dgm:prSet presAssocID="{C9C4059E-AB8F-426B-A0E1-A2D1F2C62F47}" presName="levelTx" presStyleLbl="revTx" presStyleIdx="0" presStyleCnt="0">
        <dgm:presLayoutVars>
          <dgm:chMax val="1"/>
          <dgm:bulletEnabled val="1"/>
        </dgm:presLayoutVars>
      </dgm:prSet>
      <dgm:spPr/>
    </dgm:pt>
    <dgm:pt modelId="{7914A2E3-AD50-42A5-9FB4-626748A85862}" type="pres">
      <dgm:prSet presAssocID="{AD196207-8F85-4891-BD01-E7AE9870DC5F}" presName="Name8" presStyleCnt="0"/>
      <dgm:spPr/>
    </dgm:pt>
    <dgm:pt modelId="{71D07438-6413-42BD-9C16-7CEE2F1E1202}" type="pres">
      <dgm:prSet presAssocID="{AD196207-8F85-4891-BD01-E7AE9870DC5F}" presName="level" presStyleLbl="node1" presStyleIdx="2" presStyleCnt="3" custScaleY="63869">
        <dgm:presLayoutVars>
          <dgm:chMax val="1"/>
          <dgm:bulletEnabled val="1"/>
        </dgm:presLayoutVars>
      </dgm:prSet>
      <dgm:spPr/>
    </dgm:pt>
    <dgm:pt modelId="{7D1CFA82-5BC1-460F-84F3-F50FE446A483}" type="pres">
      <dgm:prSet presAssocID="{AD196207-8F85-4891-BD01-E7AE9870DC5F}" presName="levelTx" presStyleLbl="revTx" presStyleIdx="0" presStyleCnt="0">
        <dgm:presLayoutVars>
          <dgm:chMax val="1"/>
          <dgm:bulletEnabled val="1"/>
        </dgm:presLayoutVars>
      </dgm:prSet>
      <dgm:spPr/>
    </dgm:pt>
  </dgm:ptLst>
  <dgm:cxnLst>
    <dgm:cxn modelId="{83865A26-52FD-4E7E-94F9-DFE274DC0F8A}" type="presOf" srcId="{AD196207-8F85-4891-BD01-E7AE9870DC5F}" destId="{7D1CFA82-5BC1-460F-84F3-F50FE446A483}" srcOrd="1" destOrd="0" presId="urn:microsoft.com/office/officeart/2005/8/layout/pyramid1"/>
    <dgm:cxn modelId="{9ABBE933-4E87-494E-8F5B-A848514F6096}" type="presOf" srcId="{75E16A2D-E197-445F-A8EF-BD660A728F15}" destId="{E279BDD3-E203-4E30-8701-676F69805681}" srcOrd="0" destOrd="0" presId="urn:microsoft.com/office/officeart/2005/8/layout/pyramid1"/>
    <dgm:cxn modelId="{7760674B-06E9-4900-9F13-FE70ECF6663C}" srcId="{640F1508-0CE4-4A67-A28E-E15C17079EA7}" destId="{AD196207-8F85-4891-BD01-E7AE9870DC5F}" srcOrd="2" destOrd="0" parTransId="{99D38AC4-3C58-41CD-BB6D-D339430AAEB9}" sibTransId="{2283E53A-2866-450D-BE05-3998DBD5B17D}"/>
    <dgm:cxn modelId="{05B3F176-E8A4-404D-850F-5934C33E270F}" srcId="{640F1508-0CE4-4A67-A28E-E15C17079EA7}" destId="{C9C4059E-AB8F-426B-A0E1-A2D1F2C62F47}" srcOrd="1" destOrd="0" parTransId="{F6096D36-7F90-46AC-AB8F-D073DFC0CB6E}" sibTransId="{7D8402A1-EE25-4D97-89C0-4EBF75CC3885}"/>
    <dgm:cxn modelId="{20E7AD57-0981-4B2F-8BEE-1CC4DEB0BF67}" type="presOf" srcId="{AD196207-8F85-4891-BD01-E7AE9870DC5F}" destId="{71D07438-6413-42BD-9C16-7CEE2F1E1202}" srcOrd="0" destOrd="0" presId="urn:microsoft.com/office/officeart/2005/8/layout/pyramid1"/>
    <dgm:cxn modelId="{907B7059-82F3-48B4-B433-B76DE04C4D4B}" type="presOf" srcId="{75E16A2D-E197-445F-A8EF-BD660A728F15}" destId="{6EBBC0A2-CA8B-4DCF-80DA-9EDBB0F4B7A3}" srcOrd="1" destOrd="0" presId="urn:microsoft.com/office/officeart/2005/8/layout/pyramid1"/>
    <dgm:cxn modelId="{4A5D9081-C963-4D70-918D-4F8991D432CE}" type="presOf" srcId="{640F1508-0CE4-4A67-A28E-E15C17079EA7}" destId="{B7421B84-56B5-4792-A152-3F633E1701F6}" srcOrd="0" destOrd="0" presId="urn:microsoft.com/office/officeart/2005/8/layout/pyramid1"/>
    <dgm:cxn modelId="{B8F0298A-6E61-491C-B6DF-7E273AB8450D}" type="presOf" srcId="{C9C4059E-AB8F-426B-A0E1-A2D1F2C62F47}" destId="{3F6053B6-469F-445E-96B7-5C4AB2C51066}" srcOrd="0" destOrd="0" presId="urn:microsoft.com/office/officeart/2005/8/layout/pyramid1"/>
    <dgm:cxn modelId="{FE442AE7-B408-4FCE-9599-B30526B31286}" type="presOf" srcId="{C9C4059E-AB8F-426B-A0E1-A2D1F2C62F47}" destId="{3CE3AE44-BEF0-4709-AF03-3A70621501EB}" srcOrd="1" destOrd="0" presId="urn:microsoft.com/office/officeart/2005/8/layout/pyramid1"/>
    <dgm:cxn modelId="{87B1EEF6-0508-45F8-AF2E-9E285CD288E1}" srcId="{640F1508-0CE4-4A67-A28E-E15C17079EA7}" destId="{75E16A2D-E197-445F-A8EF-BD660A728F15}" srcOrd="0" destOrd="0" parTransId="{DA8135B4-2687-4360-A887-3CDE0B45BBF4}" sibTransId="{16BE13C8-64DA-4F40-B2BB-49E0CCFC4162}"/>
    <dgm:cxn modelId="{D48150BD-7252-471F-AE7F-6E4C8E4FD906}" type="presParOf" srcId="{B7421B84-56B5-4792-A152-3F633E1701F6}" destId="{FAF1827A-362D-4E97-8709-59EE62697D70}" srcOrd="0" destOrd="0" presId="urn:microsoft.com/office/officeart/2005/8/layout/pyramid1"/>
    <dgm:cxn modelId="{35003F18-3611-47E1-BDC8-8740C928584B}" type="presParOf" srcId="{FAF1827A-362D-4E97-8709-59EE62697D70}" destId="{E279BDD3-E203-4E30-8701-676F69805681}" srcOrd="0" destOrd="0" presId="urn:microsoft.com/office/officeart/2005/8/layout/pyramid1"/>
    <dgm:cxn modelId="{0D61662B-07E4-4F7E-9DF6-E0FDDF452BDF}" type="presParOf" srcId="{FAF1827A-362D-4E97-8709-59EE62697D70}" destId="{6EBBC0A2-CA8B-4DCF-80DA-9EDBB0F4B7A3}" srcOrd="1" destOrd="0" presId="urn:microsoft.com/office/officeart/2005/8/layout/pyramid1"/>
    <dgm:cxn modelId="{CACF3196-401E-4D60-A684-C57CDB87E5DB}" type="presParOf" srcId="{B7421B84-56B5-4792-A152-3F633E1701F6}" destId="{94BF37E9-BEC8-4E65-9A2F-EC942A59E527}" srcOrd="1" destOrd="0" presId="urn:microsoft.com/office/officeart/2005/8/layout/pyramid1"/>
    <dgm:cxn modelId="{4E13DA61-732E-4696-A029-B2A0351F3A3A}" type="presParOf" srcId="{94BF37E9-BEC8-4E65-9A2F-EC942A59E527}" destId="{3F6053B6-469F-445E-96B7-5C4AB2C51066}" srcOrd="0" destOrd="0" presId="urn:microsoft.com/office/officeart/2005/8/layout/pyramid1"/>
    <dgm:cxn modelId="{A8E5CA76-7A0A-4EA8-B71B-B04D98E33CE6}" type="presParOf" srcId="{94BF37E9-BEC8-4E65-9A2F-EC942A59E527}" destId="{3CE3AE44-BEF0-4709-AF03-3A70621501EB}" srcOrd="1" destOrd="0" presId="urn:microsoft.com/office/officeart/2005/8/layout/pyramid1"/>
    <dgm:cxn modelId="{6088E3D3-CD46-4458-BB40-53E0497B33FE}" type="presParOf" srcId="{B7421B84-56B5-4792-A152-3F633E1701F6}" destId="{7914A2E3-AD50-42A5-9FB4-626748A85862}" srcOrd="2" destOrd="0" presId="urn:microsoft.com/office/officeart/2005/8/layout/pyramid1"/>
    <dgm:cxn modelId="{61080683-A06A-4A3B-AAF9-093111EAAA64}" type="presParOf" srcId="{7914A2E3-AD50-42A5-9FB4-626748A85862}" destId="{71D07438-6413-42BD-9C16-7CEE2F1E1202}" srcOrd="0" destOrd="0" presId="urn:microsoft.com/office/officeart/2005/8/layout/pyramid1"/>
    <dgm:cxn modelId="{F634157E-70D7-4C67-8118-2FB62EB6E5B7}" type="presParOf" srcId="{7914A2E3-AD50-42A5-9FB4-626748A85862}" destId="{7D1CFA82-5BC1-460F-84F3-F50FE446A483}" srcOrd="1" destOrd="0" presId="urn:microsoft.com/office/officeart/2005/8/layout/pyramid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79BDD3-E203-4E30-8701-676F69805681}">
      <dsp:nvSpPr>
        <dsp:cNvPr id="0" name=""/>
        <dsp:cNvSpPr/>
      </dsp:nvSpPr>
      <dsp:spPr>
        <a:xfrm>
          <a:off x="818164" y="0"/>
          <a:ext cx="1204237" cy="713769"/>
        </a:xfrm>
        <a:prstGeom prst="trapezoid">
          <a:avLst>
            <a:gd name="adj" fmla="val 84358"/>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ts val="0"/>
            </a:spcAft>
            <a:buNone/>
          </a:pPr>
          <a:endParaRPr lang="nl-NL" sz="800" kern="1200"/>
        </a:p>
        <a:p>
          <a:pPr marL="0" lvl="0" indent="0" algn="ctr" defTabSz="355600">
            <a:lnSpc>
              <a:spcPct val="90000"/>
            </a:lnSpc>
            <a:spcBef>
              <a:spcPct val="0"/>
            </a:spcBef>
            <a:spcAft>
              <a:spcPts val="0"/>
            </a:spcAft>
            <a:buNone/>
          </a:pPr>
          <a:endParaRPr lang="nl-NL" sz="800" kern="1200"/>
        </a:p>
        <a:p>
          <a:pPr marL="0" lvl="0" indent="0" algn="ctr" defTabSz="355600">
            <a:lnSpc>
              <a:spcPct val="90000"/>
            </a:lnSpc>
            <a:spcBef>
              <a:spcPct val="0"/>
            </a:spcBef>
            <a:spcAft>
              <a:spcPts val="0"/>
            </a:spcAft>
            <a:buNone/>
          </a:pPr>
          <a:r>
            <a:rPr lang="nl-NL" sz="800" kern="1200"/>
            <a:t>harde </a:t>
          </a:r>
        </a:p>
        <a:p>
          <a:pPr marL="0" lvl="0" indent="0" algn="ctr" defTabSz="355600">
            <a:lnSpc>
              <a:spcPct val="90000"/>
            </a:lnSpc>
            <a:spcBef>
              <a:spcPct val="0"/>
            </a:spcBef>
            <a:spcAft>
              <a:spcPts val="0"/>
            </a:spcAft>
            <a:buNone/>
          </a:pPr>
          <a:r>
            <a:rPr lang="nl-NL" sz="800" kern="1200"/>
            <a:t>wettelijke </a:t>
          </a:r>
        </a:p>
        <a:p>
          <a:pPr marL="0" lvl="0" indent="0" algn="ctr" defTabSz="355600">
            <a:lnSpc>
              <a:spcPct val="90000"/>
            </a:lnSpc>
            <a:spcBef>
              <a:spcPct val="0"/>
            </a:spcBef>
            <a:spcAft>
              <a:spcPts val="0"/>
            </a:spcAft>
            <a:buNone/>
          </a:pPr>
          <a:r>
            <a:rPr lang="nl-NL" sz="800" kern="1200"/>
            <a:t>bevoegdheden</a:t>
          </a:r>
        </a:p>
      </dsp:txBody>
      <dsp:txXfrm>
        <a:off x="818164" y="0"/>
        <a:ext cx="1204237" cy="713769"/>
      </dsp:txXfrm>
    </dsp:sp>
    <dsp:sp modelId="{3F6053B6-469F-445E-96B7-5C4AB2C51066}">
      <dsp:nvSpPr>
        <dsp:cNvPr id="0" name=""/>
        <dsp:cNvSpPr/>
      </dsp:nvSpPr>
      <dsp:spPr>
        <a:xfrm>
          <a:off x="384567" y="713769"/>
          <a:ext cx="2107415" cy="535327"/>
        </a:xfrm>
        <a:prstGeom prst="trapezoid">
          <a:avLst>
            <a:gd name="adj" fmla="val 84358"/>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nl-NL" sz="800" kern="1200"/>
            <a:t>zachte wettelijke bevoegdheden</a:t>
          </a:r>
        </a:p>
      </dsp:txBody>
      <dsp:txXfrm>
        <a:off x="753364" y="713769"/>
        <a:ext cx="1369820" cy="535327"/>
      </dsp:txXfrm>
    </dsp:sp>
    <dsp:sp modelId="{71D07438-6413-42BD-9C16-7CEE2F1E1202}">
      <dsp:nvSpPr>
        <dsp:cNvPr id="0" name=""/>
        <dsp:cNvSpPr/>
      </dsp:nvSpPr>
      <dsp:spPr>
        <a:xfrm>
          <a:off x="0" y="1249097"/>
          <a:ext cx="2876550" cy="455877"/>
        </a:xfrm>
        <a:prstGeom prst="trapezoid">
          <a:avLst>
            <a:gd name="adj" fmla="val 84358"/>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nl-NL" sz="800" kern="1200"/>
            <a:t>overreding</a:t>
          </a:r>
        </a:p>
      </dsp:txBody>
      <dsp:txXfrm>
        <a:off x="503396" y="1249097"/>
        <a:ext cx="1869757" cy="455877"/>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c7cb471-bbb9-48fe-b85f-0bdddd48d306}" enabled="1" method="Standard" siteId="{9ecbd628-0072-405d-8567-32c6750b0d3e}" removed="0"/>
</clbl:labelList>
</file>

<file path=docProps/app.xml><?xml version="1.0" encoding="utf-8"?>
<ap:Properties xmlns:vt="http://schemas.openxmlformats.org/officeDocument/2006/docPropsVTypes" xmlns:ap="http://schemas.openxmlformats.org/officeDocument/2006/extended-properties">
  <ap:Pages>3</ap:Pages>
  <ap:Words>5270</ap:Words>
  <ap:Characters>28986</ap:Characters>
  <ap:DocSecurity>0</ap:DocSecurity>
  <ap:Lines>241</ap:Lines>
  <ap:Paragraphs>68</ap:Paragraphs>
  <ap:ScaleCrop>false</ap:ScaleCrop>
  <ap:HeadingPairs>
    <vt:vector baseType="variant" size="2">
      <vt:variant>
        <vt:lpstr>Titel</vt:lpstr>
      </vt:variant>
      <vt:variant>
        <vt:i4>1</vt:i4>
      </vt:variant>
    </vt:vector>
  </ap:HeadingPairs>
  <ap:TitlesOfParts>
    <vt:vector baseType="lpstr" size="1">
      <vt:lpstr>Toezicht op afstand</vt:lpstr>
    </vt:vector>
  </ap:TitlesOfParts>
  <ap:LinksUpToDate>false</ap:LinksUpToDate>
  <ap:CharactersWithSpaces>34188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lastModifiedBy/>
  <revision/>
  <lastPrinted>2019-06-17T14:12:00.0000000Z</lastPrinted>
  <dcterms:created xsi:type="dcterms:W3CDTF">2025-01-30T11:11:00.0000000Z</dcterms:created>
  <dcterms:modified xsi:type="dcterms:W3CDTF">2025-01-30T11:11:00.0000000Z</dcterms:modified>
  <dc:description>------------------------</dc:description>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2024-07-05T14:12:40Z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d37736ea-4b8e-4645-a264-16357a037e72</vt:lpwstr>
  </property>
  <property fmtid="{D5CDD505-2E9C-101B-9397-08002B2CF9AE}" pid="8" name="MSIP_Label_6800fede-0e59-47ad-af95-4e63bbdb932d_ContentBits">
    <vt:lpwstr>0</vt:lpwstr>
  </property>
  <property fmtid="{D5CDD505-2E9C-101B-9397-08002B2CF9AE}" pid="9" name="ContentTypeId">
    <vt:lpwstr>0x0101001A9AF98CE4D646E7BAD5E0A615FBC45700531684C5AA7845B1B8AD3BF3F8A4C4F8008F62115CBD2FAD4FBD394A8294A0E778</vt:lpwstr>
  </property>
  <property fmtid="{D5CDD505-2E9C-101B-9397-08002B2CF9AE}" pid="10" name="lda0e043566dcacd3d66b94d90c3f946">
    <vt:lpwstr>Lopend|9178452f-7c5d-4617-8a9d-cb6cbffbcbfc</vt:lpwstr>
  </property>
  <property fmtid="{D5CDD505-2E9C-101B-9397-08002B2CF9AE}" pid="11" name="_dlc_DocIdItemGuid">
    <vt:lpwstr>04c1daae-3aa3-419c-83ce-cf24158953ac</vt:lpwstr>
  </property>
  <property fmtid="{D5CDD505-2E9C-101B-9397-08002B2CF9AE}" pid="12" name="pb215024667aa19db0fece0571538ced">
    <vt:lpwstr/>
  </property>
  <property fmtid="{D5CDD505-2E9C-101B-9397-08002B2CF9AE}" pid="13" name="DNB_Taaklabel">
    <vt:lpwstr>71;#Projecten|e27429b2-bcd5-4981-95e3-dbbd75682ead</vt:lpwstr>
  </property>
  <property fmtid="{D5CDD505-2E9C-101B-9397-08002B2CF9AE}" pid="14" name="MediaServiceImageTags">
    <vt:lpwstr/>
  </property>
  <property fmtid="{D5CDD505-2E9C-101B-9397-08002B2CF9AE}" pid="15" name="DNB_Sector1">
    <vt:lpwstr/>
  </property>
  <property fmtid="{D5CDD505-2E9C-101B-9397-08002B2CF9AE}" pid="16" name="DNB_Afdeling">
    <vt:lpwstr/>
  </property>
  <property fmtid="{D5CDD505-2E9C-101B-9397-08002B2CF9AE}" pid="17" name="DNB_GremiumInstituut_2">
    <vt:lpwstr/>
  </property>
  <property fmtid="{D5CDD505-2E9C-101B-9397-08002B2CF9AE}" pid="18" name="DNB_Jaar">
    <vt:lpwstr/>
  </property>
  <property fmtid="{D5CDD505-2E9C-101B-9397-08002B2CF9AE}" pid="19" name="DNB_Status">
    <vt:lpwstr>4;#Lopend|9178452f-7c5d-4617-8a9d-cb6cbffbcbfc</vt:lpwstr>
  </property>
  <property fmtid="{D5CDD505-2E9C-101B-9397-08002B2CF9AE}" pid="20" name="fa46e8b1d6f9e6e4fd0a26f962031baf">
    <vt:lpwstr/>
  </property>
  <property fmtid="{D5CDD505-2E9C-101B-9397-08002B2CF9AE}" pid="21" name="DNB_Divisie">
    <vt:lpwstr>3;#Toezicht Beleid|fb8980bc-b51a-40b3-9009-74f01b5ae82c</vt:lpwstr>
  </property>
</Properties>
</file>