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37AE" w:rsidR="006078A7" w:rsidP="006078A7" w:rsidRDefault="006078A7" w14:paraId="36481DAD" w14:textId="77777777">
      <w:pPr>
        <w:pStyle w:val="Geenafstand"/>
        <w:rPr>
          <w:b/>
        </w:rPr>
      </w:pPr>
      <w:bookmarkStart w:name="_GoBack" w:id="0"/>
      <w:bookmarkEnd w:id="0"/>
      <w:r w:rsidRPr="00FE37AE">
        <w:rPr>
          <w:b/>
        </w:rPr>
        <w:t>Bijlage: toelichting (beperkt) kwetsbare gebouwen</w:t>
      </w:r>
    </w:p>
    <w:p w:rsidRPr="00CD00DB" w:rsidR="006078A7" w:rsidP="006078A7" w:rsidRDefault="006078A7" w14:paraId="07A750BD" w14:textId="77777777">
      <w:pPr>
        <w:pStyle w:val="Geenafstand"/>
      </w:pPr>
    </w:p>
    <w:p w:rsidR="006078A7" w:rsidP="006078A7" w:rsidRDefault="00E24C7E" w14:paraId="38D122CD" w14:textId="2BA1792C">
      <w:pPr>
        <w:pStyle w:val="Geenafstand"/>
      </w:pPr>
      <w:r>
        <w:t xml:space="preserve">Met de term </w:t>
      </w:r>
      <w:r w:rsidRPr="00CD00DB" w:rsidR="006078A7">
        <w:rPr>
          <w:b/>
          <w:bCs/>
          <w:color w:val="4F81BD" w:themeColor="accent1"/>
        </w:rPr>
        <w:t>beperkt kwetsbare gebouwen</w:t>
      </w:r>
      <w:r w:rsidRPr="00CD00DB" w:rsidR="006078A7">
        <w:rPr>
          <w:color w:val="4F81BD" w:themeColor="accent1"/>
        </w:rPr>
        <w:t xml:space="preserve"> </w:t>
      </w:r>
      <w:r w:rsidR="006078A7">
        <w:t>wordt bedoeld:</w:t>
      </w:r>
    </w:p>
    <w:p w:rsidRPr="00CD00DB" w:rsidR="006078A7" w:rsidP="006078A7" w:rsidRDefault="006078A7" w14:paraId="4A30D888" w14:textId="39796F62">
      <w:pPr>
        <w:pStyle w:val="Geenafstand"/>
      </w:pPr>
      <w:r w:rsidRPr="00CD00DB">
        <w:t xml:space="preserve">Een gebouw met </w:t>
      </w:r>
      <w:r w:rsidR="00E24C7E">
        <w:t>éé</w:t>
      </w:r>
      <w:r w:rsidRPr="00CD00DB">
        <w:t>n va</w:t>
      </w:r>
      <w:r w:rsidR="0032124C">
        <w:t>n de volgende gebruiksfuncties:</w:t>
      </w:r>
    </w:p>
    <w:p w:rsidRPr="00CD00DB" w:rsidR="006078A7" w:rsidP="006078A7" w:rsidRDefault="006078A7" w14:paraId="4EEFACE0" w14:textId="77777777">
      <w:pPr>
        <w:numPr>
          <w:ilvl w:val="0"/>
          <w:numId w:val="1"/>
        </w:numPr>
        <w:spacing w:after="0" w:line="240" w:lineRule="auto"/>
        <w:jc w:val="both"/>
      </w:pPr>
      <w:r w:rsidRPr="00CD00DB">
        <w:t>een woonfunctie, met uitzondering van een woonfunctie in een woongebouw en een woonfunctie voor 24-uurszorg, als het gaat om een woonfunctie:</w:t>
      </w:r>
    </w:p>
    <w:p w:rsidRPr="00CD00DB" w:rsidR="006078A7" w:rsidP="006078A7" w:rsidRDefault="006078A7" w14:paraId="5BC7F48D" w14:textId="77777777">
      <w:pPr>
        <w:numPr>
          <w:ilvl w:val="1"/>
          <w:numId w:val="1"/>
        </w:numPr>
        <w:spacing w:after="0" w:line="240" w:lineRule="auto"/>
        <w:jc w:val="both"/>
      </w:pPr>
      <w:r w:rsidRPr="00CD00DB">
        <w:t>op een locatie met een dichtheid van ten hoogste twee woningen, woonschepen of woonwagens per ha;</w:t>
      </w:r>
    </w:p>
    <w:p w:rsidRPr="00CD00DB" w:rsidR="006078A7" w:rsidP="006078A7" w:rsidRDefault="006078A7" w14:paraId="20FDA3A2" w14:textId="77777777">
      <w:pPr>
        <w:numPr>
          <w:ilvl w:val="1"/>
          <w:numId w:val="1"/>
        </w:numPr>
        <w:spacing w:after="0" w:line="240" w:lineRule="auto"/>
        <w:jc w:val="both"/>
      </w:pPr>
      <w:r w:rsidRPr="00CD00DB">
        <w:t>om te worden gebruikt in het kader van de uitoefening van een beroep of bedrijf; of</w:t>
      </w:r>
    </w:p>
    <w:p w:rsidR="006078A7" w:rsidP="006078A7" w:rsidRDefault="006078A7" w14:paraId="3D7B5299" w14:textId="77777777">
      <w:pPr>
        <w:numPr>
          <w:ilvl w:val="1"/>
          <w:numId w:val="1"/>
        </w:numPr>
        <w:spacing w:after="0" w:line="240" w:lineRule="auto"/>
        <w:jc w:val="both"/>
      </w:pPr>
      <w:r w:rsidRPr="00CD00DB">
        <w:t>die onderdeel is van lintbebouwing die loodrecht of nagenoeg loodrecht is gelegen op een buisleiding als bedoeld in </w:t>
      </w:r>
      <w:hyperlink w:history="1" r:id="rId7">
        <w:r w:rsidRPr="00CD00DB">
          <w:rPr>
            <w:rStyle w:val="Hyperlink"/>
          </w:rPr>
          <w:t>artikel 3.101, eerste lid, onder a tot en met d, van het Besluit activiteiten leefomgeving</w:t>
        </w:r>
      </w:hyperlink>
      <w:r w:rsidRPr="00CD00DB">
        <w:t>, voor zover het gaat om het risico op een ongewoon voorval veroorzaakt door die activiteit;</w:t>
      </w:r>
    </w:p>
    <w:p w:rsidRPr="00CD00DB" w:rsidR="006078A7" w:rsidP="006078A7" w:rsidRDefault="006078A7" w14:paraId="3F1C7BC4" w14:textId="77777777">
      <w:pPr>
        <w:numPr>
          <w:ilvl w:val="0"/>
          <w:numId w:val="1"/>
        </w:numPr>
        <w:spacing w:after="0" w:line="240" w:lineRule="auto"/>
        <w:jc w:val="both"/>
      </w:pPr>
      <w:r w:rsidRPr="00CD00DB">
        <w:t>een bijeenkomstfunctie, met uitzondering van een bijeenkomstfunctie:</w:t>
      </w:r>
    </w:p>
    <w:p w:rsidRPr="00CD00DB" w:rsidR="006078A7" w:rsidP="006078A7" w:rsidRDefault="006078A7" w14:paraId="42C4F348" w14:textId="77777777">
      <w:pPr>
        <w:numPr>
          <w:ilvl w:val="1"/>
          <w:numId w:val="1"/>
        </w:numPr>
        <w:spacing w:after="0" w:line="240" w:lineRule="auto"/>
        <w:jc w:val="both"/>
      </w:pPr>
      <w:r w:rsidRPr="00CD00DB">
        <w:t>voor kinderopvang;</w:t>
      </w:r>
    </w:p>
    <w:p w:rsidRPr="00CD00DB" w:rsidR="006078A7" w:rsidP="006078A7" w:rsidRDefault="006078A7" w14:paraId="18B5EC46" w14:textId="77777777">
      <w:pPr>
        <w:numPr>
          <w:ilvl w:val="1"/>
          <w:numId w:val="1"/>
        </w:numPr>
        <w:spacing w:after="0" w:line="240" w:lineRule="auto"/>
        <w:jc w:val="both"/>
      </w:pPr>
      <w:r w:rsidRPr="00CD00DB">
        <w:t>voor dagverblijf van personen met een lichamelijke of geestelijke beperking;</w:t>
      </w:r>
    </w:p>
    <w:p w:rsidRPr="00CD00DB" w:rsidR="006078A7" w:rsidP="006078A7" w:rsidRDefault="006078A7" w14:paraId="1635E81D" w14:textId="77777777">
      <w:pPr>
        <w:numPr>
          <w:ilvl w:val="1"/>
          <w:numId w:val="1"/>
        </w:numPr>
        <w:spacing w:after="0" w:line="240" w:lineRule="auto"/>
        <w:jc w:val="both"/>
      </w:pPr>
      <w:r w:rsidRPr="00CD00DB">
        <w:t>waarin doorgaans een groot aantal personen gedurende een groot gedeelte van de dag aanwezig is; of</w:t>
      </w:r>
    </w:p>
    <w:p w:rsidR="006078A7" w:rsidP="006078A7" w:rsidRDefault="006078A7" w14:paraId="2D165A3B" w14:textId="77777777">
      <w:pPr>
        <w:numPr>
          <w:ilvl w:val="1"/>
          <w:numId w:val="1"/>
        </w:numPr>
        <w:spacing w:after="0" w:line="240" w:lineRule="auto"/>
        <w:jc w:val="both"/>
      </w:pPr>
      <w:r w:rsidRPr="00CD00DB">
        <w:t>die een nevengebruiksfunctie is van een gebruiksfunctie als bedoeld onder E;</w:t>
      </w:r>
    </w:p>
    <w:p w:rsidRPr="00CD00DB" w:rsidR="006078A7" w:rsidP="006078A7" w:rsidRDefault="006078A7" w14:paraId="4D905E07" w14:textId="77777777">
      <w:pPr>
        <w:numPr>
          <w:ilvl w:val="0"/>
          <w:numId w:val="1"/>
        </w:numPr>
        <w:spacing w:after="0" w:line="240" w:lineRule="auto"/>
        <w:jc w:val="both"/>
      </w:pPr>
      <w:r w:rsidRPr="00CD00DB">
        <w:t>een industriefunctie als bedoeld in </w:t>
      </w:r>
      <w:hyperlink w:history="1" r:id="rId8">
        <w:r w:rsidRPr="00CD00DB">
          <w:rPr>
            <w:rStyle w:val="Hyperlink"/>
          </w:rPr>
          <w:t>bijlage I bij het Besluit bouwwerken leefomgeving</w:t>
        </w:r>
      </w:hyperlink>
      <w:r w:rsidRPr="00CD00DB">
        <w:t>, met uitzondering van gebouwen waarin doorgaans een groot aantal personen gedurende een groot gedeelte van de dag aanwezig is;</w:t>
      </w:r>
    </w:p>
    <w:p w:rsidRPr="00CD00DB" w:rsidR="006078A7" w:rsidP="006078A7" w:rsidRDefault="006078A7" w14:paraId="36740F28" w14:textId="77777777">
      <w:pPr>
        <w:numPr>
          <w:ilvl w:val="0"/>
          <w:numId w:val="1"/>
        </w:numPr>
        <w:spacing w:after="0" w:line="240" w:lineRule="auto"/>
        <w:jc w:val="both"/>
      </w:pPr>
      <w:r w:rsidRPr="00CD00DB">
        <w:t>een kantoorfunctie met een bruto-vloeroppervlakte van ten hoogste 1.500 m</w:t>
      </w:r>
      <w:r w:rsidRPr="00CD00DB">
        <w:rPr>
          <w:vertAlign w:val="superscript"/>
        </w:rPr>
        <w:t>2</w:t>
      </w:r>
      <w:r w:rsidRPr="00CD00DB">
        <w:t>;</w:t>
      </w:r>
    </w:p>
    <w:p w:rsidRPr="00CD00DB" w:rsidR="006078A7" w:rsidP="006078A7" w:rsidRDefault="006078A7" w14:paraId="1D76387E" w14:textId="77777777">
      <w:pPr>
        <w:numPr>
          <w:ilvl w:val="0"/>
          <w:numId w:val="1"/>
        </w:numPr>
        <w:spacing w:after="0" w:line="240" w:lineRule="auto"/>
        <w:jc w:val="both"/>
      </w:pPr>
      <w:r w:rsidRPr="00CD00DB">
        <w:t>een logiesfunctie als bedoeld in </w:t>
      </w:r>
      <w:hyperlink w:history="1" r:id="rId9">
        <w:r w:rsidRPr="00CD00DB">
          <w:rPr>
            <w:rStyle w:val="Hyperlink"/>
          </w:rPr>
          <w:t>bijlage I bij het Besluit bouwwerken leefomgeving</w:t>
        </w:r>
      </w:hyperlink>
      <w:r w:rsidRPr="00CD00DB">
        <w:t>:</w:t>
      </w:r>
    </w:p>
    <w:p w:rsidRPr="00CD00DB" w:rsidR="006078A7" w:rsidP="006078A7" w:rsidRDefault="006078A7" w14:paraId="5B61EDC6" w14:textId="77777777">
      <w:pPr>
        <w:numPr>
          <w:ilvl w:val="1"/>
          <w:numId w:val="1"/>
        </w:numPr>
        <w:spacing w:after="0" w:line="240" w:lineRule="auto"/>
        <w:jc w:val="both"/>
      </w:pPr>
      <w:r w:rsidRPr="00CD00DB">
        <w:t>op een locatie met een dichtheid van ten hoogste twee logiesfuncties per ha, en met ten hoogste 5 logiesverblijven als bedoeld in </w:t>
      </w:r>
      <w:hyperlink w:history="1" r:id="rId10">
        <w:r w:rsidRPr="00CD00DB">
          <w:rPr>
            <w:rStyle w:val="Hyperlink"/>
          </w:rPr>
          <w:t>bijlage I bij het Besluit bouwwerken leefomgeving</w:t>
        </w:r>
      </w:hyperlink>
      <w:r w:rsidRPr="00CD00DB">
        <w:t> per gebouw; of</w:t>
      </w:r>
    </w:p>
    <w:p w:rsidRPr="00CD00DB" w:rsidR="006078A7" w:rsidP="006078A7" w:rsidRDefault="006078A7" w14:paraId="56EBA104" w14:textId="77777777">
      <w:pPr>
        <w:numPr>
          <w:ilvl w:val="1"/>
          <w:numId w:val="1"/>
        </w:numPr>
        <w:spacing w:after="0" w:line="240" w:lineRule="auto"/>
        <w:jc w:val="both"/>
      </w:pPr>
      <w:r w:rsidRPr="00CD00DB">
        <w:t>met een bruto-vloeroppervlakte van ten hoogste 1.500 m</w:t>
      </w:r>
      <w:r w:rsidRPr="00CD00DB">
        <w:rPr>
          <w:vertAlign w:val="superscript"/>
        </w:rPr>
        <w:t>2</w:t>
      </w:r>
      <w:r w:rsidRPr="00CD00DB">
        <w:t>;</w:t>
      </w:r>
    </w:p>
    <w:p w:rsidRPr="00CD00DB" w:rsidR="006078A7" w:rsidP="006078A7" w:rsidRDefault="006078A7" w14:paraId="288CF95C" w14:textId="77777777">
      <w:pPr>
        <w:numPr>
          <w:ilvl w:val="0"/>
          <w:numId w:val="1"/>
        </w:numPr>
        <w:spacing w:after="0" w:line="240" w:lineRule="auto"/>
        <w:jc w:val="both"/>
      </w:pPr>
      <w:r w:rsidRPr="00CD00DB">
        <w:t>een onderwijsfunctie voor volwassenenonderwijs, met uitzondering van een onderwijsfunctie waarin doorgaans een groot aantal personen gedurende een groot gedeelte van de dag aanwezig is;</w:t>
      </w:r>
    </w:p>
    <w:p w:rsidRPr="00CD00DB" w:rsidR="006078A7" w:rsidP="006078A7" w:rsidRDefault="006078A7" w14:paraId="43470F45" w14:textId="77777777">
      <w:pPr>
        <w:numPr>
          <w:ilvl w:val="0"/>
          <w:numId w:val="1"/>
        </w:numPr>
        <w:spacing w:after="0" w:line="240" w:lineRule="auto"/>
        <w:jc w:val="both"/>
      </w:pPr>
      <w:r w:rsidRPr="00CD00DB">
        <w:t>een sportfunctie als bedoeld in </w:t>
      </w:r>
      <w:hyperlink w:history="1" r:id="rId11">
        <w:r w:rsidRPr="00CD00DB">
          <w:rPr>
            <w:rStyle w:val="Hyperlink"/>
          </w:rPr>
          <w:t>bijlage I bij het Besluit bouwwerken leefomgeving</w:t>
        </w:r>
      </w:hyperlink>
      <w:r w:rsidRPr="00CD00DB">
        <w:t>, met uitzondering van een sportfunctie:</w:t>
      </w:r>
    </w:p>
    <w:p w:rsidRPr="00CD00DB" w:rsidR="006078A7" w:rsidP="006078A7" w:rsidRDefault="006078A7" w14:paraId="1821A389" w14:textId="77777777">
      <w:pPr>
        <w:numPr>
          <w:ilvl w:val="1"/>
          <w:numId w:val="1"/>
        </w:numPr>
        <w:spacing w:after="0" w:line="240" w:lineRule="auto"/>
        <w:jc w:val="both"/>
      </w:pPr>
      <w:r w:rsidRPr="00CD00DB">
        <w:t>waarin doorgaans een groot aantal personen gedurende een groot gedeelte van de dag aanwezig is; of</w:t>
      </w:r>
    </w:p>
    <w:p w:rsidRPr="00CD00DB" w:rsidR="006078A7" w:rsidP="006078A7" w:rsidRDefault="006078A7" w14:paraId="5D8B6D99" w14:textId="77777777">
      <w:pPr>
        <w:numPr>
          <w:ilvl w:val="1"/>
          <w:numId w:val="1"/>
        </w:numPr>
        <w:spacing w:after="0" w:line="240" w:lineRule="auto"/>
        <w:jc w:val="both"/>
      </w:pPr>
      <w:r w:rsidRPr="00CD00DB">
        <w:t>die een nevengebruiksfunctie is van een gebruiksfunctie als bedoeld onder E; of</w:t>
      </w:r>
    </w:p>
    <w:p w:rsidRPr="00CD00DB" w:rsidR="006078A7" w:rsidP="006078A7" w:rsidRDefault="006078A7" w14:paraId="48F87494" w14:textId="77777777">
      <w:pPr>
        <w:numPr>
          <w:ilvl w:val="0"/>
          <w:numId w:val="1"/>
        </w:numPr>
        <w:spacing w:after="0" w:line="240" w:lineRule="auto"/>
        <w:jc w:val="both"/>
      </w:pPr>
      <w:r w:rsidRPr="00CD00DB">
        <w:t>een winkelfunctie als bedoeld in </w:t>
      </w:r>
      <w:hyperlink w:history="1" r:id="rId12">
        <w:r w:rsidRPr="00CD00DB">
          <w:rPr>
            <w:rStyle w:val="Hyperlink"/>
          </w:rPr>
          <w:t>bijlage I bij het Besluit bouwwerken leefomgeving</w:t>
        </w:r>
      </w:hyperlink>
      <w:r w:rsidRPr="00CD00DB">
        <w:t>, met uitzondering van een winkelfunctie in een gebouw waarin een supermarkt of warenhuis is gevestigd, als het gaat om een winkelfunctie:</w:t>
      </w:r>
    </w:p>
    <w:p w:rsidRPr="00CD00DB" w:rsidR="006078A7" w:rsidP="006078A7" w:rsidRDefault="006078A7" w14:paraId="7E9D1E1D" w14:textId="77777777">
      <w:pPr>
        <w:numPr>
          <w:ilvl w:val="1"/>
          <w:numId w:val="1"/>
        </w:numPr>
        <w:spacing w:after="0" w:line="240" w:lineRule="auto"/>
        <w:jc w:val="both"/>
      </w:pPr>
      <w:r w:rsidRPr="00CD00DB">
        <w:t>met meer dan vijf winkels en met een totale bruto-vloeroppervlakte van meer dan 1.000 m</w:t>
      </w:r>
      <w:r w:rsidRPr="00CD00DB">
        <w:rPr>
          <w:vertAlign w:val="superscript"/>
        </w:rPr>
        <w:t>2</w:t>
      </w:r>
      <w:r w:rsidRPr="00CD00DB">
        <w:t>; of</w:t>
      </w:r>
    </w:p>
    <w:p w:rsidRPr="00CD00DB" w:rsidR="006078A7" w:rsidP="006078A7" w:rsidRDefault="006078A7" w14:paraId="6C994242" w14:textId="77777777">
      <w:pPr>
        <w:numPr>
          <w:ilvl w:val="1"/>
          <w:numId w:val="1"/>
        </w:numPr>
        <w:spacing w:after="0" w:line="240" w:lineRule="auto"/>
        <w:jc w:val="both"/>
      </w:pPr>
      <w:r w:rsidRPr="00CD00DB">
        <w:t>met een winkel met een bruto-vloeroppervlakte van meer dan 2.000 m</w:t>
      </w:r>
      <w:r w:rsidRPr="00CD00DB">
        <w:rPr>
          <w:vertAlign w:val="superscript"/>
        </w:rPr>
        <w:t>2</w:t>
      </w:r>
      <w:r w:rsidRPr="00CD00DB">
        <w:t>.</w:t>
      </w:r>
    </w:p>
    <w:p w:rsidR="006078A7" w:rsidP="006078A7" w:rsidRDefault="006078A7" w14:paraId="4E8FC467" w14:textId="77777777">
      <w:pPr>
        <w:jc w:val="both"/>
      </w:pPr>
    </w:p>
    <w:p w:rsidRPr="00CD00DB" w:rsidR="006078A7" w:rsidP="006078A7" w:rsidRDefault="00E24C7E" w14:paraId="7C6E88F1" w14:textId="2D0CF047">
      <w:pPr>
        <w:pStyle w:val="Geenafstand"/>
      </w:pPr>
      <w:r>
        <w:t xml:space="preserve">Met de term </w:t>
      </w:r>
      <w:r w:rsidRPr="00CD00DB" w:rsidR="006078A7">
        <w:rPr>
          <w:b/>
          <w:bCs/>
          <w:color w:val="4F81BD" w:themeColor="accent1"/>
        </w:rPr>
        <w:t xml:space="preserve">beperkt kwetsbare </w:t>
      </w:r>
      <w:r w:rsidR="006078A7">
        <w:rPr>
          <w:b/>
          <w:bCs/>
          <w:color w:val="4F81BD" w:themeColor="accent1"/>
        </w:rPr>
        <w:t>locaties</w:t>
      </w:r>
      <w:r w:rsidRPr="00CD00DB" w:rsidR="006078A7">
        <w:rPr>
          <w:color w:val="4F81BD" w:themeColor="accent1"/>
        </w:rPr>
        <w:t xml:space="preserve"> </w:t>
      </w:r>
      <w:r w:rsidR="006078A7">
        <w:t>wordt bedoeld, e</w:t>
      </w:r>
      <w:r w:rsidRPr="00CD00DB" w:rsidR="006078A7">
        <w:t>en locatie voor:</w:t>
      </w:r>
    </w:p>
    <w:p w:rsidRPr="00CD00DB" w:rsidR="006078A7" w:rsidP="006078A7" w:rsidRDefault="006078A7" w14:paraId="37888A79" w14:textId="77777777">
      <w:pPr>
        <w:numPr>
          <w:ilvl w:val="0"/>
          <w:numId w:val="2"/>
        </w:numPr>
        <w:spacing w:after="0" w:line="240" w:lineRule="auto"/>
        <w:jc w:val="both"/>
      </w:pPr>
      <w:r w:rsidRPr="00CD00DB">
        <w:t>recreatief nachtverblijf voor ten hoogste 50 personen;</w:t>
      </w:r>
    </w:p>
    <w:p w:rsidRPr="00CD00DB" w:rsidR="006078A7" w:rsidP="006078A7" w:rsidRDefault="006078A7" w14:paraId="0C3526CA" w14:textId="77777777">
      <w:pPr>
        <w:numPr>
          <w:ilvl w:val="0"/>
          <w:numId w:val="2"/>
        </w:numPr>
        <w:spacing w:after="0" w:line="240" w:lineRule="auto"/>
        <w:jc w:val="both"/>
      </w:pPr>
      <w:r>
        <w:t>s</w:t>
      </w:r>
      <w:r w:rsidRPr="00CD00DB">
        <w:t>port, spel of recreatief dagverblijf, met uitzondering van locaties waar doorgaans een groot aantal personen gedurende een groot gedeelte van de dag aanwezig is; of</w:t>
      </w:r>
    </w:p>
    <w:p w:rsidRPr="00CD00DB" w:rsidR="006078A7" w:rsidP="006078A7" w:rsidRDefault="006078A7" w14:paraId="6E1DDD42" w14:textId="77777777">
      <w:pPr>
        <w:numPr>
          <w:ilvl w:val="0"/>
          <w:numId w:val="2"/>
        </w:numPr>
        <w:spacing w:after="0" w:line="240" w:lineRule="auto"/>
        <w:jc w:val="both"/>
      </w:pPr>
      <w:r w:rsidRPr="00CD00DB">
        <w:t>evenementen in de openlucht voor minder dan 5.000 personen.</w:t>
      </w:r>
    </w:p>
    <w:p w:rsidR="006078A7" w:rsidP="006078A7" w:rsidRDefault="006078A7" w14:paraId="0ABE30EE" w14:textId="77777777">
      <w:pPr>
        <w:jc w:val="both"/>
      </w:pPr>
    </w:p>
    <w:p w:rsidR="006078A7" w:rsidP="006078A7" w:rsidRDefault="00E24C7E" w14:paraId="3D67C8FE" w14:textId="646AA550">
      <w:pPr>
        <w:pStyle w:val="Geenafstand"/>
      </w:pPr>
      <w:r>
        <w:t xml:space="preserve">Met de term </w:t>
      </w:r>
      <w:r w:rsidRPr="00CD00DB" w:rsidR="006078A7">
        <w:rPr>
          <w:b/>
          <w:bCs/>
          <w:color w:val="4F81BD" w:themeColor="accent1"/>
        </w:rPr>
        <w:t>kwetsbare gebouwen</w:t>
      </w:r>
      <w:r w:rsidRPr="00CD00DB" w:rsidR="006078A7">
        <w:rPr>
          <w:color w:val="4F81BD" w:themeColor="accent1"/>
        </w:rPr>
        <w:t xml:space="preserve"> </w:t>
      </w:r>
      <w:r w:rsidR="006078A7">
        <w:t>wordt bedoeld:</w:t>
      </w:r>
    </w:p>
    <w:p w:rsidRPr="00CD00DB" w:rsidR="006078A7" w:rsidP="006078A7" w:rsidRDefault="006078A7" w14:paraId="51968A65" w14:textId="77777777">
      <w:pPr>
        <w:pStyle w:val="Geenafstand"/>
      </w:pPr>
      <w:r w:rsidRPr="00CD00DB">
        <w:lastRenderedPageBreak/>
        <w:t>en gebouw met een van de volgende gebruiksfuncties, alleen voor zover het gaat om die gebruiksfunctie en voor zover het niet gaat om een beperkt kwetsbaar gebouw of een zeer kwetsbaar gebouw:</w:t>
      </w:r>
    </w:p>
    <w:p w:rsidRPr="00CD00DB" w:rsidR="006078A7" w:rsidP="006078A7" w:rsidRDefault="006078A7" w14:paraId="17482188" w14:textId="77777777">
      <w:pPr>
        <w:numPr>
          <w:ilvl w:val="0"/>
          <w:numId w:val="3"/>
        </w:numPr>
        <w:spacing w:after="0" w:line="240" w:lineRule="auto"/>
        <w:jc w:val="both"/>
      </w:pPr>
      <w:r w:rsidRPr="00CD00DB">
        <w:t>een woonfunctie;</w:t>
      </w:r>
    </w:p>
    <w:p w:rsidRPr="00CD00DB" w:rsidR="006078A7" w:rsidP="006078A7" w:rsidRDefault="006078A7" w14:paraId="453B13E8" w14:textId="77777777">
      <w:pPr>
        <w:numPr>
          <w:ilvl w:val="0"/>
          <w:numId w:val="3"/>
        </w:numPr>
        <w:spacing w:after="0" w:line="240" w:lineRule="auto"/>
        <w:jc w:val="both"/>
      </w:pPr>
      <w:r>
        <w:t>e</w:t>
      </w:r>
      <w:r w:rsidRPr="00CD00DB">
        <w:t>en bijeenkomstfunctie;</w:t>
      </w:r>
    </w:p>
    <w:p w:rsidRPr="00CD00DB" w:rsidR="006078A7" w:rsidP="006078A7" w:rsidRDefault="006078A7" w14:paraId="06777949" w14:textId="77777777">
      <w:pPr>
        <w:numPr>
          <w:ilvl w:val="0"/>
          <w:numId w:val="3"/>
        </w:numPr>
        <w:spacing w:after="0" w:line="240" w:lineRule="auto"/>
        <w:jc w:val="both"/>
      </w:pPr>
      <w:r w:rsidRPr="00CD00DB">
        <w:t>een industriefunctie als bedoeld in </w:t>
      </w:r>
      <w:hyperlink w:history="1" r:id="rId13">
        <w:r w:rsidRPr="00CD00DB">
          <w:rPr>
            <w:rStyle w:val="Hyperlink"/>
          </w:rPr>
          <w:t>bijlage I bij het Besluit bouwwerken leefomgeving</w:t>
        </w:r>
      </w:hyperlink>
      <w:r w:rsidRPr="00CD00DB">
        <w:t>;</w:t>
      </w:r>
    </w:p>
    <w:p w:rsidRPr="00CD00DB" w:rsidR="006078A7" w:rsidP="006078A7" w:rsidRDefault="006078A7" w14:paraId="30749C5E" w14:textId="77777777">
      <w:pPr>
        <w:numPr>
          <w:ilvl w:val="0"/>
          <w:numId w:val="3"/>
        </w:numPr>
        <w:spacing w:after="0" w:line="240" w:lineRule="auto"/>
        <w:jc w:val="both"/>
      </w:pPr>
      <w:r w:rsidRPr="00CD00DB">
        <w:t>een gezondheidszorgfunctie;</w:t>
      </w:r>
    </w:p>
    <w:p w:rsidRPr="00CD00DB" w:rsidR="006078A7" w:rsidP="006078A7" w:rsidRDefault="006078A7" w14:paraId="049F9A7E" w14:textId="77777777">
      <w:pPr>
        <w:numPr>
          <w:ilvl w:val="0"/>
          <w:numId w:val="3"/>
        </w:numPr>
        <w:spacing w:after="0" w:line="240" w:lineRule="auto"/>
        <w:jc w:val="both"/>
      </w:pPr>
      <w:r w:rsidRPr="00CD00DB">
        <w:t>een kantoorfunctie;</w:t>
      </w:r>
    </w:p>
    <w:p w:rsidRPr="00CD00DB" w:rsidR="006078A7" w:rsidP="006078A7" w:rsidRDefault="006078A7" w14:paraId="79F68D2A" w14:textId="77777777">
      <w:pPr>
        <w:numPr>
          <w:ilvl w:val="0"/>
          <w:numId w:val="3"/>
        </w:numPr>
        <w:spacing w:after="0" w:line="240" w:lineRule="auto"/>
        <w:jc w:val="both"/>
      </w:pPr>
      <w:r w:rsidRPr="00CD00DB">
        <w:t>een logiesfunctie als bedoeld in </w:t>
      </w:r>
      <w:hyperlink w:history="1" r:id="rId14">
        <w:r w:rsidRPr="00CD00DB">
          <w:rPr>
            <w:rStyle w:val="Hyperlink"/>
          </w:rPr>
          <w:t>bijlage I bij het Besluit bouwwerken leefomgeving</w:t>
        </w:r>
      </w:hyperlink>
      <w:r w:rsidRPr="00CD00DB">
        <w:t>;</w:t>
      </w:r>
    </w:p>
    <w:p w:rsidRPr="00CD00DB" w:rsidR="006078A7" w:rsidP="006078A7" w:rsidRDefault="006078A7" w14:paraId="029289B6" w14:textId="77777777">
      <w:pPr>
        <w:numPr>
          <w:ilvl w:val="0"/>
          <w:numId w:val="3"/>
        </w:numPr>
        <w:spacing w:after="0" w:line="240" w:lineRule="auto"/>
        <w:jc w:val="both"/>
      </w:pPr>
      <w:r w:rsidRPr="00CD00DB">
        <w:t>een onderwijsfunctie;</w:t>
      </w:r>
    </w:p>
    <w:p w:rsidRPr="00CD00DB" w:rsidR="006078A7" w:rsidP="006078A7" w:rsidRDefault="006078A7" w14:paraId="4AB9AB90" w14:textId="77777777">
      <w:pPr>
        <w:numPr>
          <w:ilvl w:val="0"/>
          <w:numId w:val="3"/>
        </w:numPr>
        <w:spacing w:after="0" w:line="240" w:lineRule="auto"/>
        <w:jc w:val="both"/>
      </w:pPr>
      <w:r w:rsidRPr="00CD00DB">
        <w:t>een sportfunctie als bedoeld in </w:t>
      </w:r>
      <w:hyperlink w:history="1" r:id="rId15">
        <w:r w:rsidRPr="00CD00DB">
          <w:rPr>
            <w:rStyle w:val="Hyperlink"/>
          </w:rPr>
          <w:t>bijlage I bij het Besluit bouwwerken leefomgeving</w:t>
        </w:r>
      </w:hyperlink>
      <w:r w:rsidRPr="00CD00DB">
        <w:t>; of</w:t>
      </w:r>
    </w:p>
    <w:p w:rsidRPr="00CD00DB" w:rsidR="006078A7" w:rsidP="006078A7" w:rsidRDefault="006078A7" w14:paraId="4FF77FBE" w14:textId="77777777">
      <w:pPr>
        <w:numPr>
          <w:ilvl w:val="0"/>
          <w:numId w:val="3"/>
        </w:numPr>
        <w:spacing w:after="0" w:line="240" w:lineRule="auto"/>
        <w:jc w:val="both"/>
      </w:pPr>
      <w:r w:rsidRPr="00CD00DB">
        <w:t>een winkelfunctie als bedoeld in </w:t>
      </w:r>
      <w:hyperlink w:history="1" r:id="rId16">
        <w:r w:rsidRPr="00CD00DB">
          <w:rPr>
            <w:rStyle w:val="Hyperlink"/>
          </w:rPr>
          <w:t>bijlage I bij het Besluit bouwwerken leefomgeving</w:t>
        </w:r>
      </w:hyperlink>
      <w:r>
        <w:rPr>
          <w:rStyle w:val="Hyperlink"/>
        </w:rPr>
        <w:t>.</w:t>
      </w:r>
    </w:p>
    <w:p w:rsidR="006078A7" w:rsidP="006078A7" w:rsidRDefault="006078A7" w14:paraId="64EC70FD" w14:textId="77777777"/>
    <w:p w:rsidRPr="00CD00DB" w:rsidR="006078A7" w:rsidP="006078A7" w:rsidRDefault="00E24C7E" w14:paraId="5DB7995D" w14:textId="6A54DFE0">
      <w:pPr>
        <w:pStyle w:val="Geenafstand"/>
      </w:pPr>
      <w:r>
        <w:t xml:space="preserve">Met de term </w:t>
      </w:r>
      <w:r w:rsidRPr="00CD00DB" w:rsidR="006078A7">
        <w:rPr>
          <w:b/>
          <w:bCs/>
          <w:color w:val="4F81BD" w:themeColor="accent1"/>
        </w:rPr>
        <w:t xml:space="preserve">kwetsbare </w:t>
      </w:r>
      <w:r w:rsidR="006078A7">
        <w:rPr>
          <w:b/>
          <w:bCs/>
          <w:color w:val="4F81BD" w:themeColor="accent1"/>
        </w:rPr>
        <w:t>locaties</w:t>
      </w:r>
      <w:r w:rsidRPr="00CD00DB" w:rsidR="006078A7">
        <w:rPr>
          <w:color w:val="4F81BD" w:themeColor="accent1"/>
        </w:rPr>
        <w:t xml:space="preserve"> </w:t>
      </w:r>
      <w:r w:rsidR="006078A7">
        <w:t>wordt bedoeld, e</w:t>
      </w:r>
      <w:r w:rsidRPr="00CD00DB" w:rsidR="006078A7">
        <w:t>en locatie voor:</w:t>
      </w:r>
    </w:p>
    <w:p w:rsidRPr="00CD00DB" w:rsidR="006078A7" w:rsidP="006078A7" w:rsidRDefault="006078A7" w14:paraId="67835D80" w14:textId="77777777">
      <w:pPr>
        <w:numPr>
          <w:ilvl w:val="0"/>
          <w:numId w:val="2"/>
        </w:numPr>
        <w:spacing w:after="0" w:line="240" w:lineRule="auto"/>
        <w:jc w:val="both"/>
      </w:pPr>
      <w:r w:rsidRPr="00CD00DB">
        <w:t xml:space="preserve">recreatief nachtverblijf voor </w:t>
      </w:r>
      <w:r>
        <w:t>meer dan</w:t>
      </w:r>
      <w:r w:rsidRPr="00CD00DB">
        <w:t xml:space="preserve"> 50 personen;</w:t>
      </w:r>
    </w:p>
    <w:p w:rsidRPr="00CD00DB" w:rsidR="006078A7" w:rsidP="006078A7" w:rsidRDefault="006078A7" w14:paraId="35A6D3BD" w14:textId="77777777">
      <w:pPr>
        <w:numPr>
          <w:ilvl w:val="0"/>
          <w:numId w:val="2"/>
        </w:numPr>
        <w:spacing w:after="0" w:line="240" w:lineRule="auto"/>
        <w:jc w:val="both"/>
      </w:pPr>
      <w:r>
        <w:t>s</w:t>
      </w:r>
      <w:r w:rsidRPr="00CD00DB">
        <w:t>port, spel of recreatief dagverblijf, waar doorgaans een groot aantal personen gedurende een groot gedeelte van de dag aanwezig is; of</w:t>
      </w:r>
    </w:p>
    <w:p w:rsidRPr="00CD00DB" w:rsidR="006078A7" w:rsidP="006078A7" w:rsidRDefault="006078A7" w14:paraId="5C15C423" w14:textId="77777777">
      <w:pPr>
        <w:numPr>
          <w:ilvl w:val="0"/>
          <w:numId w:val="2"/>
        </w:numPr>
        <w:spacing w:after="0" w:line="240" w:lineRule="auto"/>
        <w:jc w:val="both"/>
      </w:pPr>
      <w:r w:rsidRPr="00CD00DB">
        <w:t xml:space="preserve">evenementen in de openlucht </w:t>
      </w:r>
      <w:r>
        <w:t xml:space="preserve">ten minste </w:t>
      </w:r>
      <w:r w:rsidRPr="00CD00DB">
        <w:t>5.000 personen.</w:t>
      </w:r>
    </w:p>
    <w:p w:rsidR="006078A7" w:rsidP="006078A7" w:rsidRDefault="006078A7" w14:paraId="4A1261AF" w14:textId="77777777">
      <w:pPr>
        <w:pStyle w:val="Geenafstand"/>
        <w:rPr>
          <w:b/>
          <w:bCs/>
        </w:rPr>
      </w:pPr>
      <w:bookmarkStart w:name="_Toc185506218" w:id="1"/>
    </w:p>
    <w:p w:rsidRPr="001C6630" w:rsidR="006078A7" w:rsidP="006078A7" w:rsidRDefault="006078A7" w14:paraId="3E3A50CA" w14:textId="77777777">
      <w:pPr>
        <w:pStyle w:val="Geenafstand"/>
        <w:rPr>
          <w:b/>
          <w:bCs/>
        </w:rPr>
      </w:pPr>
      <w:r w:rsidRPr="001C6630">
        <w:rPr>
          <w:b/>
          <w:bCs/>
        </w:rPr>
        <w:t>Enkele functies nader uitgelicht in de C-zone</w:t>
      </w:r>
      <w:bookmarkEnd w:id="1"/>
    </w:p>
    <w:p w:rsidR="006078A7" w:rsidP="006078A7" w:rsidRDefault="006078A7" w14:paraId="5E3A2388" w14:textId="383653E4">
      <w:pPr>
        <w:pStyle w:val="Geenafstand"/>
        <w:rPr>
          <w:rFonts w:ascii="Calibri" w:hAnsi="Calibri" w:eastAsia="Calibri" w:cs="Calibri"/>
        </w:rPr>
      </w:pPr>
      <w:r>
        <w:t>In de C-zone zijn beperkingen aan functies (gebouwen) met een groot glasoppervlakte en vlies- en gordijngevel, zoals bijvoorbeeld showrooms (waar veel mensen in komen) en kantoren waar relatief veel mensen werken. Woningen, recreatie, evenementen, etc. zijn toegestaan. Hier gelden geen beperkingen voor uitbreidingen, aanbouw, dakkapellen, schuifpuien, zonnepanelen, etc</w:t>
      </w:r>
      <w:r w:rsidR="00C502ED">
        <w:t>.</w:t>
      </w:r>
    </w:p>
    <w:p w:rsidR="0038080F" w:rsidRDefault="002727A2" w14:paraId="7772038D" w14:textId="77777777"/>
    <w:sectPr w:rsidR="0038080F">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86906" w14:textId="77777777" w:rsidR="002727A2" w:rsidRDefault="002727A2" w:rsidP="002727A2">
      <w:pPr>
        <w:spacing w:after="0" w:line="240" w:lineRule="auto"/>
      </w:pPr>
      <w:r>
        <w:separator/>
      </w:r>
    </w:p>
  </w:endnote>
  <w:endnote w:type="continuationSeparator" w:id="0">
    <w:p w14:paraId="1303371D" w14:textId="77777777" w:rsidR="002727A2" w:rsidRDefault="002727A2" w:rsidP="0027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78A11" w14:textId="77777777" w:rsidR="002727A2" w:rsidRDefault="002727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6C291" w14:textId="77777777" w:rsidR="002727A2" w:rsidRDefault="002727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4AE9F" w14:textId="77777777" w:rsidR="002727A2" w:rsidRDefault="002727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9CDF4" w14:textId="77777777" w:rsidR="002727A2" w:rsidRDefault="002727A2" w:rsidP="002727A2">
      <w:pPr>
        <w:spacing w:after="0" w:line="240" w:lineRule="auto"/>
      </w:pPr>
      <w:r>
        <w:separator/>
      </w:r>
    </w:p>
  </w:footnote>
  <w:footnote w:type="continuationSeparator" w:id="0">
    <w:p w14:paraId="06387725" w14:textId="77777777" w:rsidR="002727A2" w:rsidRDefault="002727A2" w:rsidP="00272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FA220" w14:textId="77777777" w:rsidR="002727A2" w:rsidRDefault="002727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A39DE" w14:textId="77777777" w:rsidR="002727A2" w:rsidRDefault="002727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F1DB5" w14:textId="77777777" w:rsidR="002727A2" w:rsidRDefault="002727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10"/>
    <w:multiLevelType w:val="multilevel"/>
    <w:tmpl w:val="A532D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D2561F"/>
    <w:multiLevelType w:val="multilevel"/>
    <w:tmpl w:val="3C74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F6117"/>
    <w:multiLevelType w:val="multilevel"/>
    <w:tmpl w:val="F786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735EF2"/>
    <w:multiLevelType w:val="hybridMultilevel"/>
    <w:tmpl w:val="92762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A7"/>
    <w:rsid w:val="002727A2"/>
    <w:rsid w:val="0032124C"/>
    <w:rsid w:val="0047133B"/>
    <w:rsid w:val="00483F9F"/>
    <w:rsid w:val="006078A7"/>
    <w:rsid w:val="00970492"/>
    <w:rsid w:val="00BC1F61"/>
    <w:rsid w:val="00C502ED"/>
    <w:rsid w:val="00E24C7E"/>
    <w:rsid w:val="00EB15B2"/>
    <w:rsid w:val="00FE37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08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078A7"/>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078A7"/>
    <w:rPr>
      <w:color w:val="0000FF" w:themeColor="hyperlink"/>
      <w:u w:val="single"/>
    </w:rPr>
  </w:style>
  <w:style w:type="paragraph" w:styleId="Geenafstand">
    <w:name w:val="No Spacing"/>
    <w:uiPriority w:val="1"/>
    <w:qFormat/>
    <w:rsid w:val="006078A7"/>
    <w:pPr>
      <w:spacing w:after="0" w:line="240" w:lineRule="auto"/>
    </w:pPr>
  </w:style>
  <w:style w:type="character" w:styleId="Verwijzingopmerking">
    <w:name w:val="annotation reference"/>
    <w:basedOn w:val="Standaardalinea-lettertype"/>
    <w:uiPriority w:val="99"/>
    <w:semiHidden/>
    <w:unhideWhenUsed/>
    <w:rsid w:val="00E24C7E"/>
    <w:rPr>
      <w:sz w:val="16"/>
      <w:szCs w:val="16"/>
    </w:rPr>
  </w:style>
  <w:style w:type="paragraph" w:styleId="Tekstopmerking">
    <w:name w:val="annotation text"/>
    <w:basedOn w:val="Standaard"/>
    <w:link w:val="TekstopmerkingChar"/>
    <w:uiPriority w:val="99"/>
    <w:semiHidden/>
    <w:unhideWhenUsed/>
    <w:rsid w:val="00E24C7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24C7E"/>
    <w:rPr>
      <w:sz w:val="20"/>
      <w:szCs w:val="20"/>
    </w:rPr>
  </w:style>
  <w:style w:type="paragraph" w:styleId="Onderwerpvanopmerking">
    <w:name w:val="annotation subject"/>
    <w:basedOn w:val="Tekstopmerking"/>
    <w:next w:val="Tekstopmerking"/>
    <w:link w:val="OnderwerpvanopmerkingChar"/>
    <w:uiPriority w:val="99"/>
    <w:semiHidden/>
    <w:unhideWhenUsed/>
    <w:rsid w:val="00E24C7E"/>
    <w:rPr>
      <w:b/>
      <w:bCs/>
    </w:rPr>
  </w:style>
  <w:style w:type="character" w:customStyle="1" w:styleId="OnderwerpvanopmerkingChar">
    <w:name w:val="Onderwerp van opmerking Char"/>
    <w:basedOn w:val="TekstopmerkingChar"/>
    <w:link w:val="Onderwerpvanopmerking"/>
    <w:uiPriority w:val="99"/>
    <w:semiHidden/>
    <w:rsid w:val="00E24C7E"/>
    <w:rPr>
      <w:b/>
      <w:bCs/>
      <w:sz w:val="20"/>
      <w:szCs w:val="20"/>
    </w:rPr>
  </w:style>
  <w:style w:type="paragraph" w:styleId="Ballontekst">
    <w:name w:val="Balloon Text"/>
    <w:basedOn w:val="Standaard"/>
    <w:link w:val="BallontekstChar"/>
    <w:uiPriority w:val="99"/>
    <w:semiHidden/>
    <w:unhideWhenUsed/>
    <w:rsid w:val="00E24C7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4C7E"/>
    <w:rPr>
      <w:rFonts w:ascii="Segoe UI" w:hAnsi="Segoe UI" w:cs="Segoe UI"/>
      <w:sz w:val="18"/>
      <w:szCs w:val="18"/>
    </w:rPr>
  </w:style>
  <w:style w:type="paragraph" w:styleId="Koptekst">
    <w:name w:val="header"/>
    <w:basedOn w:val="Standaard"/>
    <w:link w:val="KoptekstChar"/>
    <w:uiPriority w:val="99"/>
    <w:unhideWhenUsed/>
    <w:rsid w:val="002727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27A2"/>
  </w:style>
  <w:style w:type="paragraph" w:styleId="Voettekst">
    <w:name w:val="footer"/>
    <w:basedOn w:val="Standaard"/>
    <w:link w:val="VoettekstChar"/>
    <w:uiPriority w:val="99"/>
    <w:unhideWhenUsed/>
    <w:rsid w:val="002727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2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41297&amp;bijlage=I&amp;g=2024-12-12&amp;z=2024-12-12" TargetMode="External"/><Relationship Id="rId13" Type="http://schemas.openxmlformats.org/officeDocument/2006/relationships/hyperlink" Target="https://wetten.overheid.nl/jci1.3:c:BWBR0041297&amp;bijlage=I&amp;g=2024-12-12&amp;z=2024-12-1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etten.overheid.nl/jci1.3:c:BWBR0041330&amp;artikel=3.101&amp;g=2024-12-12&amp;z=2024-12-12" TargetMode="External"/><Relationship Id="rId12" Type="http://schemas.openxmlformats.org/officeDocument/2006/relationships/hyperlink" Target="https://wetten.overheid.nl/jci1.3:c:BWBR0041297&amp;bijlage=I&amp;g=2024-12-12&amp;z=2024-12-1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etten.overheid.nl/jci1.3:c:BWBR0041297&amp;bijlage=I&amp;g=2024-12-12&amp;z=2024-12-1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ten.overheid.nl/jci1.3:c:BWBR0041297&amp;bijlage=I&amp;g=2024-12-12&amp;z=2024-12-1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tten.overheid.nl/jci1.3:c:BWBR0041297&amp;bijlage=I&amp;g=2024-12-12&amp;z=2024-12-12" TargetMode="External"/><Relationship Id="rId23" Type="http://schemas.openxmlformats.org/officeDocument/2006/relationships/fontTable" Target="fontTable.xml"/><Relationship Id="rId10" Type="http://schemas.openxmlformats.org/officeDocument/2006/relationships/hyperlink" Target="https://wetten.overheid.nl/jci1.3:c:BWBR0041297&amp;bijlage=I&amp;g=2024-12-12&amp;z=2024-12-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tten.overheid.nl/jci1.3:c:BWBR0041297&amp;bijlage=I&amp;g=2024-12-12&amp;z=2024-12-12" TargetMode="External"/><Relationship Id="rId14" Type="http://schemas.openxmlformats.org/officeDocument/2006/relationships/hyperlink" Target="https://wetten.overheid.nl/jci1.3:c:BWBR0041297&amp;bijlage=I&amp;g=2024-12-12&amp;z=2024-12-12"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830</ap:Words>
  <ap:Characters>4565</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2025-01-31T13:51:00.0000000Z</dcterms:created>
  <dcterms:modified xsi:type="dcterms:W3CDTF">2025-01-31T13:51:00.0000000Z</dcterms:modified>
  <version/>
  <category/>
</coreProperties>
</file>