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D4F" w:rsidRDefault="008A5C75" w14:paraId="31DD4F44" w14:textId="77777777">
      <w:r>
        <w:t>Hierbij ontvangt u</w:t>
      </w:r>
      <w:r w:rsidR="00946693">
        <w:t xml:space="preserve">, mede namens de staatssecretaris van Fiscaliteit, Belastingdienst en Douane, </w:t>
      </w:r>
      <w:r>
        <w:t xml:space="preserve">de antwoorden op schriftelijke vragen die zijn gesteld door het lid </w:t>
      </w:r>
      <w:r w:rsidR="00E15EA4">
        <w:t>Welzijn</w:t>
      </w:r>
      <w:r>
        <w:t xml:space="preserve"> (</w:t>
      </w:r>
      <w:r w:rsidR="00E15EA4">
        <w:t>NSC</w:t>
      </w:r>
      <w:r>
        <w:t xml:space="preserve">) </w:t>
      </w:r>
      <w:r w:rsidR="006F2A1D">
        <w:t>aan de minister</w:t>
      </w:r>
      <w:r w:rsidR="00E15EA4">
        <w:t>s</w:t>
      </w:r>
      <w:r w:rsidR="006F2A1D">
        <w:t xml:space="preserve"> van </w:t>
      </w:r>
      <w:r w:rsidR="00E15EA4">
        <w:t xml:space="preserve">Volkshuisvesting en Ruimtelijke Ordening en van </w:t>
      </w:r>
      <w:r w:rsidR="006F2A1D">
        <w:t xml:space="preserve">Financiën </w:t>
      </w:r>
      <w:r>
        <w:t xml:space="preserve">over </w:t>
      </w:r>
      <w:r w:rsidR="00E15EA4">
        <w:t>de evaluatie van de ATAD-richtlijn per 31 juli 2024</w:t>
      </w:r>
      <w:r>
        <w:t xml:space="preserve">. De vragen zijn ingezonden op </w:t>
      </w:r>
      <w:r w:rsidR="00E15EA4">
        <w:t>4</w:t>
      </w:r>
      <w:r>
        <w:t xml:space="preserve"> </w:t>
      </w:r>
      <w:r w:rsidR="00E15EA4">
        <w:t xml:space="preserve">november </w:t>
      </w:r>
      <w:r>
        <w:t>2024 met het kenmerk 2024Z</w:t>
      </w:r>
      <w:r w:rsidR="00E15EA4">
        <w:t>17332</w:t>
      </w:r>
      <w:r>
        <w:t>.</w:t>
      </w:r>
      <w:r w:rsidR="006F2A1D">
        <w:t xml:space="preserve"> </w:t>
      </w:r>
    </w:p>
    <w:p w:rsidR="00305D4F" w:rsidRDefault="00305D4F" w14:paraId="1236A9EA" w14:textId="77777777"/>
    <w:p w:rsidR="006F2A1D" w:rsidRDefault="008A5C75" w14:paraId="5621310D" w14:textId="77777777">
      <w:r>
        <w:t>De minister van Volkshuisvesting en Ruimtelijke Ordening,</w:t>
      </w:r>
      <w:r>
        <w:br/>
      </w:r>
      <w:r>
        <w:br/>
      </w:r>
      <w:r>
        <w:br/>
      </w:r>
      <w:r>
        <w:br/>
      </w:r>
      <w:r>
        <w:br/>
      </w:r>
      <w:r>
        <w:br/>
        <w:t>Mona Keijzer</w:t>
      </w:r>
    </w:p>
    <w:p w:rsidR="006F2A1D" w:rsidRDefault="006F2A1D" w14:paraId="52639EA8" w14:textId="77777777">
      <w:pPr>
        <w:spacing w:line="240" w:lineRule="auto"/>
      </w:pPr>
      <w:r>
        <w:br w:type="page"/>
      </w:r>
    </w:p>
    <w:p w:rsidRPr="00A00329" w:rsidR="00E15EA4" w:rsidP="00E15EA4" w:rsidRDefault="00E15EA4" w14:paraId="52CA7230" w14:textId="77777777">
      <w:pPr>
        <w:autoSpaceDE w:val="0"/>
        <w:adjustRightInd w:val="0"/>
        <w:rPr>
          <w:rFonts w:eastAsia="DejaVuSerifCondensed-Bold" w:cs="DejaVuSerifCondensed-Bold"/>
          <w:b/>
          <w:bCs/>
        </w:rPr>
      </w:pPr>
      <w:r w:rsidRPr="00A00329">
        <w:rPr>
          <w:rFonts w:eastAsia="DejaVuSerifCondensed-Bold" w:cs="DejaVuSerifCondensed-Bold"/>
          <w:b/>
          <w:bCs/>
        </w:rPr>
        <w:lastRenderedPageBreak/>
        <w:t>2024Z17332</w:t>
      </w:r>
    </w:p>
    <w:p w:rsidRPr="00A00329" w:rsidR="00E15EA4" w:rsidP="00E15EA4" w:rsidRDefault="00E15EA4" w14:paraId="3B8B8F81" w14:textId="77777777">
      <w:pPr>
        <w:autoSpaceDE w:val="0"/>
        <w:adjustRightInd w:val="0"/>
        <w:rPr>
          <w:rFonts w:eastAsia="DejaVuSerifCondensed" w:cs="DejaVuSerifCondensed"/>
        </w:rPr>
      </w:pPr>
    </w:p>
    <w:p w:rsidRPr="00A00329" w:rsidR="00E15EA4" w:rsidP="00E15EA4" w:rsidRDefault="00E15EA4" w14:paraId="740D0933" w14:textId="77777777">
      <w:pPr>
        <w:autoSpaceDE w:val="0"/>
        <w:adjustRightInd w:val="0"/>
        <w:rPr>
          <w:rFonts w:eastAsia="DejaVuSerifCondensed" w:cs="DejaVuSerifCondensed"/>
        </w:rPr>
      </w:pPr>
    </w:p>
    <w:p w:rsidRPr="00A00329" w:rsidR="00E15EA4" w:rsidP="00E15EA4" w:rsidRDefault="00E15EA4" w14:paraId="3326D25A" w14:textId="77777777">
      <w:pPr>
        <w:autoSpaceDE w:val="0"/>
        <w:adjustRightInd w:val="0"/>
        <w:rPr>
          <w:rFonts w:eastAsia="DejaVuSerifCondensed" w:cs="DejaVuSerifCondensed"/>
          <w:b/>
          <w:bCs/>
        </w:rPr>
      </w:pPr>
      <w:r w:rsidRPr="00A00329">
        <w:rPr>
          <w:rFonts w:eastAsia="DejaVuSerifCondensed" w:cs="DejaVuSerifCondensed"/>
          <w:b/>
          <w:bCs/>
        </w:rPr>
        <w:t xml:space="preserve">Vraag 1 </w:t>
      </w:r>
    </w:p>
    <w:p w:rsidRPr="00A00329" w:rsidR="00E15EA4" w:rsidP="00E15EA4" w:rsidRDefault="00E15EA4" w14:paraId="7360A507" w14:textId="77777777">
      <w:pPr>
        <w:autoSpaceDE w:val="0"/>
        <w:adjustRightInd w:val="0"/>
        <w:rPr>
          <w:rFonts w:eastAsia="DejaVuSerifCondensed" w:cs="DejaVuSerifCondensed"/>
        </w:rPr>
      </w:pPr>
      <w:r w:rsidRPr="00A00329">
        <w:rPr>
          <w:rFonts w:eastAsia="DejaVuSerifCondensed" w:cs="DejaVuSerifCondensed"/>
        </w:rPr>
        <w:t xml:space="preserve">Hoe kijkt u aan tegen de stelling dat de implementatie van de Anti-Tax Avoidance Directive (hierna: ATAD) in artikel 15b Wet Vpb niet zo zeer belastingplichtigen met een ongezonde solvabiliteit raakt, maar juist belastingplichtigen met een lage rentabiliteit? </w:t>
      </w:r>
    </w:p>
    <w:p w:rsidRPr="00A00329" w:rsidR="00E15EA4" w:rsidP="00E15EA4" w:rsidRDefault="00E15EA4" w14:paraId="5DA7F1AE" w14:textId="77777777">
      <w:pPr>
        <w:autoSpaceDE w:val="0"/>
        <w:adjustRightInd w:val="0"/>
        <w:rPr>
          <w:rFonts w:eastAsia="DejaVuSerifCondensed" w:cs="DejaVuSerifCondensed"/>
        </w:rPr>
      </w:pPr>
    </w:p>
    <w:p w:rsidRPr="00A00329" w:rsidR="00E15EA4" w:rsidP="00E15EA4" w:rsidRDefault="00E15EA4" w14:paraId="0EEF8F08" w14:textId="77777777">
      <w:pPr>
        <w:autoSpaceDE w:val="0"/>
        <w:adjustRightInd w:val="0"/>
        <w:rPr>
          <w:rFonts w:eastAsia="DejaVuSerifCondensed" w:cs="DejaVuSerifCondensed"/>
          <w:b/>
          <w:bCs/>
        </w:rPr>
      </w:pPr>
      <w:r w:rsidRPr="00A00329">
        <w:rPr>
          <w:rFonts w:eastAsia="DejaVuSerifCondensed" w:cs="DejaVuSerifCondensed"/>
          <w:b/>
          <w:bCs/>
        </w:rPr>
        <w:t>Antwoord vraag 1</w:t>
      </w:r>
    </w:p>
    <w:p w:rsidR="00E15EA4" w:rsidP="00E15EA4" w:rsidRDefault="00E15EA4" w14:paraId="174EF230" w14:textId="77777777">
      <w:pPr>
        <w:autoSpaceDE w:val="0"/>
        <w:adjustRightInd w:val="0"/>
        <w:rPr>
          <w:rFonts w:eastAsia="DejaVuSerifCondensed" w:cs="DejaVuSerifCondensed"/>
        </w:rPr>
      </w:pPr>
      <w:r w:rsidRPr="00A00329">
        <w:rPr>
          <w:rFonts w:eastAsia="DejaVuSerifCondensed" w:cs="DejaVuSerifCondensed"/>
        </w:rPr>
        <w:t xml:space="preserve">De </w:t>
      </w:r>
      <w:bookmarkStart w:name="_Hlk184823119" w:id="0"/>
      <w:r w:rsidRPr="00A00329">
        <w:t xml:space="preserve">earningsstrippingmaatregel </w:t>
      </w:r>
      <w:r w:rsidRPr="00A00329">
        <w:rPr>
          <w:rFonts w:eastAsia="DejaVuSerifCondensed" w:cs="DejaVuSerifCondensed"/>
        </w:rPr>
        <w:t>is afkomstig uit de eerste EU-richtlijn antibelastingontwijking (ATAD1)</w:t>
      </w:r>
      <w:r w:rsidRPr="00A00329">
        <w:rPr>
          <w:rFonts w:eastAsia="DejaVuSerifCondensed" w:cs="DejaVuSerifCondensed"/>
          <w:vertAlign w:val="superscript"/>
          <w:lang w:val="en-US"/>
        </w:rPr>
        <w:footnoteReference w:id="1"/>
      </w:r>
      <w:r w:rsidRPr="00A00329">
        <w:rPr>
          <w:rFonts w:eastAsia="DejaVuSerifCondensed" w:cs="DejaVuSerifCondensed"/>
        </w:rPr>
        <w:t xml:space="preserve"> </w:t>
      </w:r>
      <w:bookmarkEnd w:id="0"/>
      <w:r w:rsidRPr="00A00329">
        <w:rPr>
          <w:rFonts w:eastAsia="DejaVuSerifCondensed" w:cs="DejaVuSerifCondensed"/>
        </w:rPr>
        <w:t xml:space="preserve">en is per 1 januari 2019 in de vennootschapsbelasting geïmplementeerd. De </w:t>
      </w:r>
      <w:r w:rsidRPr="00A00329">
        <w:t xml:space="preserve">earningsstrippingmaatregel </w:t>
      </w:r>
      <w:r w:rsidRPr="00A00329">
        <w:rPr>
          <w:rFonts w:eastAsia="DejaVuSerifCondensed" w:cs="DejaVuSerifCondensed"/>
        </w:rPr>
        <w:t xml:space="preserve">is er – kort gezegd – op gericht om winstverschuiving en grondslaguitholling door middel van rentebetalingen te voorkomen. De maatregel beperkt de aftrekbaarheid van het saldo aan renten voor zover dat meer bedraagt dan </w:t>
      </w:r>
      <w:r w:rsidR="00BF479B">
        <w:rPr>
          <w:rFonts w:eastAsia="DejaVuSerifCondensed" w:cs="DejaVuSerifCondensed"/>
        </w:rPr>
        <w:t>24,5%</w:t>
      </w:r>
      <w:r w:rsidRPr="00A00329">
        <w:rPr>
          <w:rFonts w:eastAsia="DejaVuSerifCondensed" w:cs="DejaVuSerifCondensed"/>
        </w:rPr>
        <w:t xml:space="preserve"> van de gecorrigeerde winst</w:t>
      </w:r>
      <w:r w:rsidRPr="00A00329">
        <w:rPr>
          <w:rStyle w:val="Voetnootmarkering"/>
          <w:rFonts w:eastAsia="DejaVuSerifCondensed" w:cs="DejaVuSerifCondensed"/>
        </w:rPr>
        <w:footnoteReference w:id="2"/>
      </w:r>
      <w:r w:rsidRPr="00A00329">
        <w:rPr>
          <w:rFonts w:eastAsia="DejaVuSerifCondensed" w:cs="DejaVuSerifCondensed"/>
        </w:rPr>
        <w:t xml:space="preserve">, tenzij het saldo aan renten niet meer bedraagt dan de drempel van € 1 miljoen. </w:t>
      </w:r>
      <w:r>
        <w:rPr>
          <w:rFonts w:eastAsia="DejaVuSerifCondensed" w:cs="DejaVuSerifCondensed"/>
        </w:rPr>
        <w:t>Hieruit</w:t>
      </w:r>
      <w:r w:rsidRPr="00A00329">
        <w:rPr>
          <w:rFonts w:eastAsia="DejaVuSerifCondensed" w:cs="DejaVuSerifCondensed"/>
        </w:rPr>
        <w:t xml:space="preserve"> volgt dat rente in aftrek wordt beperkt als de gecorrigeerde winst relatief laag is ten opzichte van dit saldo </w:t>
      </w:r>
      <w:r>
        <w:rPr>
          <w:rFonts w:eastAsia="DejaVuSerifCondensed" w:cs="DejaVuSerifCondensed"/>
        </w:rPr>
        <w:t>(</w:t>
      </w:r>
      <w:r w:rsidRPr="00A00329">
        <w:rPr>
          <w:rFonts w:eastAsia="DejaVuSerifCondensed" w:cs="DejaVuSerifCondensed"/>
        </w:rPr>
        <w:t xml:space="preserve">en </w:t>
      </w:r>
      <w:r>
        <w:rPr>
          <w:rFonts w:eastAsia="DejaVuSerifCondensed" w:cs="DejaVuSerifCondensed"/>
        </w:rPr>
        <w:t>overigens</w:t>
      </w:r>
      <w:r w:rsidRPr="00A00329">
        <w:rPr>
          <w:rFonts w:eastAsia="DejaVuSerifCondensed" w:cs="DejaVuSerifCondensed"/>
        </w:rPr>
        <w:t xml:space="preserve"> de drempel niet van toepassing is</w:t>
      </w:r>
      <w:r>
        <w:rPr>
          <w:rFonts w:eastAsia="DejaVuSerifCondensed" w:cs="DejaVuSerifCondensed"/>
        </w:rPr>
        <w:t>)</w:t>
      </w:r>
      <w:r w:rsidRPr="00A00329">
        <w:rPr>
          <w:rFonts w:eastAsia="DejaVuSerifCondensed" w:cs="DejaVuSerifCondensed"/>
        </w:rPr>
        <w:t>. Het niet-aftrekbare saldo aan renten kan onbeperkt worden voortgewenteld tot de belastingplichtige voldoende aftrekruimte heeft.</w:t>
      </w:r>
    </w:p>
    <w:p w:rsidR="00E15EA4" w:rsidP="00E15EA4" w:rsidRDefault="00E15EA4" w14:paraId="4AADCB77" w14:textId="77777777">
      <w:pPr>
        <w:autoSpaceDE w:val="0"/>
        <w:adjustRightInd w:val="0"/>
        <w:rPr>
          <w:rFonts w:eastAsia="DejaVuSerifCondensed" w:cs="DejaVuSerifCondensed"/>
        </w:rPr>
      </w:pPr>
    </w:p>
    <w:p w:rsidRPr="00DE4E3A" w:rsidR="00E15EA4" w:rsidP="00E15EA4" w:rsidRDefault="00E15EA4" w14:paraId="08637EA2" w14:textId="77777777">
      <w:pPr>
        <w:autoSpaceDE w:val="0"/>
        <w:adjustRightInd w:val="0"/>
        <w:rPr>
          <w:rFonts w:eastAsia="DejaVuSerifCondensed" w:cs="DejaVuSerifCondensed"/>
        </w:rPr>
      </w:pPr>
      <w:r w:rsidRPr="00DE4E3A">
        <w:rPr>
          <w:rFonts w:eastAsia="DejaVuSerifCondensed" w:cs="DejaVuSerifCondensed"/>
        </w:rPr>
        <w:t xml:space="preserve">Daarnaast heeft Nederland gekozen voor een robuuste implementatie die op onderdelen verder gaat dan de in ATAD1 opgenomen minimumstandaard. Als gevolg van de keuze voor een robuuste implementatie wordt niet alleen opgetreden tegen grondslaguitholling, maar wordt vooral een meer gelijke fiscale behandeling van eigen vermogen en vreemd vermogen nagestreefd bij alle vennootschapsbelastingplichtigen. Door </w:t>
      </w:r>
      <w:r>
        <w:rPr>
          <w:rFonts w:eastAsia="DejaVuSerifCondensed" w:cs="DejaVuSerifCondensed"/>
        </w:rPr>
        <w:t>de earningsstrippingmaatregel</w:t>
      </w:r>
      <w:r w:rsidRPr="00DE4E3A">
        <w:rPr>
          <w:rFonts w:eastAsia="DejaVuSerifCondensed" w:cs="DejaVuSerifCondensed"/>
        </w:rPr>
        <w:t xml:space="preserve"> kunnen financieringskosten hoger worden, waardoor de rentabiliteit lager </w:t>
      </w:r>
      <w:r>
        <w:rPr>
          <w:rFonts w:eastAsia="DejaVuSerifCondensed" w:cs="DejaVuSerifCondensed"/>
        </w:rPr>
        <w:t xml:space="preserve">kan </w:t>
      </w:r>
      <w:r w:rsidRPr="00DE4E3A">
        <w:rPr>
          <w:rFonts w:eastAsia="DejaVuSerifCondensed" w:cs="DejaVuSerifCondensed"/>
        </w:rPr>
        <w:t>word</w:t>
      </w:r>
      <w:r>
        <w:rPr>
          <w:rFonts w:eastAsia="DejaVuSerifCondensed" w:cs="DejaVuSerifCondensed"/>
        </w:rPr>
        <w:t>en</w:t>
      </w:r>
      <w:r w:rsidRPr="00DE4E3A">
        <w:rPr>
          <w:rFonts w:eastAsia="DejaVuSerifCondensed" w:cs="DejaVuSerifCondensed"/>
        </w:rPr>
        <w:t>. Tegelijkertijd komt het beperken van de fiscale stimulans om ondernemingsactiviteiten met vreemd vermogen te financieren de solvabiliteit van ondernemingen en daarmee de schokbestendigheid van de Nederlandse economie ten goede.</w:t>
      </w:r>
    </w:p>
    <w:p w:rsidRPr="00A00329" w:rsidR="00E15EA4" w:rsidP="00E15EA4" w:rsidRDefault="00E15EA4" w14:paraId="6BFDBDA1" w14:textId="77777777">
      <w:pPr>
        <w:autoSpaceDE w:val="0"/>
        <w:adjustRightInd w:val="0"/>
        <w:rPr>
          <w:rFonts w:eastAsia="DejaVuSerifCondensed" w:cs="DejaVuSerifCondensed"/>
        </w:rPr>
      </w:pPr>
    </w:p>
    <w:p w:rsidRPr="00A00329" w:rsidR="00E15EA4" w:rsidP="00E15EA4" w:rsidRDefault="00E15EA4" w14:paraId="0060ACD9" w14:textId="77777777">
      <w:pPr>
        <w:autoSpaceDE w:val="0"/>
        <w:adjustRightInd w:val="0"/>
        <w:rPr>
          <w:rFonts w:eastAsia="DejaVuSerifCondensed" w:cs="DejaVuSerifCondensed"/>
          <w:b/>
          <w:bCs/>
        </w:rPr>
      </w:pPr>
      <w:r w:rsidRPr="00A00329">
        <w:rPr>
          <w:rFonts w:eastAsia="DejaVuSerifCondensed" w:cs="DejaVuSerifCondensed"/>
          <w:b/>
          <w:bCs/>
        </w:rPr>
        <w:t>Vraag 2</w:t>
      </w:r>
    </w:p>
    <w:p w:rsidRPr="00A00329" w:rsidR="00E15EA4" w:rsidP="00E15EA4" w:rsidRDefault="00E15EA4" w14:paraId="17D3AEEA" w14:textId="77777777">
      <w:pPr>
        <w:autoSpaceDE w:val="0"/>
        <w:adjustRightInd w:val="0"/>
        <w:rPr>
          <w:rFonts w:eastAsia="DejaVuSerifCondensed" w:cs="DejaVuSerifCondensed"/>
        </w:rPr>
      </w:pPr>
      <w:r w:rsidRPr="00A00329">
        <w:rPr>
          <w:rFonts w:eastAsia="DejaVuSerifCondensed" w:cs="DejaVuSerifCondensed"/>
        </w:rPr>
        <w:t xml:space="preserve">Deelt u de mening dat door deze systematiek vooral maatschappelijke organisaties geraakt worden die niet op het behalen van rendementen gericht zijn? </w:t>
      </w:r>
    </w:p>
    <w:p w:rsidRPr="00A00329" w:rsidR="00E15EA4" w:rsidP="00E15EA4" w:rsidRDefault="00E15EA4" w14:paraId="2EEA15AF" w14:textId="77777777">
      <w:pPr>
        <w:autoSpaceDE w:val="0"/>
        <w:adjustRightInd w:val="0"/>
        <w:rPr>
          <w:rFonts w:eastAsia="DejaVuSerifCondensed" w:cs="DejaVuSerifCondensed"/>
        </w:rPr>
      </w:pPr>
    </w:p>
    <w:p w:rsidRPr="00A00329" w:rsidR="00E15EA4" w:rsidP="008D39C6" w:rsidRDefault="00E15EA4" w14:paraId="654EB824" w14:textId="77777777">
      <w:pPr>
        <w:spacing w:line="240" w:lineRule="auto"/>
        <w:rPr>
          <w:rFonts w:eastAsia="DejaVuSerifCondensed" w:cs="DejaVuSerifCondensed"/>
          <w:b/>
          <w:bCs/>
        </w:rPr>
      </w:pPr>
      <w:bookmarkStart w:name="_Hlk183099997" w:id="1"/>
      <w:r w:rsidRPr="00A00329">
        <w:rPr>
          <w:rFonts w:eastAsia="DejaVuSerifCondensed" w:cs="DejaVuSerifCondensed"/>
          <w:b/>
          <w:bCs/>
        </w:rPr>
        <w:t>Antwoord vraag 2</w:t>
      </w:r>
    </w:p>
    <w:bookmarkEnd w:id="1"/>
    <w:p w:rsidR="00E15EA4" w:rsidP="00E15EA4" w:rsidRDefault="00E15EA4" w14:paraId="17FB19C4" w14:textId="77777777">
      <w:pPr>
        <w:autoSpaceDE w:val="0"/>
        <w:adjustRightInd w:val="0"/>
        <w:rPr>
          <w:rFonts w:eastAsia="DejaVuSerifCondensed" w:cs="DejaVuSerifCondensed"/>
        </w:rPr>
      </w:pPr>
      <w:r w:rsidRPr="00A00329">
        <w:rPr>
          <w:rFonts w:eastAsia="DejaVuSerifCondensed" w:cs="DejaVuSerifCondensed"/>
        </w:rPr>
        <w:t xml:space="preserve">De </w:t>
      </w:r>
      <w:r>
        <w:rPr>
          <w:rFonts w:eastAsia="DejaVuSerifCondensed" w:cs="DejaVuSerifCondensed"/>
        </w:rPr>
        <w:t>earningsstrippingmaatregel</w:t>
      </w:r>
      <w:r w:rsidRPr="00A00329">
        <w:rPr>
          <w:rFonts w:eastAsia="DejaVuSerifCondensed" w:cs="DejaVuSerifCondensed"/>
        </w:rPr>
        <w:t xml:space="preserve"> </w:t>
      </w:r>
      <w:r>
        <w:rPr>
          <w:rFonts w:eastAsia="DejaVuSerifCondensed" w:cs="DejaVuSerifCondensed"/>
        </w:rPr>
        <w:t>betreft een generieke renteaftrekbeperking voor</w:t>
      </w:r>
      <w:r w:rsidRPr="00A00329">
        <w:rPr>
          <w:rFonts w:eastAsia="DejaVuSerifCondensed" w:cs="DejaVuSerifCondensed"/>
        </w:rPr>
        <w:t xml:space="preserve"> alle vennootschapsbelastingplichtigen</w:t>
      </w:r>
      <w:r>
        <w:rPr>
          <w:rFonts w:eastAsia="DejaVuSerifCondensed" w:cs="DejaVuSerifCondensed"/>
        </w:rPr>
        <w:t>. Zoals in het antwoord op vraag 1 wordt toegelicht, beperkt d</w:t>
      </w:r>
      <w:r w:rsidRPr="00A00329">
        <w:rPr>
          <w:rFonts w:eastAsia="DejaVuSerifCondensed" w:cs="DejaVuSerifCondensed"/>
        </w:rPr>
        <w:t xml:space="preserve">e </w:t>
      </w:r>
      <w:r w:rsidRPr="00A00329">
        <w:t xml:space="preserve">earningsstrippingmaatregel </w:t>
      </w:r>
      <w:r w:rsidRPr="00A00329">
        <w:rPr>
          <w:rFonts w:eastAsia="DejaVuSerifCondensed" w:cs="DejaVuSerifCondensed"/>
        </w:rPr>
        <w:t xml:space="preserve">de aftrekbaarheid van het saldo aan renten voor zover dat meer bedraagt dan het hoogste van </w:t>
      </w:r>
      <w:r w:rsidR="00BF479B">
        <w:rPr>
          <w:rFonts w:eastAsia="DejaVuSerifCondensed" w:cs="DejaVuSerifCondensed"/>
        </w:rPr>
        <w:t>24,5%</w:t>
      </w:r>
      <w:r w:rsidRPr="00A00329">
        <w:rPr>
          <w:rFonts w:eastAsia="DejaVuSerifCondensed" w:cs="DejaVuSerifCondensed"/>
        </w:rPr>
        <w:t xml:space="preserve"> van de gecorrigeerde winst of € 1 miljoen.</w:t>
      </w:r>
      <w:r>
        <w:rPr>
          <w:rFonts w:eastAsia="DejaVuSerifCondensed" w:cs="DejaVuSerifCondensed"/>
        </w:rPr>
        <w:t xml:space="preserve"> Hieruit</w:t>
      </w:r>
      <w:r w:rsidRPr="00A00329">
        <w:rPr>
          <w:rFonts w:eastAsia="DejaVuSerifCondensed" w:cs="DejaVuSerifCondensed"/>
        </w:rPr>
        <w:t xml:space="preserve"> volgt dat rente in aftrek wordt beperkt als de gecorrigeerde winst relatief laag is ten opzichte van dit saldo </w:t>
      </w:r>
      <w:r>
        <w:rPr>
          <w:rFonts w:eastAsia="DejaVuSerifCondensed" w:cs="DejaVuSerifCondensed"/>
        </w:rPr>
        <w:t>(</w:t>
      </w:r>
      <w:r w:rsidRPr="00A00329">
        <w:rPr>
          <w:rFonts w:eastAsia="DejaVuSerifCondensed" w:cs="DejaVuSerifCondensed"/>
        </w:rPr>
        <w:t xml:space="preserve">en </w:t>
      </w:r>
      <w:r>
        <w:rPr>
          <w:rFonts w:eastAsia="DejaVuSerifCondensed" w:cs="DejaVuSerifCondensed"/>
        </w:rPr>
        <w:t xml:space="preserve">overigens </w:t>
      </w:r>
      <w:r w:rsidRPr="00A00329">
        <w:rPr>
          <w:rFonts w:eastAsia="DejaVuSerifCondensed" w:cs="DejaVuSerifCondensed"/>
        </w:rPr>
        <w:t>de drempel niet van toepassing is</w:t>
      </w:r>
      <w:r>
        <w:rPr>
          <w:rFonts w:eastAsia="DejaVuSerifCondensed" w:cs="DejaVuSerifCondensed"/>
        </w:rPr>
        <w:t>)</w:t>
      </w:r>
      <w:r w:rsidRPr="00A00329">
        <w:rPr>
          <w:rFonts w:eastAsia="DejaVuSerifCondensed" w:cs="DejaVuSerifCondensed"/>
        </w:rPr>
        <w:t>.</w:t>
      </w:r>
      <w:r>
        <w:rPr>
          <w:rFonts w:eastAsia="DejaVuSerifCondensed" w:cs="DejaVuSerifCondensed"/>
        </w:rPr>
        <w:t xml:space="preserve"> </w:t>
      </w:r>
      <w:bookmarkStart w:name="_Hlk185233874" w:id="2"/>
      <w:r>
        <w:rPr>
          <w:rFonts w:eastAsia="DejaVuSerifCondensed" w:cs="DejaVuSerifCondensed"/>
        </w:rPr>
        <w:t xml:space="preserve">Afhankelijk hiervan kan de earningsstrippingsmaatregel gevolgen hebben voor maatschappelijke organisaties. </w:t>
      </w:r>
      <w:bookmarkEnd w:id="2"/>
      <w:r>
        <w:rPr>
          <w:rFonts w:eastAsia="DejaVuSerifCondensed" w:cs="DejaVuSerifCondensed"/>
        </w:rPr>
        <w:t xml:space="preserve"> </w:t>
      </w:r>
    </w:p>
    <w:p w:rsidR="00E15EA4" w:rsidP="00E15EA4" w:rsidRDefault="00E15EA4" w14:paraId="17184222" w14:textId="77777777">
      <w:pPr>
        <w:autoSpaceDE w:val="0"/>
        <w:adjustRightInd w:val="0"/>
        <w:rPr>
          <w:rFonts w:eastAsia="DejaVuSerifCondensed" w:cs="DejaVuSerifCondensed"/>
        </w:rPr>
      </w:pPr>
    </w:p>
    <w:p w:rsidRPr="00A00329" w:rsidR="00E15EA4" w:rsidP="00E15EA4" w:rsidRDefault="00E15EA4" w14:paraId="18ADC23C" w14:textId="77777777">
      <w:pPr>
        <w:autoSpaceDE w:val="0"/>
        <w:adjustRightInd w:val="0"/>
        <w:rPr>
          <w:rFonts w:eastAsia="DejaVuSerifCondensed" w:cs="DejaVuSerifCondensed"/>
        </w:rPr>
      </w:pPr>
      <w:r>
        <w:rPr>
          <w:rFonts w:eastAsia="DejaVuSerifCondensed" w:cs="DejaVuSerifCondensed"/>
        </w:rPr>
        <w:t xml:space="preserve">Dit </w:t>
      </w:r>
      <w:r w:rsidRPr="00A00329">
        <w:rPr>
          <w:rFonts w:eastAsia="DejaVuSerifCondensed" w:cs="DejaVuSerifCondensed"/>
        </w:rPr>
        <w:t xml:space="preserve">kabinet </w:t>
      </w:r>
      <w:r>
        <w:rPr>
          <w:rFonts w:eastAsia="DejaVuSerifCondensed" w:cs="DejaVuSerifCondensed"/>
        </w:rPr>
        <w:t xml:space="preserve">wenst </w:t>
      </w:r>
      <w:r w:rsidRPr="00A00329">
        <w:rPr>
          <w:rFonts w:eastAsia="DejaVuSerifCondensed" w:cs="DejaVuSerifCondensed"/>
        </w:rPr>
        <w:t xml:space="preserve">het ondernemingsklimaat </w:t>
      </w:r>
      <w:r>
        <w:rPr>
          <w:rFonts w:eastAsia="DejaVuSerifCondensed" w:cs="DejaVuSerifCondensed"/>
        </w:rPr>
        <w:t xml:space="preserve">voor alle ondernemers </w:t>
      </w:r>
      <w:r w:rsidRPr="00A00329">
        <w:rPr>
          <w:rFonts w:eastAsia="DejaVuSerifCondensed" w:cs="DejaVuSerifCondensed"/>
        </w:rPr>
        <w:t xml:space="preserve">te versterken. Daarom </w:t>
      </w:r>
      <w:r>
        <w:rPr>
          <w:rFonts w:eastAsia="DejaVuSerifCondensed" w:cs="DejaVuSerifCondensed"/>
        </w:rPr>
        <w:t>is</w:t>
      </w:r>
      <w:r w:rsidRPr="00A00329">
        <w:rPr>
          <w:rFonts w:eastAsia="DejaVuSerifCondensed" w:cs="DejaVuSerifCondensed"/>
        </w:rPr>
        <w:t xml:space="preserve"> in het Belastingplan 2025 </w:t>
      </w:r>
      <w:r>
        <w:rPr>
          <w:rFonts w:eastAsia="DejaVuSerifCondensed" w:cs="DejaVuSerifCondensed"/>
        </w:rPr>
        <w:t xml:space="preserve">onder meer </w:t>
      </w:r>
      <w:r w:rsidRPr="00A00329">
        <w:rPr>
          <w:rFonts w:eastAsia="DejaVuSerifCondensed" w:cs="DejaVuSerifCondensed"/>
        </w:rPr>
        <w:t xml:space="preserve">een maatregel voorgesteld waarmee de renteaftrek per 1 januari 2025 versoepeld </w:t>
      </w:r>
      <w:r w:rsidR="009024C9">
        <w:rPr>
          <w:rFonts w:eastAsia="DejaVuSerifCondensed" w:cs="DejaVuSerifCondensed"/>
        </w:rPr>
        <w:t xml:space="preserve">zou worden </w:t>
      </w:r>
      <w:r w:rsidRPr="00A00329">
        <w:rPr>
          <w:rFonts w:eastAsia="DejaVuSerifCondensed" w:cs="DejaVuSerifCondensed"/>
        </w:rPr>
        <w:t xml:space="preserve">door het percentage te verhogen van 20% naar 25% van de gecorrigeerde winst. </w:t>
      </w:r>
      <w:r>
        <w:rPr>
          <w:rFonts w:eastAsia="DejaVuSerifCondensed" w:cs="DejaVuSerifCondensed"/>
        </w:rPr>
        <w:t>Dit percentage is bij amendement, dat door de Tweede Kamer is aangenomen tijdens de behandeling van het pakket Belastingplan 2025, verlaagd van 25% naar 24,5%.</w:t>
      </w:r>
      <w:r>
        <w:rPr>
          <w:rStyle w:val="Voetnootmarkering"/>
          <w:rFonts w:eastAsia="DejaVuSerifCondensed" w:cs="DejaVuSerifCondensed"/>
        </w:rPr>
        <w:footnoteReference w:id="3"/>
      </w:r>
      <w:r>
        <w:rPr>
          <w:rFonts w:eastAsia="DejaVuSerifCondensed" w:cs="DejaVuSerifCondensed"/>
        </w:rPr>
        <w:t xml:space="preserve"> Met de </w:t>
      </w:r>
      <w:r w:rsidR="009024C9">
        <w:rPr>
          <w:rFonts w:eastAsia="DejaVuSerifCondensed" w:cs="DejaVuSerifCondensed"/>
        </w:rPr>
        <w:t xml:space="preserve">inmiddels ingetreden </w:t>
      </w:r>
      <w:r>
        <w:rPr>
          <w:rFonts w:eastAsia="DejaVuSerifCondensed" w:cs="DejaVuSerifCondensed"/>
        </w:rPr>
        <w:t>verhoging van het percentage</w:t>
      </w:r>
      <w:r w:rsidRPr="00A00329">
        <w:rPr>
          <w:rFonts w:eastAsia="DejaVuSerifCondensed" w:cs="DejaVuSerifCondensed"/>
        </w:rPr>
        <w:t xml:space="preserve"> is een fiscale lastenverlichting van €</w:t>
      </w:r>
      <w:r>
        <w:rPr>
          <w:rFonts w:eastAsia="DejaVuSerifCondensed" w:cs="DejaVuSerifCondensed"/>
        </w:rPr>
        <w:t xml:space="preserve"> 383 miljoen </w:t>
      </w:r>
      <w:r w:rsidRPr="00A00329">
        <w:rPr>
          <w:rFonts w:eastAsia="DejaVuSerifCondensed" w:cs="DejaVuSerifCondensed"/>
        </w:rPr>
        <w:t xml:space="preserve">voor belastingplichtigen gemoeid. Dit slaat ook voor een deel neer bij maatschappelijke organisaties zoals woningcorporaties, die investeren via vennootschappen die met vreemd vermogen zijn gefinancierd. </w:t>
      </w:r>
      <w:r>
        <w:rPr>
          <w:rFonts w:eastAsia="DejaVuSerifCondensed" w:cs="DejaVuSerifCondensed"/>
        </w:rPr>
        <w:t>Specifiek v</w:t>
      </w:r>
      <w:r w:rsidRPr="00A00329">
        <w:rPr>
          <w:rFonts w:eastAsia="DejaVuSerifCondensed" w:cs="DejaVuSerifCondensed"/>
        </w:rPr>
        <w:t>oor woningcorporaties leidt d</w:t>
      </w:r>
      <w:r>
        <w:rPr>
          <w:rFonts w:eastAsia="DejaVuSerifCondensed" w:cs="DejaVuSerifCondensed"/>
        </w:rPr>
        <w:t>eze maatregel</w:t>
      </w:r>
      <w:r w:rsidRPr="00A00329">
        <w:rPr>
          <w:rFonts w:eastAsia="DejaVuSerifCondensed" w:cs="DejaVuSerifCondensed"/>
        </w:rPr>
        <w:t xml:space="preserve"> tot een fiscale lastenverlichting van € </w:t>
      </w:r>
      <w:r>
        <w:rPr>
          <w:rFonts w:eastAsia="DejaVuSerifCondensed" w:cs="DejaVuSerifCondensed"/>
        </w:rPr>
        <w:t xml:space="preserve">69 </w:t>
      </w:r>
      <w:r w:rsidRPr="00A00329">
        <w:rPr>
          <w:rFonts w:eastAsia="DejaVuSerifCondensed" w:cs="DejaVuSerifCondensed"/>
        </w:rPr>
        <w:t xml:space="preserve">miljoen. </w:t>
      </w:r>
    </w:p>
    <w:p w:rsidRPr="00A00329" w:rsidR="00E15EA4" w:rsidP="00E15EA4" w:rsidRDefault="00E15EA4" w14:paraId="5D012DE5" w14:textId="77777777">
      <w:pPr>
        <w:autoSpaceDE w:val="0"/>
        <w:adjustRightInd w:val="0"/>
        <w:rPr>
          <w:rFonts w:eastAsia="DejaVuSerifCondensed" w:cs="DejaVuSerifCondensed"/>
        </w:rPr>
      </w:pPr>
    </w:p>
    <w:p w:rsidRPr="00A00329" w:rsidR="00E15EA4" w:rsidP="00E15EA4" w:rsidRDefault="00E15EA4" w14:paraId="114A8994" w14:textId="77777777">
      <w:pPr>
        <w:autoSpaceDE w:val="0"/>
        <w:adjustRightInd w:val="0"/>
        <w:rPr>
          <w:rFonts w:eastAsia="DejaVuSerifCondensed" w:cs="DejaVuSerifCondensed"/>
          <w:b/>
          <w:bCs/>
        </w:rPr>
      </w:pPr>
      <w:r w:rsidRPr="00A00329">
        <w:rPr>
          <w:rFonts w:eastAsia="DejaVuSerifCondensed" w:cs="DejaVuSerifCondensed"/>
          <w:b/>
          <w:bCs/>
        </w:rPr>
        <w:t xml:space="preserve">Vraag 3 </w:t>
      </w:r>
    </w:p>
    <w:p w:rsidRPr="00A00329" w:rsidR="00E15EA4" w:rsidP="00E15EA4" w:rsidRDefault="00E15EA4" w14:paraId="738CAF01" w14:textId="77777777">
      <w:pPr>
        <w:autoSpaceDE w:val="0"/>
        <w:adjustRightInd w:val="0"/>
        <w:rPr>
          <w:rFonts w:eastAsia="DejaVuSerifCondensed" w:cstheme="minorHAnsi"/>
        </w:rPr>
      </w:pPr>
      <w:r w:rsidRPr="00A00329">
        <w:rPr>
          <w:rFonts w:eastAsia="DejaVuSerifCondensed" w:cstheme="minorHAnsi"/>
        </w:rPr>
        <w:t xml:space="preserve">Kunt u aangeven waarom het gewenst is </w:t>
      </w:r>
      <w:bookmarkStart w:name="_Hlk184822128" w:id="3"/>
      <w:r w:rsidRPr="00A00329">
        <w:rPr>
          <w:rFonts w:eastAsia="DejaVuSerifCondensed" w:cstheme="minorHAnsi"/>
        </w:rPr>
        <w:t xml:space="preserve">om geen onderscheid te maken tussen verschillende groepen belastingplichtigen </w:t>
      </w:r>
      <w:bookmarkEnd w:id="3"/>
      <w:r w:rsidRPr="00A00329">
        <w:rPr>
          <w:rFonts w:eastAsia="DejaVuSerifCondensed" w:cstheme="minorHAnsi"/>
        </w:rPr>
        <w:t>terwijl het voor maatschappelijke organisaties evident voor een verzwaring zorgt?</w:t>
      </w:r>
    </w:p>
    <w:p w:rsidRPr="00A00329" w:rsidR="00E15EA4" w:rsidP="00E15EA4" w:rsidRDefault="00E15EA4" w14:paraId="7722BB10" w14:textId="77777777">
      <w:pPr>
        <w:autoSpaceDE w:val="0"/>
        <w:adjustRightInd w:val="0"/>
        <w:rPr>
          <w:rFonts w:eastAsia="DejaVuSerifCondensed" w:cstheme="minorHAnsi"/>
        </w:rPr>
      </w:pPr>
    </w:p>
    <w:p w:rsidRPr="00A00329" w:rsidR="00E15EA4" w:rsidP="00E15EA4" w:rsidRDefault="00E15EA4" w14:paraId="0A6F3ED7" w14:textId="77777777">
      <w:pPr>
        <w:autoSpaceDE w:val="0"/>
        <w:adjustRightInd w:val="0"/>
        <w:rPr>
          <w:rFonts w:eastAsia="DejaVuSerifCondensed" w:cs="DejaVuSerifCondensed"/>
          <w:b/>
          <w:bCs/>
        </w:rPr>
      </w:pPr>
      <w:r w:rsidRPr="00A00329">
        <w:rPr>
          <w:rFonts w:eastAsia="DejaVuSerifCondensed" w:cs="DejaVuSerifCondensed"/>
          <w:b/>
          <w:bCs/>
        </w:rPr>
        <w:t>Antwoord vraag 3</w:t>
      </w:r>
    </w:p>
    <w:p w:rsidRPr="00A00329" w:rsidR="00E15EA4" w:rsidP="00E15EA4" w:rsidRDefault="00E15EA4" w14:paraId="68CA727A" w14:textId="77777777">
      <w:pPr>
        <w:autoSpaceDE w:val="0"/>
        <w:adjustRightInd w:val="0"/>
        <w:rPr>
          <w:color w:val="211D1F"/>
        </w:rPr>
      </w:pPr>
      <w:r w:rsidRPr="00A00329">
        <w:t>De earningsstrippingmaatregel is een generieke renteaftrekbeperking</w:t>
      </w:r>
      <w:r>
        <w:t xml:space="preserve"> die volgt uit ATAD1. De richtlijn maakt</w:t>
      </w:r>
      <w:r w:rsidRPr="00A00329">
        <w:t xml:space="preserve"> geen onderscheid tussen verschillende belastingplichtigen. ATAD1 </w:t>
      </w:r>
      <w:r w:rsidRPr="00A00329">
        <w:rPr>
          <w:color w:val="211D1F"/>
        </w:rPr>
        <w:t xml:space="preserve">biedt lidstaten </w:t>
      </w:r>
      <w:r>
        <w:rPr>
          <w:color w:val="211D1F"/>
        </w:rPr>
        <w:t>wel</w:t>
      </w:r>
      <w:r w:rsidRPr="00A00329">
        <w:rPr>
          <w:color w:val="211D1F"/>
        </w:rPr>
        <w:t xml:space="preserve"> een aantal mogelijkheden om een uitzondering te maken ten aanzien van de toepassing van de renteaftrekbeperking. </w:t>
      </w:r>
      <w:r w:rsidRPr="00A00329">
        <w:t>Zo kent de richtlijn onder meer een uitzondering voor leningen aan langlopende openbare-infrastructuurprojecten</w:t>
      </w:r>
      <w:r w:rsidRPr="00A00329">
        <w:rPr>
          <w:rStyle w:val="Voetnootmarkering"/>
        </w:rPr>
        <w:footnoteReference w:id="4"/>
      </w:r>
      <w:r w:rsidRPr="00A00329">
        <w:t>, een vrijstelling voor opzichzelfstaande entiteiten</w:t>
      </w:r>
      <w:r w:rsidRPr="00A00329">
        <w:rPr>
          <w:rStyle w:val="Voetnootmarkering"/>
        </w:rPr>
        <w:footnoteReference w:id="5"/>
      </w:r>
      <w:r w:rsidRPr="00A00329">
        <w:t xml:space="preserve"> en een uitzondering voor lichamen die deel uitmaken van een groep</w:t>
      </w:r>
      <w:r w:rsidRPr="00A00329">
        <w:rPr>
          <w:rStyle w:val="Voetnootmarkering"/>
        </w:rPr>
        <w:footnoteReference w:id="6"/>
      </w:r>
      <w:r w:rsidRPr="00A00329">
        <w:t xml:space="preserve">. </w:t>
      </w:r>
      <w:r w:rsidRPr="00A00329">
        <w:rPr>
          <w:color w:val="211D1F"/>
        </w:rPr>
        <w:t xml:space="preserve">De richtlijn voorziet echter niet in het expliciet uitzonderen van enkel een bepaalde groep belastingplichtigen voor de toepassing van de </w:t>
      </w:r>
      <w:r>
        <w:rPr>
          <w:color w:val="211D1F"/>
        </w:rPr>
        <w:t>earningsstripping</w:t>
      </w:r>
      <w:r w:rsidRPr="00A00329">
        <w:rPr>
          <w:color w:val="211D1F"/>
        </w:rPr>
        <w:t xml:space="preserve">maatregel. Dit betekent dat het uitzonderen van een bepaalde groep belastingplichtigen voor de toepassing van de earningsstrippingmaatregel niet mogelijk is, omdat Nederland in dat geval niet </w:t>
      </w:r>
      <w:r>
        <w:rPr>
          <w:color w:val="211D1F"/>
        </w:rPr>
        <w:t xml:space="preserve">zou </w:t>
      </w:r>
      <w:r w:rsidRPr="00A00329">
        <w:rPr>
          <w:color w:val="211D1F"/>
        </w:rPr>
        <w:t>voldoe</w:t>
      </w:r>
      <w:r>
        <w:rPr>
          <w:color w:val="211D1F"/>
        </w:rPr>
        <w:t>n</w:t>
      </w:r>
      <w:r w:rsidRPr="00A00329">
        <w:rPr>
          <w:color w:val="211D1F"/>
        </w:rPr>
        <w:t xml:space="preserve"> aan de implementatieverplichting ten aanzien van (de minimumnorm die volgt uit) de richtlijn.</w:t>
      </w:r>
    </w:p>
    <w:p w:rsidRPr="00A00329" w:rsidR="00E15EA4" w:rsidP="00E15EA4" w:rsidRDefault="00E15EA4" w14:paraId="3996B140" w14:textId="77777777">
      <w:pPr>
        <w:autoSpaceDE w:val="0"/>
        <w:adjustRightInd w:val="0"/>
        <w:rPr>
          <w:color w:val="211D1F"/>
        </w:rPr>
      </w:pPr>
    </w:p>
    <w:p w:rsidRPr="00A00329" w:rsidR="00E15EA4" w:rsidP="00E15EA4" w:rsidRDefault="00E15EA4" w14:paraId="651AB28C" w14:textId="77777777">
      <w:pPr>
        <w:autoSpaceDE w:val="0"/>
        <w:adjustRightInd w:val="0"/>
      </w:pPr>
      <w:r>
        <w:rPr>
          <w:color w:val="211D1F"/>
        </w:rPr>
        <w:t>Daarnaast is b</w:t>
      </w:r>
      <w:r w:rsidRPr="00A00329">
        <w:rPr>
          <w:color w:val="211D1F"/>
        </w:rPr>
        <w:t xml:space="preserve">ij het introduceren van een van de in ATAD1 genoemde uitzonderingen voor toepassing van de earningsstrippingmaatregel van belang dat de staatssteunregels in acht worden genomen. </w:t>
      </w:r>
      <w:r w:rsidRPr="00A00329">
        <w:t xml:space="preserve">Het verlenen van staatssteun is in beginsel verboden en alleen onder bepaalde voorwaarden toegestaan, bijvoorbeeld om ervoor te zorgen dat een Dienst van Algemeen Economisch Belang (DAEB) kan worden uitgevoerd of als er een vrijstellingsmogelijkheid van toepassing </w:t>
      </w:r>
      <w:r>
        <w:t xml:space="preserve">is dan wel als er een goedkeuringsgrond </w:t>
      </w:r>
      <w:r w:rsidRPr="00A00329">
        <w:t>is. Door alleen een uitzondering voor een specifieke groep te creëren</w:t>
      </w:r>
      <w:r>
        <w:t>,</w:t>
      </w:r>
      <w:r w:rsidRPr="00A00329">
        <w:t xml:space="preserve"> ontstaat er mogelijk een ongelijk speelveld met andere marktpartijen.</w:t>
      </w:r>
      <w:r w:rsidRPr="00A00329">
        <w:rPr>
          <w:rFonts w:eastAsia="Calibri" w:cs="Calibri"/>
        </w:rPr>
        <w:t xml:space="preserve"> </w:t>
      </w:r>
    </w:p>
    <w:p w:rsidRPr="00A00329" w:rsidR="00E15EA4" w:rsidP="00E15EA4" w:rsidRDefault="00E15EA4" w14:paraId="4C409DF1" w14:textId="77777777">
      <w:pPr>
        <w:autoSpaceDE w:val="0"/>
        <w:adjustRightInd w:val="0"/>
        <w:rPr>
          <w:rFonts w:eastAsia="DejaVuSerifCondensed" w:cs="DejaVuSerifCondensed"/>
        </w:rPr>
      </w:pPr>
    </w:p>
    <w:p w:rsidRPr="00A00329" w:rsidR="00E15EA4" w:rsidP="00E15EA4" w:rsidRDefault="00E15EA4" w14:paraId="65F814C5" w14:textId="77777777">
      <w:pPr>
        <w:autoSpaceDE w:val="0"/>
        <w:adjustRightInd w:val="0"/>
        <w:rPr>
          <w:rFonts w:eastAsia="DejaVuSerifCondensed" w:cs="DejaVuSerifCondensed"/>
          <w:b/>
          <w:bCs/>
        </w:rPr>
      </w:pPr>
      <w:r w:rsidRPr="00A00329">
        <w:rPr>
          <w:rFonts w:eastAsia="DejaVuSerifCondensed" w:cs="DejaVuSerifCondensed"/>
          <w:b/>
          <w:bCs/>
        </w:rPr>
        <w:t xml:space="preserve">Vraag 4 </w:t>
      </w:r>
    </w:p>
    <w:p w:rsidRPr="00A00329" w:rsidR="00E15EA4" w:rsidP="00E15EA4" w:rsidRDefault="00E15EA4" w14:paraId="7941AAD2" w14:textId="77777777">
      <w:pPr>
        <w:autoSpaceDE w:val="0"/>
        <w:adjustRightInd w:val="0"/>
        <w:rPr>
          <w:rFonts w:eastAsia="DejaVuSerifCondensed" w:cs="DejaVuSerifCondensed"/>
        </w:rPr>
      </w:pPr>
      <w:r w:rsidRPr="00A00329">
        <w:rPr>
          <w:rFonts w:eastAsia="DejaVuSerifCondensed" w:cs="DejaVuSerifCondensed"/>
        </w:rPr>
        <w:t>Kunt u aangeven waarom in uw ogen een verlichting niet mogelijk is terwijl een verzwaring wel</w:t>
      </w:r>
      <w:r w:rsidR="00D02F5B">
        <w:rPr>
          <w:rFonts w:eastAsia="DejaVuSerifCondensed" w:cs="DejaVuSerifCondensed"/>
        </w:rPr>
        <w:t xml:space="preserve"> </w:t>
      </w:r>
      <w:r w:rsidRPr="00A00329">
        <w:rPr>
          <w:rFonts w:eastAsia="DejaVuSerifCondensed" w:cs="DejaVuSerifCondensed"/>
        </w:rPr>
        <w:t xml:space="preserve">mogelijk is? </w:t>
      </w:r>
    </w:p>
    <w:p w:rsidRPr="00A00329" w:rsidR="00E15EA4" w:rsidP="00E15EA4" w:rsidRDefault="00E15EA4" w14:paraId="674331A6" w14:textId="77777777">
      <w:pPr>
        <w:autoSpaceDE w:val="0"/>
        <w:adjustRightInd w:val="0"/>
        <w:rPr>
          <w:rFonts w:eastAsia="DejaVuSerifCondensed" w:cs="DejaVuSerifCondensed"/>
        </w:rPr>
      </w:pPr>
    </w:p>
    <w:p w:rsidRPr="00A00329" w:rsidR="00E15EA4" w:rsidP="00E15EA4" w:rsidRDefault="00E15EA4" w14:paraId="17D494C9" w14:textId="77777777">
      <w:pPr>
        <w:autoSpaceDE w:val="0"/>
        <w:adjustRightInd w:val="0"/>
        <w:rPr>
          <w:rFonts w:eastAsia="DejaVuSerifCondensed" w:cs="DejaVuSerifCondensed"/>
          <w:b/>
          <w:bCs/>
        </w:rPr>
      </w:pPr>
      <w:r w:rsidRPr="00A00329">
        <w:rPr>
          <w:rFonts w:eastAsia="DejaVuSerifCondensed" w:cs="DejaVuSerifCondensed"/>
          <w:b/>
          <w:bCs/>
        </w:rPr>
        <w:t>Antwoord vraag 4</w:t>
      </w:r>
    </w:p>
    <w:p w:rsidRPr="00A00329" w:rsidR="00E15EA4" w:rsidP="00E15EA4" w:rsidRDefault="00E15EA4" w14:paraId="515C9093" w14:textId="77777777">
      <w:pPr>
        <w:autoSpaceDE w:val="0"/>
        <w:adjustRightInd w:val="0"/>
        <w:rPr>
          <w:rFonts w:eastAsia="DejaVuSerifCondensed" w:cs="DejaVuSerifCondensed"/>
        </w:rPr>
      </w:pPr>
      <w:r>
        <w:rPr>
          <w:rFonts w:eastAsia="DejaVuSerifCondensed" w:cs="DejaVuSerifCondensed"/>
        </w:rPr>
        <w:t>De</w:t>
      </w:r>
      <w:r w:rsidRPr="00A00329">
        <w:rPr>
          <w:rFonts w:eastAsia="DejaVuSerifCondensed" w:cs="DejaVuSerifCondensed"/>
        </w:rPr>
        <w:t xml:space="preserve"> </w:t>
      </w:r>
      <w:r w:rsidRPr="00A00329">
        <w:t xml:space="preserve">earningsstrippingmaatregel </w:t>
      </w:r>
      <w:r>
        <w:rPr>
          <w:rFonts w:eastAsia="DejaVuSerifCondensed" w:cs="DejaVuSerifCondensed"/>
        </w:rPr>
        <w:t>vloeit voort</w:t>
      </w:r>
      <w:r w:rsidRPr="00A00329">
        <w:rPr>
          <w:rFonts w:eastAsia="DejaVuSerifCondensed" w:cs="DejaVuSerifCondensed"/>
        </w:rPr>
        <w:t xml:space="preserve"> uit ATAD1. Deze richtlijn betreft een minimumnorm voor antimisbruikmaatregelen die ten doel hebben om belastingontwijking tegen te gaan. </w:t>
      </w:r>
      <w:r>
        <w:rPr>
          <w:rFonts w:eastAsia="DejaVuSerifCondensed" w:cs="DejaVuSerifCondensed"/>
        </w:rPr>
        <w:t>Een verlichting is – in tegenstelling tot wat de vraag suggereert – wel mogelijk, voor zover de earningsstrippingmaatregel in ieder geval in overeenstemming is met de minimumnorm uit ATAD1, zodat aan de implementatieverplichting</w:t>
      </w:r>
      <w:r w:rsidRPr="00A00329">
        <w:rPr>
          <w:color w:val="211D1F"/>
        </w:rPr>
        <w:t xml:space="preserve"> </w:t>
      </w:r>
      <w:r>
        <w:rPr>
          <w:color w:val="211D1F"/>
        </w:rPr>
        <w:t xml:space="preserve">van </w:t>
      </w:r>
      <w:r w:rsidRPr="00A00329">
        <w:rPr>
          <w:color w:val="211D1F"/>
        </w:rPr>
        <w:t>de richtlijn</w:t>
      </w:r>
      <w:r>
        <w:rPr>
          <w:color w:val="211D1F"/>
        </w:rPr>
        <w:t xml:space="preserve"> wordt voldaan. Voorts </w:t>
      </w:r>
      <w:r>
        <w:rPr>
          <w:rFonts w:eastAsia="DejaVuSerifCondensed" w:cs="DejaVuSerifCondensed"/>
        </w:rPr>
        <w:t>biedt ATAD1</w:t>
      </w:r>
      <w:r w:rsidRPr="00A00329">
        <w:rPr>
          <w:rFonts w:eastAsia="DejaVuSerifCondensed" w:cs="DejaVuSerifCondensed"/>
        </w:rPr>
        <w:t xml:space="preserve"> lidstaten uitdrukkelijk de mogelijkheid om verdergaande </w:t>
      </w:r>
      <w:r>
        <w:rPr>
          <w:rFonts w:eastAsia="DejaVuSerifCondensed" w:cs="DejaVuSerifCondensed"/>
        </w:rPr>
        <w:t xml:space="preserve">(dus verzwarende) </w:t>
      </w:r>
      <w:r w:rsidRPr="00A00329">
        <w:rPr>
          <w:rFonts w:eastAsia="DejaVuSerifCondensed" w:cs="DejaVuSerifCondensed"/>
        </w:rPr>
        <w:t>maatregelen te nemen die aansluiten bij het betreffende nationale vennootschapsbelastingstelsel en de daarbij geconstateerde wijze van belastingontwijking.</w:t>
      </w:r>
      <w:r>
        <w:rPr>
          <w:rFonts w:eastAsia="DejaVuSerifCondensed" w:cs="DejaVuSerifCondensed"/>
        </w:rPr>
        <w:t xml:space="preserve"> </w:t>
      </w:r>
      <w:r w:rsidRPr="0039714C">
        <w:rPr>
          <w:rFonts w:eastAsia="DejaVuSerifCondensed" w:cs="DejaVuSerifCondensed"/>
        </w:rPr>
        <w:t xml:space="preserve">Dit kabinet heeft </w:t>
      </w:r>
      <w:r w:rsidRPr="0039714C">
        <w:t xml:space="preserve">een verlichting van de earningsstrippingmaatregel voorgesteld </w:t>
      </w:r>
      <w:r w:rsidRPr="0039714C">
        <w:rPr>
          <w:rFonts w:eastAsia="DejaVuSerifCondensed" w:cs="DejaVuSerifCondensed"/>
        </w:rPr>
        <w:t xml:space="preserve">om het ondernemingsklimaat van Nederland te versterken. Zo </w:t>
      </w:r>
      <w:r w:rsidR="00893092">
        <w:rPr>
          <w:rFonts w:eastAsia="DejaVuSerifCondensed" w:cs="DejaVuSerifCondensed"/>
        </w:rPr>
        <w:t xml:space="preserve">heeft </w:t>
      </w:r>
      <w:r>
        <w:rPr>
          <w:rFonts w:eastAsia="DejaVuSerifCondensed" w:cs="DejaVuSerifCondensed"/>
        </w:rPr>
        <w:t>het kabinet in het Belastingplan 2025 voor</w:t>
      </w:r>
      <w:r w:rsidR="00893092">
        <w:rPr>
          <w:rFonts w:eastAsia="DejaVuSerifCondensed" w:cs="DejaVuSerifCondensed"/>
        </w:rPr>
        <w:t>gesteld</w:t>
      </w:r>
      <w:r>
        <w:t xml:space="preserve"> om </w:t>
      </w:r>
      <w:r w:rsidRPr="00A00329">
        <w:rPr>
          <w:rFonts w:eastAsia="DejaVuSerifCondensed" w:cs="DejaVuSerifCondensed"/>
        </w:rPr>
        <w:t xml:space="preserve">het percentage te verhogen van 20% naar </w:t>
      </w:r>
      <w:r>
        <w:rPr>
          <w:rFonts w:eastAsia="DejaVuSerifCondensed" w:cs="DejaVuSerifCondensed"/>
        </w:rPr>
        <w:t>25</w:t>
      </w:r>
      <w:r w:rsidRPr="00A00329">
        <w:rPr>
          <w:rFonts w:eastAsia="DejaVuSerifCondensed" w:cs="DejaVuSerifCondensed"/>
        </w:rPr>
        <w:t>% van de gecorrigeerde winst.</w:t>
      </w:r>
      <w:r>
        <w:rPr>
          <w:rFonts w:eastAsia="DejaVuSerifCondensed" w:cs="DejaVuSerifCondensed"/>
        </w:rPr>
        <w:t xml:space="preserve"> Dit percentage is bij amendement verlaagd van 25% naar 24,5%. Met de verhoging van het percentage</w:t>
      </w:r>
      <w:r w:rsidRPr="00A00329">
        <w:rPr>
          <w:rFonts w:eastAsia="DejaVuSerifCondensed" w:cs="DejaVuSerifCondensed"/>
        </w:rPr>
        <w:t xml:space="preserve"> is een fiscale lastenverlichting van € </w:t>
      </w:r>
      <w:r>
        <w:rPr>
          <w:rFonts w:eastAsia="DejaVuSerifCondensed" w:cs="DejaVuSerifCondensed"/>
        </w:rPr>
        <w:t xml:space="preserve">383 miljoen </w:t>
      </w:r>
      <w:r w:rsidRPr="00A00329">
        <w:rPr>
          <w:rFonts w:eastAsia="DejaVuSerifCondensed" w:cs="DejaVuSerifCondensed"/>
        </w:rPr>
        <w:t>voor belastingplichtigen gemoeid.</w:t>
      </w:r>
      <w:r>
        <w:rPr>
          <w:rFonts w:eastAsia="DejaVuSerifCondensed" w:cs="DejaVuSerifCondensed"/>
        </w:rPr>
        <w:t xml:space="preserve"> </w:t>
      </w:r>
      <w:r w:rsidRPr="00A00329">
        <w:rPr>
          <w:rFonts w:eastAsia="DejaVuSerifCondensed" w:cs="DejaVuSerifCondensed"/>
        </w:rPr>
        <w:t xml:space="preserve">Dit slaat ook voor een deel neer bij maatschappelijke organisaties, die investeren via vennootschappen die met vreemd vermogen zijn gefinancierd. </w:t>
      </w:r>
    </w:p>
    <w:p w:rsidR="00E15EA4" w:rsidP="00E15EA4" w:rsidRDefault="00E15EA4" w14:paraId="67234206" w14:textId="77777777">
      <w:pPr>
        <w:autoSpaceDE w:val="0"/>
        <w:adjustRightInd w:val="0"/>
        <w:rPr>
          <w:rFonts w:eastAsia="DejaVuSerifCondensed" w:cs="DejaVuSerifCondensed"/>
        </w:rPr>
      </w:pPr>
    </w:p>
    <w:p w:rsidRPr="00A00329" w:rsidR="00E15EA4" w:rsidP="00E15EA4" w:rsidRDefault="00E15EA4" w14:paraId="4EA8CC3A" w14:textId="77777777">
      <w:pPr>
        <w:autoSpaceDE w:val="0"/>
        <w:adjustRightInd w:val="0"/>
        <w:rPr>
          <w:rFonts w:eastAsia="DejaVuSerifCondensed" w:cs="DejaVuSerifCondensed"/>
          <w:b/>
          <w:bCs/>
        </w:rPr>
      </w:pPr>
      <w:r w:rsidRPr="00A00329">
        <w:rPr>
          <w:rFonts w:eastAsia="DejaVuSerifCondensed" w:cs="DejaVuSerifCondensed"/>
          <w:b/>
          <w:bCs/>
        </w:rPr>
        <w:t xml:space="preserve">Vraag 5 </w:t>
      </w:r>
    </w:p>
    <w:p w:rsidRPr="00A00329" w:rsidR="00E15EA4" w:rsidP="00E15EA4" w:rsidRDefault="00E15EA4" w14:paraId="3CAFA410" w14:textId="77777777">
      <w:pPr>
        <w:autoSpaceDE w:val="0"/>
        <w:adjustRightInd w:val="0"/>
        <w:rPr>
          <w:rFonts w:eastAsia="DejaVuSerifCondensed" w:cs="DejaVuSerifCondensed"/>
        </w:rPr>
      </w:pPr>
      <w:r w:rsidRPr="00A00329">
        <w:rPr>
          <w:rFonts w:eastAsia="DejaVuSerifCondensed" w:cs="DejaVuSerifCondensed"/>
        </w:rPr>
        <w:t>Wat is uw mening over de uitzondering die gemaakt is voor zogenoemde projecten van Publiek</w:t>
      </w:r>
      <w:r w:rsidR="00D02F5B">
        <w:rPr>
          <w:rFonts w:eastAsia="DejaVuSerifCondensed" w:cs="DejaVuSerifCondensed"/>
        </w:rPr>
        <w:t xml:space="preserve"> </w:t>
      </w:r>
      <w:r w:rsidRPr="00A00329">
        <w:rPr>
          <w:rFonts w:eastAsia="DejaVuSerifCondensed" w:cs="DejaVuSerifCondensed"/>
        </w:rPr>
        <w:t xml:space="preserve">Private Samenwerking (hierna: PPS)? </w:t>
      </w:r>
    </w:p>
    <w:p w:rsidRPr="00A00329" w:rsidR="00E15EA4" w:rsidP="00E15EA4" w:rsidRDefault="00E15EA4" w14:paraId="3935CF3B" w14:textId="77777777">
      <w:pPr>
        <w:autoSpaceDE w:val="0"/>
        <w:adjustRightInd w:val="0"/>
        <w:rPr>
          <w:rFonts w:eastAsia="DejaVuSerifCondensed" w:cs="DejaVuSerifCondensed"/>
        </w:rPr>
      </w:pPr>
    </w:p>
    <w:p w:rsidRPr="00A00329" w:rsidR="00E15EA4" w:rsidP="00E15EA4" w:rsidRDefault="00E15EA4" w14:paraId="605BE6F8" w14:textId="77777777">
      <w:pPr>
        <w:autoSpaceDE w:val="0"/>
        <w:adjustRightInd w:val="0"/>
        <w:rPr>
          <w:rFonts w:eastAsia="DejaVuSerifCondensed" w:cs="DejaVuSerifCondensed"/>
          <w:b/>
          <w:bCs/>
        </w:rPr>
      </w:pPr>
      <w:r w:rsidRPr="00A00329">
        <w:rPr>
          <w:rFonts w:eastAsia="DejaVuSerifCondensed" w:cs="DejaVuSerifCondensed"/>
          <w:b/>
          <w:bCs/>
        </w:rPr>
        <w:t>Antwoord vraag 5</w:t>
      </w:r>
    </w:p>
    <w:p w:rsidRPr="004D2332" w:rsidR="00BE70DF" w:rsidP="00BE70DF" w:rsidRDefault="00BE70DF" w14:paraId="40B89E72" w14:textId="77777777">
      <w:pPr>
        <w:autoSpaceDE w:val="0"/>
        <w:adjustRightInd w:val="0"/>
        <w:rPr>
          <w:rFonts w:eastAsia="DejaVuSerifCondensed" w:cs="DejaVuSerifCondensed"/>
        </w:rPr>
      </w:pPr>
      <w:r w:rsidRPr="004D2332">
        <w:rPr>
          <w:rFonts w:eastAsia="DejaVuSerifCondensed" w:cs="DejaVuSerifCondensed"/>
        </w:rPr>
        <w:t xml:space="preserve">Via Publiek Private Samenwerkingsverbanden (PPS) is het Rijk (of een lagere overheid) bij het ontwerp, de bouw, de financiering, het onderhoud en (eventueel) de exploitatie van afzonderlijke openbare-infrastructuurprojecten partner van private partijen. </w:t>
      </w:r>
      <w:r w:rsidRPr="00E323B2">
        <w:rPr>
          <w:rFonts w:eastAsia="DejaVuSerifCondensed" w:cs="DejaVuSerifCondensed"/>
        </w:rPr>
        <w:t xml:space="preserve">Het gaat hierbij om projecten die </w:t>
      </w:r>
      <w:bookmarkStart w:name="_Hlk188385511" w:id="4"/>
      <w:r w:rsidRPr="00E323B2">
        <w:rPr>
          <w:rFonts w:eastAsia="DejaVuSerifCondensed" w:cs="DejaVuSerifCondensed"/>
        </w:rPr>
        <w:t>verband houden met algemene openbare infrastructuur zoals wegen, tunnels, bruggen en sluizen</w:t>
      </w:r>
      <w:bookmarkEnd w:id="4"/>
      <w:r w:rsidRPr="00E323B2">
        <w:rPr>
          <w:rFonts w:eastAsia="DejaVuSerifCondensed" w:cs="DejaVuSerifCondensed"/>
        </w:rPr>
        <w:t>.</w:t>
      </w:r>
      <w:r w:rsidRPr="004D2332">
        <w:rPr>
          <w:rFonts w:eastAsia="DejaVuSerifCondensed" w:cs="DejaVuSerifCondensed"/>
        </w:rPr>
        <w:t xml:space="preserve"> Binnen de </w:t>
      </w:r>
      <w:bookmarkStart w:name="_Hlk188384872" w:id="5"/>
      <w:r w:rsidRPr="004D2332">
        <w:rPr>
          <w:rFonts w:eastAsia="DejaVuSerifCondensed" w:cs="DejaVuSerifCondensed"/>
        </w:rPr>
        <w:t>ruimte van de uitzonderingsmogelijkheid die ATAD1 biedt</w:t>
      </w:r>
      <w:r>
        <w:rPr>
          <w:rFonts w:eastAsia="DejaVuSerifCondensed" w:cs="DejaVuSerifCondensed"/>
        </w:rPr>
        <w:t xml:space="preserve"> </w:t>
      </w:r>
      <w:r w:rsidRPr="00E323B2">
        <w:rPr>
          <w:rFonts w:eastAsia="DejaVuSerifCondensed" w:cs="DejaVuSerifCondensed"/>
          <w:color w:val="auto"/>
        </w:rPr>
        <w:t xml:space="preserve">voor </w:t>
      </w:r>
      <w:r w:rsidRPr="00E323B2">
        <w:rPr>
          <w:color w:val="auto"/>
        </w:rPr>
        <w:t>langlopende openbare-infrastructuurprojecten</w:t>
      </w:r>
      <w:r w:rsidRPr="00E323B2">
        <w:rPr>
          <w:rFonts w:eastAsia="DejaVuSerifCondensed" w:cs="DejaVuSerifCondensed"/>
          <w:color w:val="auto"/>
        </w:rPr>
        <w:t xml:space="preserve">, is </w:t>
      </w:r>
      <w:bookmarkEnd w:id="5"/>
      <w:r w:rsidRPr="00E323B2">
        <w:rPr>
          <w:rFonts w:eastAsia="DejaVuSerifCondensed" w:cs="DejaVuSerifCondensed"/>
          <w:color w:val="auto"/>
        </w:rPr>
        <w:t>na een zorgvuldig afweg</w:t>
      </w:r>
      <w:r w:rsidRPr="004D2332">
        <w:rPr>
          <w:rFonts w:eastAsia="DejaVuSerifCondensed" w:cs="DejaVuSerifCondensed"/>
        </w:rPr>
        <w:t xml:space="preserve">ingsproces door het eerdere kabinet besloten om op 25 oktober 2018 bestaande langlopende PPS-projecten uit te zonderen van de earningsstrippingmaatregel. Bij de bestaande langlopende PPS-projecten ten tijde van de invoering van de earningsstrippingmaatregel, kon er bij de reeds overeengekomen vergoeding met het Rijk (of een lagere overheid) niet of niet voldoende rekening worden gehouden met de gevolgen van de earningsstrippingmaatregel. </w:t>
      </w:r>
      <w:r>
        <w:rPr>
          <w:rFonts w:eastAsia="DejaVuSerifCondensed" w:cs="DejaVuSerifCondensed"/>
        </w:rPr>
        <w:t>Daarnaast zijn, zoals</w:t>
      </w:r>
      <w:r w:rsidRPr="004D2332">
        <w:rPr>
          <w:rFonts w:eastAsia="DejaVuSerifCondensed" w:cs="DejaVuSerifCondensed"/>
        </w:rPr>
        <w:t xml:space="preserve"> in de brieven van 9 mei 2018</w:t>
      </w:r>
      <w:r w:rsidRPr="004D2332">
        <w:rPr>
          <w:rFonts w:eastAsia="DejaVuSerifCondensed" w:cs="DejaVuSerifCondensed"/>
          <w:vertAlign w:val="superscript"/>
        </w:rPr>
        <w:footnoteReference w:id="7"/>
      </w:r>
      <w:r w:rsidRPr="004D2332">
        <w:rPr>
          <w:rFonts w:eastAsia="DejaVuSerifCondensed" w:cs="DejaVuSerifCondensed"/>
        </w:rPr>
        <w:t xml:space="preserve"> en 25 mei 2018</w:t>
      </w:r>
      <w:r w:rsidRPr="004D2332">
        <w:rPr>
          <w:rFonts w:eastAsia="DejaVuSerifCondensed" w:cs="DejaVuSerifCondensed"/>
          <w:vertAlign w:val="superscript"/>
        </w:rPr>
        <w:footnoteReference w:id="8"/>
      </w:r>
      <w:r w:rsidRPr="004D2332">
        <w:rPr>
          <w:rFonts w:eastAsia="DejaVuSerifCondensed" w:cs="DejaVuSerifCondensed"/>
          <w:vertAlign w:val="superscript"/>
        </w:rPr>
        <w:t xml:space="preserve"> </w:t>
      </w:r>
      <w:r w:rsidRPr="004D2332">
        <w:rPr>
          <w:rFonts w:eastAsia="DejaVuSerifCondensed" w:cs="DejaVuSerifCondensed"/>
        </w:rPr>
        <w:t>en de memorie van toelichting</w:t>
      </w:r>
      <w:r w:rsidRPr="004D2332">
        <w:rPr>
          <w:rStyle w:val="Voetnootmarkering"/>
          <w:rFonts w:eastAsia="DejaVuSerifCondensed" w:cs="DejaVuSerifCondensed"/>
        </w:rPr>
        <w:footnoteReference w:id="9"/>
      </w:r>
      <w:r w:rsidRPr="004D2332">
        <w:rPr>
          <w:rFonts w:eastAsia="DejaVuSerifCondensed" w:cs="DejaVuSerifCondensed"/>
        </w:rPr>
        <w:t xml:space="preserve"> is aangegeven</w:t>
      </w:r>
      <w:r>
        <w:rPr>
          <w:rFonts w:eastAsia="DejaVuSerifCondensed" w:cs="DejaVuSerifCondensed"/>
        </w:rPr>
        <w:t xml:space="preserve">, </w:t>
      </w:r>
      <w:r w:rsidRPr="004D2332">
        <w:rPr>
          <w:rFonts w:eastAsia="DejaVuSerifCondensed" w:cs="DejaVuSerifCondensed"/>
        </w:rPr>
        <w:t xml:space="preserve">tijdens het besluitvormingsproces ook de mogelijke staatssteunrisico’s, budgettaire aspecten en de uitvoerbaarheid van deze uitzondering in de beoordeling betrokken. </w:t>
      </w:r>
    </w:p>
    <w:p w:rsidRPr="004D2332" w:rsidR="00BE70DF" w:rsidP="00BE70DF" w:rsidRDefault="00BE70DF" w14:paraId="05A359E7" w14:textId="77777777">
      <w:pPr>
        <w:autoSpaceDE w:val="0"/>
        <w:adjustRightInd w:val="0"/>
        <w:rPr>
          <w:rFonts w:eastAsia="DejaVuSerifCondensed" w:cs="DejaVuSerifCondensed"/>
        </w:rPr>
      </w:pPr>
    </w:p>
    <w:p w:rsidRPr="00A00329" w:rsidR="00E15EA4" w:rsidP="00E15EA4" w:rsidRDefault="00BE70DF" w14:paraId="66BCA844" w14:textId="77777777">
      <w:pPr>
        <w:autoSpaceDE w:val="0"/>
        <w:adjustRightInd w:val="0"/>
        <w:rPr>
          <w:rFonts w:eastAsia="DejaVuSerifCondensed" w:cs="DejaVuSerifCondensed"/>
        </w:rPr>
      </w:pPr>
      <w:r w:rsidRPr="004D2332">
        <w:rPr>
          <w:rFonts w:eastAsia="DejaVuSerifCondensed" w:cs="DejaVuSerifCondensed"/>
        </w:rPr>
        <w:t>De genoemde maatregel regelt dat op 25 oktober 2018 bestaande langlopende PPS-projecten met betrekking tot openbare infrastructuur, waarbij gebruik wordt gemaakt van geïntegreerde contracten voor de ontwerp- en bouwwerkzaamheden, de exploitatie (onder andere beheer, onderhoud, facilitaire dienstverlening) en de financiering, worden uitgezonderd van de toepassing van de earningsstrippingmaatregel. Het gaat hierbij – kort gezegd – om PPS-projecten waarbij de overheid als opdrachtgever een doorlopende prestatie overeenkomt die voorziet in de beschikbaarheid van een specifieke openbare infrastructurele voorziening voor de aanbestedende overheid. Het huidige kabinet kan zich nog steeds vinden in de afwegingen die destijds zijn gemaakt om de op 25 oktober 2018 bestaande langlopende PPS-projecten met betrekking tot openbare infrastructuur uit te zonderen. Bij langlopende PPS-projecten met betrekking tot openbare infrastructuur die na 25 oktober 2018 tot stand zijn gekomen, kon en kan rekening worden gehouden met de earningsstrippingmaatregel. Daarom zijn deze langlopende PPS-projecten dus niet uitgezonderd van de toepassing van deze maatregel.</w:t>
      </w:r>
    </w:p>
    <w:p w:rsidRPr="00A00329" w:rsidR="00E15EA4" w:rsidP="00E15EA4" w:rsidRDefault="00E15EA4" w14:paraId="6E901F21" w14:textId="77777777">
      <w:pPr>
        <w:autoSpaceDE w:val="0"/>
        <w:adjustRightInd w:val="0"/>
        <w:rPr>
          <w:rFonts w:eastAsia="DejaVuSerifCondensed" w:cs="DejaVuSerifCondensed"/>
        </w:rPr>
      </w:pPr>
    </w:p>
    <w:p w:rsidRPr="00A00329" w:rsidR="00E15EA4" w:rsidP="00E15EA4" w:rsidRDefault="00E15EA4" w14:paraId="2A071A71" w14:textId="77777777">
      <w:pPr>
        <w:autoSpaceDE w:val="0"/>
        <w:adjustRightInd w:val="0"/>
        <w:rPr>
          <w:rFonts w:eastAsia="DejaVuSerifCondensed" w:cs="DejaVuSerifCondensed"/>
          <w:b/>
          <w:bCs/>
        </w:rPr>
      </w:pPr>
      <w:r w:rsidRPr="00A00329">
        <w:rPr>
          <w:rFonts w:eastAsia="DejaVuSerifCondensed" w:cs="DejaVuSerifCondensed"/>
          <w:b/>
          <w:bCs/>
        </w:rPr>
        <w:t xml:space="preserve">Vraag 6 </w:t>
      </w:r>
    </w:p>
    <w:p w:rsidRPr="00A00329" w:rsidR="00E15EA4" w:rsidP="00E15EA4" w:rsidRDefault="00E15EA4" w14:paraId="6D8E38CA" w14:textId="77777777">
      <w:pPr>
        <w:autoSpaceDE w:val="0"/>
        <w:adjustRightInd w:val="0"/>
        <w:rPr>
          <w:rFonts w:eastAsia="DejaVuSerifCondensed" w:cs="DejaVuSerifCondensed"/>
        </w:rPr>
      </w:pPr>
      <w:r w:rsidRPr="00A00329">
        <w:rPr>
          <w:rFonts w:eastAsia="DejaVuSerifCondensed" w:cs="DejaVuSerifCondensed"/>
        </w:rPr>
        <w:t xml:space="preserve">Kunt u aan de hand van een tijdpad aangeven waarom de uitzondering voor PPS-constructies pas zo laat in de wet terecht is gekomen en waarom er toen gekozen is voor het uitzonderen van leningen die zien op PPS-constructies welke zijn afgesloten vóór 25 oktober 2018? </w:t>
      </w:r>
    </w:p>
    <w:p w:rsidRPr="00A00329" w:rsidR="00E15EA4" w:rsidP="00E15EA4" w:rsidRDefault="00E15EA4" w14:paraId="04259220" w14:textId="77777777">
      <w:pPr>
        <w:autoSpaceDE w:val="0"/>
        <w:adjustRightInd w:val="0"/>
        <w:rPr>
          <w:rFonts w:eastAsia="DejaVuSerifCondensed" w:cs="DejaVuSerifCondensed"/>
        </w:rPr>
      </w:pPr>
    </w:p>
    <w:p w:rsidRPr="00A00329" w:rsidR="00E15EA4" w:rsidP="00E15EA4" w:rsidRDefault="00E15EA4" w14:paraId="3063891A" w14:textId="77777777">
      <w:pPr>
        <w:autoSpaceDE w:val="0"/>
        <w:adjustRightInd w:val="0"/>
        <w:rPr>
          <w:rFonts w:eastAsia="DejaVuSerifCondensed" w:cs="DejaVuSerifCondensed"/>
          <w:b/>
          <w:bCs/>
        </w:rPr>
      </w:pPr>
      <w:r w:rsidRPr="00A00329">
        <w:rPr>
          <w:rFonts w:eastAsia="DejaVuSerifCondensed" w:cs="DejaVuSerifCondensed"/>
          <w:b/>
          <w:bCs/>
        </w:rPr>
        <w:t>Antwoord vraag 6</w:t>
      </w:r>
    </w:p>
    <w:p w:rsidRPr="00A00329" w:rsidR="00E15EA4" w:rsidP="00E15EA4" w:rsidRDefault="00E15EA4" w14:paraId="758F7C1D" w14:textId="77777777">
      <w:pPr>
        <w:autoSpaceDE w:val="0"/>
        <w:adjustRightInd w:val="0"/>
      </w:pPr>
      <w:bookmarkStart w:name="_Hlk184823247" w:id="6"/>
      <w:r w:rsidRPr="00A00329">
        <w:t>Zoals in het antwoord op vraag 5</w:t>
      </w:r>
      <w:r>
        <w:t xml:space="preserve"> wordt toegelicht</w:t>
      </w:r>
      <w:r w:rsidRPr="00A00329">
        <w:t xml:space="preserve">, ligt er een zorgvuldig afwegingsproces ten grondslag aan het besluit om </w:t>
      </w:r>
      <w:r>
        <w:t xml:space="preserve">alleen </w:t>
      </w:r>
      <w:r w:rsidRPr="00A00329">
        <w:t>op 25 oktober 2018 bestaande langlopende PPS-projecten met betrekking tot openbare infrastructuur uit te zonderen van de earningsstrippingmaatregel</w:t>
      </w:r>
      <w:bookmarkEnd w:id="6"/>
      <w:r w:rsidRPr="00A00329">
        <w:t>. Het kabinetsbesluit dat in het kader van de augustusbesluitvorming in 2018 is genomen om te voorzien in een tegemoetkoming voor bestaande langlopende PPS-projecten met betrekking tot openbare infrastructuur was in het oorspronkelijke wetsvoorstel</w:t>
      </w:r>
      <w:r>
        <w:t xml:space="preserve"> dat voorziet in de implementatie van ATAD1</w:t>
      </w:r>
      <w:r w:rsidRPr="00A00329">
        <w:t xml:space="preserve"> nog niet verwerkt.</w:t>
      </w:r>
      <w:r>
        <w:rPr>
          <w:rStyle w:val="Voetnootmarkering"/>
        </w:rPr>
        <w:footnoteReference w:id="10"/>
      </w:r>
      <w:r w:rsidRPr="00A00329">
        <w:t xml:space="preserve"> Dat is alsnog gedaan met de eerste nota van wijziging bij dat wetsvoorstel.</w:t>
      </w:r>
      <w:r w:rsidRPr="00A00329">
        <w:rPr>
          <w:rStyle w:val="Voetnootmarkering"/>
        </w:rPr>
        <w:footnoteReference w:id="11"/>
      </w:r>
      <w:r w:rsidRPr="00A00329">
        <w:t xml:space="preserve"> Deze nota van wijziging op het implementatiewetsvoorstel ATAD1 was al aangekondigd in de memorie van toelichting bij het op Prinsjesdag ingediende wetsvoorstel in 2018.</w:t>
      </w:r>
      <w:r w:rsidRPr="00A00329">
        <w:rPr>
          <w:rStyle w:val="Voetnootmarkering"/>
        </w:rPr>
        <w:footnoteReference w:id="12"/>
      </w:r>
    </w:p>
    <w:p w:rsidRPr="00A00329" w:rsidR="00E15EA4" w:rsidP="00E15EA4" w:rsidRDefault="00E15EA4" w14:paraId="1C99644A" w14:textId="77777777">
      <w:pPr>
        <w:autoSpaceDE w:val="0"/>
        <w:adjustRightInd w:val="0"/>
        <w:rPr>
          <w:rFonts w:eastAsia="DejaVuSerifCondensed" w:cs="DejaVuSerifCondensed"/>
        </w:rPr>
      </w:pPr>
    </w:p>
    <w:p w:rsidR="008D39C6" w:rsidRDefault="008D39C6" w14:paraId="43A9392F" w14:textId="77777777">
      <w:pPr>
        <w:spacing w:line="240" w:lineRule="auto"/>
        <w:rPr>
          <w:rFonts w:eastAsia="DejaVuSerifCondensed" w:cs="DejaVuSerifCondensed"/>
          <w:b/>
          <w:bCs/>
        </w:rPr>
      </w:pPr>
      <w:r>
        <w:rPr>
          <w:rFonts w:eastAsia="DejaVuSerifCondensed" w:cs="DejaVuSerifCondensed"/>
          <w:b/>
          <w:bCs/>
        </w:rPr>
        <w:br w:type="page"/>
      </w:r>
    </w:p>
    <w:p w:rsidRPr="00A00329" w:rsidR="00E15EA4" w:rsidP="00E15EA4" w:rsidRDefault="00E15EA4" w14:paraId="4E0392CB" w14:textId="77777777">
      <w:pPr>
        <w:autoSpaceDE w:val="0"/>
        <w:adjustRightInd w:val="0"/>
        <w:rPr>
          <w:rFonts w:eastAsia="DejaVuSerifCondensed" w:cs="DejaVuSerifCondensed"/>
          <w:b/>
          <w:bCs/>
        </w:rPr>
      </w:pPr>
      <w:r w:rsidRPr="00A00329">
        <w:rPr>
          <w:rFonts w:eastAsia="DejaVuSerifCondensed" w:cs="DejaVuSerifCondensed"/>
          <w:b/>
          <w:bCs/>
        </w:rPr>
        <w:t xml:space="preserve">Vraag 7 </w:t>
      </w:r>
    </w:p>
    <w:p w:rsidRPr="00A00329" w:rsidR="00E15EA4" w:rsidP="00E15EA4" w:rsidRDefault="00E15EA4" w14:paraId="7A2363F6" w14:textId="77777777">
      <w:pPr>
        <w:autoSpaceDE w:val="0"/>
        <w:adjustRightInd w:val="0"/>
        <w:rPr>
          <w:rFonts w:eastAsia="DejaVuSerifCondensed" w:cs="DejaVuSerifCondensed"/>
        </w:rPr>
      </w:pPr>
      <w:r w:rsidRPr="00A00329">
        <w:rPr>
          <w:rFonts w:eastAsia="DejaVuSerifCondensed" w:cs="DejaVuSerifCondensed"/>
        </w:rPr>
        <w:t xml:space="preserve">Kunt u aangeven waarom de argumenten voor de uitzondering van ATAD-regels op PPS-projecten niet gebruikt konden worden voor de bestaande leningen gezien deze belastingplichtige ook geen rekening heeft kunnen houden met de renteaftrekbeperking? </w:t>
      </w:r>
    </w:p>
    <w:p w:rsidRPr="00A00329" w:rsidR="00E15EA4" w:rsidP="00E15EA4" w:rsidRDefault="00E15EA4" w14:paraId="3ABEDBFD" w14:textId="77777777">
      <w:pPr>
        <w:autoSpaceDE w:val="0"/>
        <w:adjustRightInd w:val="0"/>
        <w:rPr>
          <w:rFonts w:eastAsia="DejaVuSerifCondensed" w:cs="DejaVuSerifCondensed"/>
        </w:rPr>
      </w:pPr>
    </w:p>
    <w:p w:rsidRPr="00A00329" w:rsidR="00E15EA4" w:rsidP="00E15EA4" w:rsidRDefault="00E15EA4" w14:paraId="470A4A0F" w14:textId="77777777">
      <w:pPr>
        <w:autoSpaceDE w:val="0"/>
        <w:adjustRightInd w:val="0"/>
        <w:rPr>
          <w:rFonts w:eastAsia="DejaVuSerifCondensed" w:cs="DejaVuSerifCondensed"/>
          <w:b/>
          <w:bCs/>
        </w:rPr>
      </w:pPr>
      <w:r w:rsidRPr="00A00329">
        <w:rPr>
          <w:rFonts w:eastAsia="DejaVuSerifCondensed" w:cs="DejaVuSerifCondensed"/>
          <w:b/>
          <w:bCs/>
        </w:rPr>
        <w:t>Antwoord vraag 7</w:t>
      </w:r>
    </w:p>
    <w:p w:rsidRPr="00A00329" w:rsidR="00E15EA4" w:rsidP="00E15EA4" w:rsidRDefault="00E15EA4" w14:paraId="70C7F06C" w14:textId="77777777">
      <w:pPr>
        <w:autoSpaceDE w:val="0"/>
        <w:adjustRightInd w:val="0"/>
      </w:pPr>
      <w:r w:rsidRPr="00A00329">
        <w:t>De earningsstrippingmaatregel is van toepassing op zowel bestaande als nieuwe leningen. Zoals in de memorie van toelichting bij het op Prinsjesdag ingediende wetsvoorstel in 2018</w:t>
      </w:r>
      <w:r w:rsidRPr="00A00329">
        <w:rPr>
          <w:rStyle w:val="Voetnootmarkering"/>
        </w:rPr>
        <w:footnoteReference w:id="13"/>
      </w:r>
      <w:r w:rsidRPr="00A00329">
        <w:t xml:space="preserve"> is toegelicht</w:t>
      </w:r>
      <w:r>
        <w:t>,</w:t>
      </w:r>
      <w:r w:rsidRPr="00A00329">
        <w:t xml:space="preserve"> is geen gebruik gemaakt van de mogelijkheid in ATAD1 om te voorzien in eerbiedigende werking voor leningen die zijn aangegaan vóór 17 juni 2016 en naderhand niet meer (materieel) zijn gewijzigd. Een dergelijke eerbiedigende werking werd vanuit het oogpunt van uitvoerbaarheid </w:t>
      </w:r>
      <w:r>
        <w:t xml:space="preserve">als </w:t>
      </w:r>
      <w:r w:rsidRPr="00A00329">
        <w:t xml:space="preserve">onwenselijk </w:t>
      </w:r>
      <w:r>
        <w:t>beoordeeld</w:t>
      </w:r>
      <w:r w:rsidRPr="00A00329">
        <w:t xml:space="preserve">. Eerbiedigende werking zou namelijk betekenen dat voor de bepaling van het van toepassing zijnde regime jaarlijks bij iedere lening afzonderlijk moet worden vastgesteld wanneer de lening is aangegaan en of zich naderhand (materiële) wijzigingen met betrekking tot die lening hebben voorgedaan. Op sommige leningen van de belastingplichtige zou dan het oude regime van toepassing kunnen zijn en op andere het nieuwe regime, waarbij tevens de vraag opkomt hoe met de samenloop van het oude en nieuwe regime moet worden omgegaan. Eerbiedigende werking leidt bovendien in relatie tot de voorgenomen afschaffing van bepaalde bestaande specifieke renteaftrekbeperkingen tot een (ingewikkelde) samenloop, omdat het in geval van eerbiedigende werking voor de hand ligt om voor bestaande leningen waarop de earningsstrippingmaatregel geen toepassing vindt de geldende specifieke renteaftrekbeperkingen te handhaven. Dit terwijl bepaalde complexe specifieke renteaftrekbeperkingen juist zijn afgeschaft. Daarnaast leidt het voorzien in eerbiedigende werking tot een fors lagere budgettaire opbrengst in de eerste jaren, terwijl het eerdere kabinet met die opbrengst </w:t>
      </w:r>
      <w:r>
        <w:t>destijds</w:t>
      </w:r>
      <w:r w:rsidRPr="00A00329">
        <w:t xml:space="preserve"> de verlaging van het vennootschapsbelastingtarief deels heeft gefinancierd, om het Nederlandse vestigingsklimaat voor bedrijven met reële activiteiten aantrekkelijk te houden.</w:t>
      </w:r>
    </w:p>
    <w:p w:rsidRPr="00A00329" w:rsidR="00E15EA4" w:rsidP="00E15EA4" w:rsidRDefault="00E15EA4" w14:paraId="415F4A4F" w14:textId="77777777">
      <w:pPr>
        <w:autoSpaceDE w:val="0"/>
        <w:adjustRightInd w:val="0"/>
        <w:rPr>
          <w:rFonts w:eastAsia="DejaVuSerifCondensed" w:cs="DejaVuSerifCondensed"/>
        </w:rPr>
      </w:pPr>
    </w:p>
    <w:p w:rsidRPr="00A00329" w:rsidR="00E15EA4" w:rsidP="00E15EA4" w:rsidRDefault="00E15EA4" w14:paraId="7FB281E7" w14:textId="77777777">
      <w:pPr>
        <w:autoSpaceDE w:val="0"/>
        <w:adjustRightInd w:val="0"/>
        <w:rPr>
          <w:rFonts w:eastAsia="DejaVuSerifCondensed" w:cs="DejaVuSerifCondensed"/>
          <w:b/>
          <w:bCs/>
        </w:rPr>
      </w:pPr>
      <w:bookmarkStart w:name="_Hlk183513127" w:id="7"/>
      <w:r w:rsidRPr="00A00329">
        <w:rPr>
          <w:rFonts w:eastAsia="DejaVuSerifCondensed" w:cs="DejaVuSerifCondensed"/>
          <w:b/>
          <w:bCs/>
        </w:rPr>
        <w:t xml:space="preserve">Vraag 8 </w:t>
      </w:r>
    </w:p>
    <w:p w:rsidRPr="00A00329" w:rsidR="00E15EA4" w:rsidP="00E15EA4" w:rsidRDefault="00E15EA4" w14:paraId="7E2E6683" w14:textId="77777777">
      <w:pPr>
        <w:autoSpaceDE w:val="0"/>
        <w:adjustRightInd w:val="0"/>
        <w:rPr>
          <w:rFonts w:eastAsia="DejaVuSerifCondensed" w:cs="DejaVuSerifCondensed"/>
        </w:rPr>
      </w:pPr>
      <w:r w:rsidRPr="00A00329">
        <w:rPr>
          <w:rFonts w:eastAsia="DejaVuSerifCondensed" w:cs="DejaVuSerifCondensed"/>
        </w:rPr>
        <w:t>Kunt u aangeven wat in de periode 2019-2022 de (verwachte) niet aftrekbare rente van alle</w:t>
      </w:r>
      <w:r w:rsidR="00D02F5B">
        <w:rPr>
          <w:rFonts w:eastAsia="DejaVuSerifCondensed" w:cs="DejaVuSerifCondensed"/>
        </w:rPr>
        <w:t xml:space="preserve"> </w:t>
      </w:r>
      <w:r w:rsidRPr="00A00329">
        <w:rPr>
          <w:rFonts w:eastAsia="DejaVuSerifCondensed" w:cs="DejaVuSerifCondensed"/>
        </w:rPr>
        <w:t xml:space="preserve">belastingplichtigen gezamenlijk betrof? </w:t>
      </w:r>
    </w:p>
    <w:p w:rsidRPr="00A00329" w:rsidR="00E15EA4" w:rsidP="00E15EA4" w:rsidRDefault="00E15EA4" w14:paraId="551FA97F" w14:textId="77777777">
      <w:pPr>
        <w:autoSpaceDE w:val="0"/>
        <w:adjustRightInd w:val="0"/>
        <w:rPr>
          <w:rFonts w:eastAsia="DejaVuSerifCondensed" w:cs="DejaVuSerifCondensed"/>
        </w:rPr>
      </w:pPr>
    </w:p>
    <w:p w:rsidRPr="00A00329" w:rsidR="00E15EA4" w:rsidP="00E15EA4" w:rsidRDefault="00E15EA4" w14:paraId="3AB65B5B" w14:textId="77777777">
      <w:pPr>
        <w:autoSpaceDE w:val="0"/>
        <w:adjustRightInd w:val="0"/>
        <w:rPr>
          <w:rFonts w:eastAsia="DejaVuSerifCondensed" w:cs="DejaVuSerifCondensed"/>
          <w:b/>
          <w:bCs/>
        </w:rPr>
      </w:pPr>
      <w:r w:rsidRPr="00A00329">
        <w:rPr>
          <w:rFonts w:eastAsia="DejaVuSerifCondensed" w:cs="DejaVuSerifCondensed"/>
          <w:b/>
          <w:bCs/>
        </w:rPr>
        <w:t>Antwoord vraag 8</w:t>
      </w:r>
    </w:p>
    <w:p w:rsidRPr="00A00329" w:rsidR="00E15EA4" w:rsidP="00E15EA4" w:rsidRDefault="00E15EA4" w14:paraId="00DB9352" w14:textId="77777777">
      <w:pPr>
        <w:autoSpaceDE w:val="0"/>
        <w:adjustRightInd w:val="0"/>
        <w:rPr>
          <w:rFonts w:eastAsia="DejaVuSerifCondensed" w:cs="DejaVuSerifCondensed"/>
        </w:rPr>
      </w:pPr>
      <w:r>
        <w:rPr>
          <w:rFonts w:eastAsia="DejaVuSerifCondensed" w:cs="DejaVuSerifCondensed"/>
        </w:rPr>
        <w:t>In de jaren 2019, 2020 en 2021 is respectievelijk € 12,7 miljard, € 12,1 miljard en € 11,8 miljard aan rente in aftrek beperkt op basis van de</w:t>
      </w:r>
      <w:r w:rsidR="00D02F5B">
        <w:rPr>
          <w:rFonts w:eastAsia="DejaVuSerifCondensed" w:cs="DejaVuSerifCondensed"/>
        </w:rPr>
        <w:t xml:space="preserve"> e</w:t>
      </w:r>
      <w:r w:rsidRPr="00A00329">
        <w:t>arningsstripping</w:t>
      </w:r>
      <w:r w:rsidR="00D02F5B">
        <w:t>-</w:t>
      </w:r>
      <w:r w:rsidRPr="00A00329">
        <w:t>maatregel</w:t>
      </w:r>
      <w:r>
        <w:t>. Over 2022 zijn nog geen gegevens beschikbaar, maar de verwachting is dat het bedrag in dezelfde ordegrootte zal liggen.</w:t>
      </w:r>
    </w:p>
    <w:p w:rsidRPr="00A00329" w:rsidR="00E15EA4" w:rsidP="00E15EA4" w:rsidRDefault="00E15EA4" w14:paraId="02AF5B6D" w14:textId="77777777">
      <w:pPr>
        <w:autoSpaceDE w:val="0"/>
        <w:adjustRightInd w:val="0"/>
        <w:rPr>
          <w:rFonts w:eastAsia="DejaVuSerifCondensed" w:cs="DejaVuSerifCondensed"/>
        </w:rPr>
      </w:pPr>
    </w:p>
    <w:p w:rsidRPr="00A00329" w:rsidR="00E15EA4" w:rsidP="00E15EA4" w:rsidRDefault="00E15EA4" w14:paraId="1C5325A4" w14:textId="77777777">
      <w:pPr>
        <w:autoSpaceDE w:val="0"/>
        <w:adjustRightInd w:val="0"/>
        <w:rPr>
          <w:rFonts w:eastAsia="DejaVuSerifCondensed" w:cs="DejaVuSerifCondensed"/>
          <w:b/>
          <w:bCs/>
        </w:rPr>
      </w:pPr>
      <w:r w:rsidRPr="00A00329">
        <w:rPr>
          <w:rFonts w:eastAsia="DejaVuSerifCondensed" w:cs="DejaVuSerifCondensed"/>
          <w:b/>
          <w:bCs/>
        </w:rPr>
        <w:t xml:space="preserve">Vraag 9 </w:t>
      </w:r>
    </w:p>
    <w:p w:rsidRPr="00A00329" w:rsidR="00E15EA4" w:rsidP="00E15EA4" w:rsidRDefault="00E15EA4" w14:paraId="3CD7B6AA" w14:textId="77777777">
      <w:pPr>
        <w:autoSpaceDE w:val="0"/>
        <w:adjustRightInd w:val="0"/>
        <w:rPr>
          <w:rFonts w:eastAsia="DejaVuSerifCondensed" w:cs="DejaVuSerifCondensed"/>
        </w:rPr>
      </w:pPr>
      <w:r w:rsidRPr="00A00329">
        <w:rPr>
          <w:rFonts w:eastAsia="DejaVuSerifCondensed" w:cs="DejaVuSerifCondensed"/>
        </w:rPr>
        <w:t xml:space="preserve">Kunt u aangeven wat in diezelfde periode de totale last van de vennootschapsbelasting (hierna: vpb) van alle belastingplichtigen was? </w:t>
      </w:r>
    </w:p>
    <w:bookmarkEnd w:id="7"/>
    <w:p w:rsidR="008D39C6" w:rsidP="00E15EA4" w:rsidRDefault="008D39C6" w14:paraId="3A877E26" w14:textId="77777777">
      <w:pPr>
        <w:autoSpaceDE w:val="0"/>
        <w:adjustRightInd w:val="0"/>
        <w:rPr>
          <w:rFonts w:eastAsia="DejaVuSerifCondensed" w:cs="DejaVuSerifCondensed"/>
          <w:b/>
          <w:bCs/>
        </w:rPr>
      </w:pPr>
    </w:p>
    <w:p w:rsidRPr="00A00329" w:rsidR="00E15EA4" w:rsidP="00E15EA4" w:rsidRDefault="00E15EA4" w14:paraId="7AFF46A0" w14:textId="77777777">
      <w:pPr>
        <w:autoSpaceDE w:val="0"/>
        <w:adjustRightInd w:val="0"/>
        <w:rPr>
          <w:rFonts w:eastAsia="DejaVuSerifCondensed" w:cs="DejaVuSerifCondensed"/>
          <w:b/>
          <w:bCs/>
        </w:rPr>
      </w:pPr>
      <w:r w:rsidRPr="00A00329">
        <w:rPr>
          <w:rFonts w:eastAsia="DejaVuSerifCondensed" w:cs="DejaVuSerifCondensed"/>
          <w:b/>
          <w:bCs/>
        </w:rPr>
        <w:t>Antwoord vraag 9</w:t>
      </w:r>
    </w:p>
    <w:p w:rsidR="00E15EA4" w:rsidP="00E15EA4" w:rsidRDefault="00E15EA4" w14:paraId="2E456BA0" w14:textId="77777777">
      <w:pPr>
        <w:autoSpaceDE w:val="0"/>
        <w:adjustRightInd w:val="0"/>
        <w:rPr>
          <w:rFonts w:eastAsia="DejaVuSerifCondensed" w:cs="DejaVuSerifCondensed"/>
        </w:rPr>
      </w:pPr>
      <w:r>
        <w:rPr>
          <w:rFonts w:eastAsia="DejaVuSerifCondensed" w:cs="DejaVuSerifCondensed"/>
        </w:rPr>
        <w:t xml:space="preserve">In totaal werd op kasbasis in 2019 € 25,9 miljard aan vennootschapsbelasting ontvangen van alle belastingplichtigen. In 2020 was dat € 21,7 miljard, terwijl in 2021 en 2022 respectievelijk € 30,7 miljard en € 38,3 miljard werd ontvangen. </w:t>
      </w:r>
    </w:p>
    <w:p w:rsidRPr="00A00329" w:rsidR="00E15EA4" w:rsidP="00E15EA4" w:rsidRDefault="00E15EA4" w14:paraId="383EAA93" w14:textId="77777777">
      <w:pPr>
        <w:autoSpaceDE w:val="0"/>
        <w:adjustRightInd w:val="0"/>
        <w:rPr>
          <w:rFonts w:eastAsia="DejaVuSerifCondensed" w:cs="DejaVuSerifCondensed"/>
        </w:rPr>
      </w:pPr>
    </w:p>
    <w:p w:rsidRPr="00A00329" w:rsidR="00E15EA4" w:rsidP="00E15EA4" w:rsidRDefault="00E15EA4" w14:paraId="57228DE3" w14:textId="77777777">
      <w:pPr>
        <w:autoSpaceDE w:val="0"/>
        <w:adjustRightInd w:val="0"/>
        <w:rPr>
          <w:rFonts w:eastAsia="DejaVuSerifCondensed" w:cs="DejaVuSerifCondensed"/>
          <w:b/>
          <w:bCs/>
        </w:rPr>
      </w:pPr>
      <w:r w:rsidRPr="00A00329">
        <w:rPr>
          <w:rFonts w:eastAsia="DejaVuSerifCondensed" w:cs="DejaVuSerifCondensed"/>
          <w:b/>
          <w:bCs/>
        </w:rPr>
        <w:t xml:space="preserve">Vraag 10 </w:t>
      </w:r>
    </w:p>
    <w:p w:rsidRPr="00A00329" w:rsidR="00E15EA4" w:rsidP="00E15EA4" w:rsidRDefault="00E15EA4" w14:paraId="63AA180D" w14:textId="77777777">
      <w:pPr>
        <w:autoSpaceDE w:val="0"/>
        <w:adjustRightInd w:val="0"/>
        <w:rPr>
          <w:rFonts w:eastAsia="DejaVuSerifCondensed" w:cs="DejaVuSerifCondensed"/>
        </w:rPr>
      </w:pPr>
      <w:r w:rsidRPr="00A00329">
        <w:rPr>
          <w:rFonts w:eastAsia="DejaVuSerifCondensed" w:cs="DejaVuSerifCondensed"/>
        </w:rPr>
        <w:t xml:space="preserve">Kunt u aangeven hoe de renteaftrekbeperking voor de verschillende sectoren uitpakte en tot welke vpb-last dit leidde? </w:t>
      </w:r>
    </w:p>
    <w:p w:rsidRPr="00A00329" w:rsidR="00E15EA4" w:rsidP="00E15EA4" w:rsidRDefault="00E15EA4" w14:paraId="0F699BB8" w14:textId="77777777">
      <w:pPr>
        <w:autoSpaceDE w:val="0"/>
        <w:adjustRightInd w:val="0"/>
        <w:rPr>
          <w:rFonts w:eastAsia="DejaVuSerifCondensed" w:cs="DejaVuSerifCondensed"/>
        </w:rPr>
      </w:pPr>
    </w:p>
    <w:p w:rsidRPr="00A00329" w:rsidR="00E15EA4" w:rsidP="00E15EA4" w:rsidRDefault="00E15EA4" w14:paraId="61879205" w14:textId="77777777">
      <w:pPr>
        <w:autoSpaceDE w:val="0"/>
        <w:adjustRightInd w:val="0"/>
        <w:rPr>
          <w:rFonts w:eastAsia="DejaVuSerifCondensed" w:cs="DejaVuSerifCondensed"/>
          <w:b/>
          <w:bCs/>
        </w:rPr>
      </w:pPr>
      <w:r w:rsidRPr="00A00329">
        <w:rPr>
          <w:rFonts w:eastAsia="DejaVuSerifCondensed" w:cs="DejaVuSerifCondensed"/>
          <w:b/>
          <w:bCs/>
        </w:rPr>
        <w:t>Antwoord vraag 10</w:t>
      </w:r>
    </w:p>
    <w:p w:rsidRPr="002702B7" w:rsidR="00E15EA4" w:rsidP="00E15EA4" w:rsidRDefault="00E15EA4" w14:paraId="28F9C227" w14:textId="77777777">
      <w:pPr>
        <w:autoSpaceDE w:val="0"/>
        <w:adjustRightInd w:val="0"/>
        <w:rPr>
          <w:rFonts w:eastAsia="DejaVuSerifCondensed" w:cs="DejaVuSerifCondensed"/>
        </w:rPr>
      </w:pPr>
      <w:bookmarkStart w:name="_Hlk184823479" w:id="8"/>
      <w:r w:rsidRPr="002702B7">
        <w:rPr>
          <w:rFonts w:eastAsia="DejaVuSerifCondensed" w:cs="DejaVuSerifCondensed"/>
        </w:rPr>
        <w:t>Uit aangiftecijfers van woningcorporaties komt naar voren dat de earnings</w:t>
      </w:r>
      <w:r>
        <w:rPr>
          <w:rFonts w:eastAsia="DejaVuSerifCondensed" w:cs="DejaVuSerifCondensed"/>
        </w:rPr>
        <w:t>s</w:t>
      </w:r>
      <w:r w:rsidRPr="002702B7">
        <w:rPr>
          <w:rFonts w:eastAsia="DejaVuSerifCondensed" w:cs="DejaVuSerifCondensed"/>
        </w:rPr>
        <w:t>trippingmaatregel in de vennootschapsbelasting in de periode 2019 t</w:t>
      </w:r>
      <w:r>
        <w:rPr>
          <w:rFonts w:eastAsia="DejaVuSerifCondensed" w:cs="DejaVuSerifCondensed"/>
        </w:rPr>
        <w:t xml:space="preserve">ot en </w:t>
      </w:r>
      <w:r w:rsidRPr="002702B7">
        <w:rPr>
          <w:rFonts w:eastAsia="DejaVuSerifCondensed" w:cs="DejaVuSerifCondensed"/>
        </w:rPr>
        <w:t>m</w:t>
      </w:r>
      <w:r>
        <w:rPr>
          <w:rFonts w:eastAsia="DejaVuSerifCondensed" w:cs="DejaVuSerifCondensed"/>
        </w:rPr>
        <w:t>et</w:t>
      </w:r>
      <w:r w:rsidRPr="002702B7">
        <w:rPr>
          <w:rFonts w:eastAsia="DejaVuSerifCondensed" w:cs="DejaVuSerifCondensed"/>
        </w:rPr>
        <w:t xml:space="preserve"> 2022 bij woningcorporaties heeft gezorgd voor een beperking in de aftrek van de rente van €</w:t>
      </w:r>
      <w:r>
        <w:rPr>
          <w:rFonts w:eastAsia="DejaVuSerifCondensed" w:cs="DejaVuSerifCondensed"/>
        </w:rPr>
        <w:t> </w:t>
      </w:r>
      <w:r w:rsidRPr="002702B7">
        <w:rPr>
          <w:rFonts w:eastAsia="DejaVuSerifCondensed" w:cs="DejaVuSerifCondensed"/>
        </w:rPr>
        <w:t>1,3 miljard in 2019, €</w:t>
      </w:r>
      <w:r>
        <w:rPr>
          <w:rFonts w:eastAsia="DejaVuSerifCondensed" w:cs="DejaVuSerifCondensed"/>
        </w:rPr>
        <w:t> </w:t>
      </w:r>
      <w:r w:rsidRPr="002702B7">
        <w:rPr>
          <w:rFonts w:eastAsia="DejaVuSerifCondensed" w:cs="DejaVuSerifCondensed"/>
        </w:rPr>
        <w:t xml:space="preserve">1,2 miljard </w:t>
      </w:r>
      <w:r>
        <w:rPr>
          <w:rFonts w:eastAsia="DejaVuSerifCondensed" w:cs="DejaVuSerifCondensed"/>
        </w:rPr>
        <w:t>i</w:t>
      </w:r>
      <w:r w:rsidRPr="002702B7">
        <w:rPr>
          <w:rFonts w:eastAsia="DejaVuSerifCondensed" w:cs="DejaVuSerifCondensed"/>
        </w:rPr>
        <w:t>n 2020</w:t>
      </w:r>
      <w:r>
        <w:rPr>
          <w:rFonts w:eastAsia="DejaVuSerifCondensed" w:cs="DejaVuSerifCondensed"/>
        </w:rPr>
        <w:t xml:space="preserve"> en</w:t>
      </w:r>
      <w:r w:rsidRPr="002702B7">
        <w:rPr>
          <w:rFonts w:eastAsia="DejaVuSerifCondensed" w:cs="DejaVuSerifCondensed"/>
        </w:rPr>
        <w:t xml:space="preserve"> €</w:t>
      </w:r>
      <w:r>
        <w:rPr>
          <w:rFonts w:eastAsia="DejaVuSerifCondensed" w:cs="DejaVuSerifCondensed"/>
        </w:rPr>
        <w:t> </w:t>
      </w:r>
      <w:r w:rsidRPr="002702B7">
        <w:rPr>
          <w:rFonts w:eastAsia="DejaVuSerifCondensed" w:cs="DejaVuSerifCondensed"/>
        </w:rPr>
        <w:t>1,8 miljard in 2021.</w:t>
      </w:r>
      <w:r>
        <w:rPr>
          <w:rFonts w:eastAsia="DejaVuSerifCondensed" w:cs="DejaVuSerifCondensed"/>
        </w:rPr>
        <w:t xml:space="preserve"> Dit komt ongeveer neer op 10% tot 15% van de totale rente die niet-aftrekbaar is.</w:t>
      </w:r>
      <w:r w:rsidRPr="002702B7">
        <w:rPr>
          <w:rFonts w:eastAsia="DejaVuSerifCondensed" w:cs="DejaVuSerifCondensed"/>
        </w:rPr>
        <w:t xml:space="preserve"> </w:t>
      </w:r>
      <w:bookmarkEnd w:id="8"/>
      <w:r w:rsidRPr="002702B7">
        <w:rPr>
          <w:rFonts w:eastAsia="DejaVuSerifCondensed" w:cs="DejaVuSerifCondensed"/>
        </w:rPr>
        <w:t>Voor 2022 is het bedrag nog onzeker, maar op basis van voorlopige aangiftegegevens is de verwachting dat dit bedrag in 2022 €</w:t>
      </w:r>
      <w:r>
        <w:rPr>
          <w:rFonts w:eastAsia="DejaVuSerifCondensed" w:cs="DejaVuSerifCondensed"/>
        </w:rPr>
        <w:t> </w:t>
      </w:r>
      <w:r w:rsidRPr="002702B7">
        <w:rPr>
          <w:rFonts w:eastAsia="DejaVuSerifCondensed" w:cs="DejaVuSerifCondensed"/>
        </w:rPr>
        <w:t>1,3 miljard zal zijn.</w:t>
      </w:r>
      <w:r>
        <w:rPr>
          <w:rFonts w:eastAsia="DejaVuSerifCondensed" w:cs="DejaVuSerifCondensed"/>
        </w:rPr>
        <w:t xml:space="preserve"> </w:t>
      </w:r>
      <w:r w:rsidRPr="002702B7">
        <w:rPr>
          <w:rFonts w:eastAsia="DejaVuSerifCondensed" w:cs="DejaVuSerifCondensed"/>
        </w:rPr>
        <w:t xml:space="preserve">Per saldo leidt </w:t>
      </w:r>
      <w:r>
        <w:rPr>
          <w:rFonts w:eastAsia="DejaVuSerifCondensed" w:cs="DejaVuSerifCondensed"/>
        </w:rPr>
        <w:t>de renteaftrekbeperking tot ongeveer</w:t>
      </w:r>
      <w:r w:rsidRPr="002702B7">
        <w:rPr>
          <w:rFonts w:eastAsia="DejaVuSerifCondensed" w:cs="DejaVuSerifCondensed"/>
        </w:rPr>
        <w:t xml:space="preserve"> een extra heffing van respectievelijk</w:t>
      </w:r>
      <w:r>
        <w:rPr>
          <w:rFonts w:eastAsia="DejaVuSerifCondensed" w:cs="DejaVuSerifCondensed"/>
        </w:rPr>
        <w:t xml:space="preserve"> </w:t>
      </w:r>
      <w:r w:rsidRPr="002702B7">
        <w:rPr>
          <w:rFonts w:eastAsia="DejaVuSerifCondensed" w:cs="DejaVuSerifCondensed"/>
        </w:rPr>
        <w:t>€</w:t>
      </w:r>
      <w:r>
        <w:rPr>
          <w:rFonts w:eastAsia="DejaVuSerifCondensed" w:cs="DejaVuSerifCondensed"/>
        </w:rPr>
        <w:t> </w:t>
      </w:r>
      <w:r w:rsidRPr="002702B7">
        <w:rPr>
          <w:rFonts w:eastAsia="DejaVuSerifCondensed" w:cs="DejaVuSerifCondensed"/>
        </w:rPr>
        <w:t>313 miljoen, €</w:t>
      </w:r>
      <w:r>
        <w:rPr>
          <w:rFonts w:eastAsia="DejaVuSerifCondensed" w:cs="DejaVuSerifCondensed"/>
        </w:rPr>
        <w:t> </w:t>
      </w:r>
      <w:r w:rsidRPr="002702B7">
        <w:rPr>
          <w:rFonts w:eastAsia="DejaVuSerifCondensed" w:cs="DejaVuSerifCondensed"/>
        </w:rPr>
        <w:t>297 miljoen, €</w:t>
      </w:r>
      <w:r>
        <w:rPr>
          <w:rFonts w:eastAsia="DejaVuSerifCondensed" w:cs="DejaVuSerifCondensed"/>
        </w:rPr>
        <w:t> </w:t>
      </w:r>
      <w:r w:rsidRPr="002702B7">
        <w:rPr>
          <w:rFonts w:eastAsia="DejaVuSerifCondensed" w:cs="DejaVuSerifCondensed"/>
        </w:rPr>
        <w:t>446 miljoen</w:t>
      </w:r>
      <w:r w:rsidRPr="002702B7" w:rsidDel="00106B8C">
        <w:rPr>
          <w:rFonts w:eastAsia="DejaVuSerifCondensed" w:cs="DejaVuSerifCondensed"/>
        </w:rPr>
        <w:t xml:space="preserve"> </w:t>
      </w:r>
      <w:r w:rsidRPr="002702B7">
        <w:rPr>
          <w:rFonts w:eastAsia="DejaVuSerifCondensed" w:cs="DejaVuSerifCondensed"/>
        </w:rPr>
        <w:t>en €</w:t>
      </w:r>
      <w:r>
        <w:rPr>
          <w:rFonts w:eastAsia="DejaVuSerifCondensed" w:cs="DejaVuSerifCondensed"/>
        </w:rPr>
        <w:t> </w:t>
      </w:r>
      <w:r w:rsidRPr="002702B7">
        <w:rPr>
          <w:rFonts w:eastAsia="DejaVuSerifCondensed" w:cs="DejaVuSerifCondensed"/>
        </w:rPr>
        <w:t>322 miljoen voor de verschillende jaren. Hierbij is aangenomen dat bij woningcorporaties het effect</w:t>
      </w:r>
      <w:r>
        <w:rPr>
          <w:rFonts w:eastAsia="DejaVuSerifCondensed" w:cs="DejaVuSerifCondensed"/>
        </w:rPr>
        <w:t xml:space="preserve"> van de</w:t>
      </w:r>
      <w:r w:rsidRPr="002702B7">
        <w:rPr>
          <w:rFonts w:eastAsia="DejaVuSerifCondensed" w:cs="DejaVuSerifCondensed"/>
        </w:rPr>
        <w:t xml:space="preserve"> earningsstrippingmaatregel volledig in de winst valt</w:t>
      </w:r>
      <w:r>
        <w:rPr>
          <w:rFonts w:eastAsia="DejaVuSerifCondensed" w:cs="DejaVuSerifCondensed"/>
        </w:rPr>
        <w:t xml:space="preserve">. </w:t>
      </w:r>
    </w:p>
    <w:p w:rsidR="00E15EA4" w:rsidP="00E15EA4" w:rsidRDefault="00E15EA4" w14:paraId="109A2112" w14:textId="77777777">
      <w:pPr>
        <w:autoSpaceDE w:val="0"/>
        <w:adjustRightInd w:val="0"/>
        <w:rPr>
          <w:rFonts w:eastAsia="DejaVuSerifCondensed" w:cs="DejaVuSerifCondensed"/>
        </w:rPr>
      </w:pPr>
    </w:p>
    <w:p w:rsidRPr="002702B7" w:rsidR="00E15EA4" w:rsidP="00E15EA4" w:rsidRDefault="00E15EA4" w14:paraId="03F36D49" w14:textId="77777777">
      <w:pPr>
        <w:autoSpaceDE w:val="0"/>
        <w:adjustRightInd w:val="0"/>
        <w:rPr>
          <w:rFonts w:eastAsia="DejaVuSerifCondensed" w:cs="DejaVuSerifCondensed"/>
        </w:rPr>
      </w:pPr>
      <w:r w:rsidRPr="002702B7">
        <w:rPr>
          <w:rFonts w:eastAsia="DejaVuSerifCondensed" w:cs="DejaVuSerifCondensed"/>
        </w:rPr>
        <w:t>Voor andere sectoren is het complexer een dergelijke inschatting te maken</w:t>
      </w:r>
      <w:r>
        <w:rPr>
          <w:rFonts w:eastAsia="DejaVuSerifCondensed" w:cs="DejaVuSerifCondensed"/>
        </w:rPr>
        <w:t>,</w:t>
      </w:r>
      <w:r w:rsidRPr="002702B7">
        <w:rPr>
          <w:rFonts w:eastAsia="DejaVuSerifCondensed" w:cs="DejaVuSerifCondensed"/>
        </w:rPr>
        <w:t xml:space="preserve"> omdat in deze sectoren een aanmerkelijk groter deel van de aftrekbeperking bij bedrijven valt</w:t>
      </w:r>
      <w:r>
        <w:rPr>
          <w:rFonts w:eastAsia="DejaVuSerifCondensed" w:cs="DejaVuSerifCondensed"/>
        </w:rPr>
        <w:t xml:space="preserve"> die zich </w:t>
      </w:r>
      <w:r w:rsidRPr="002702B7">
        <w:rPr>
          <w:rFonts w:eastAsia="DejaVuSerifCondensed" w:cs="DejaVuSerifCondensed"/>
        </w:rPr>
        <w:t>in een verliessituatie</w:t>
      </w:r>
      <w:r>
        <w:rPr>
          <w:rFonts w:eastAsia="DejaVuSerifCondensed" w:cs="DejaVuSerifCondensed"/>
        </w:rPr>
        <w:t xml:space="preserve"> bevinden</w:t>
      </w:r>
      <w:r w:rsidRPr="002702B7">
        <w:rPr>
          <w:rFonts w:eastAsia="DejaVuSerifCondensed" w:cs="DejaVuSerifCondensed"/>
        </w:rPr>
        <w:t xml:space="preserve">. Bij deze groep zorgt de aftrekbeperking </w:t>
      </w:r>
      <w:r>
        <w:rPr>
          <w:rFonts w:eastAsia="DejaVuSerifCondensed" w:cs="DejaVuSerifCondensed"/>
        </w:rPr>
        <w:t>voor</w:t>
      </w:r>
      <w:r w:rsidRPr="002702B7">
        <w:rPr>
          <w:rFonts w:eastAsia="DejaVuSerifCondensed" w:cs="DejaVuSerifCondensed"/>
        </w:rPr>
        <w:t xml:space="preserve"> een verlaging van de verliesvoorraad, en daarmee is het niet duidelijk of dit bedrag daadwerkelijk tot </w:t>
      </w:r>
      <w:r>
        <w:rPr>
          <w:rFonts w:eastAsia="DejaVuSerifCondensed" w:cs="DejaVuSerifCondensed"/>
        </w:rPr>
        <w:t xml:space="preserve">een </w:t>
      </w:r>
      <w:r w:rsidRPr="002702B7">
        <w:rPr>
          <w:rFonts w:eastAsia="DejaVuSerifCondensed" w:cs="DejaVuSerifCondensed"/>
        </w:rPr>
        <w:t>extra heffing zal leiden.</w:t>
      </w:r>
      <w:r>
        <w:rPr>
          <w:rFonts w:eastAsia="DejaVuSerifCondensed" w:cs="DejaVuSerifCondensed"/>
        </w:rPr>
        <w:t xml:space="preserve"> Daarnaast is het ook mogelijk dat een deel van de renteaftrekbeperking wordt teruggenomen omdat bedrijven op termijn een hogere gecorrigeerde winst kunnen hebben.</w:t>
      </w:r>
      <w:r w:rsidRPr="002702B7">
        <w:rPr>
          <w:rFonts w:eastAsia="DejaVuSerifCondensed" w:cs="DejaVuSerifCondensed"/>
        </w:rPr>
        <w:t xml:space="preserve"> Het is daarom</w:t>
      </w:r>
      <w:r>
        <w:rPr>
          <w:rFonts w:eastAsia="DejaVuSerifCondensed" w:cs="DejaVuSerifCondensed"/>
        </w:rPr>
        <w:t xml:space="preserve"> voor deze groep</w:t>
      </w:r>
      <w:r w:rsidRPr="002702B7">
        <w:rPr>
          <w:rFonts w:eastAsia="DejaVuSerifCondensed" w:cs="DejaVuSerifCondensed"/>
        </w:rPr>
        <w:t xml:space="preserve"> nog niet mogelijk om een </w:t>
      </w:r>
      <w:r>
        <w:rPr>
          <w:rFonts w:eastAsia="DejaVuSerifCondensed" w:cs="DejaVuSerifCondensed"/>
        </w:rPr>
        <w:t>goede</w:t>
      </w:r>
      <w:r w:rsidRPr="002702B7">
        <w:rPr>
          <w:rFonts w:eastAsia="DejaVuSerifCondensed" w:cs="DejaVuSerifCondensed"/>
        </w:rPr>
        <w:t xml:space="preserve"> inschatting te maken van de feitelijke v</w:t>
      </w:r>
      <w:r>
        <w:rPr>
          <w:rFonts w:eastAsia="DejaVuSerifCondensed" w:cs="DejaVuSerifCondensed"/>
        </w:rPr>
        <w:t>ennootscha</w:t>
      </w:r>
      <w:r w:rsidRPr="002702B7">
        <w:rPr>
          <w:rFonts w:eastAsia="DejaVuSerifCondensed" w:cs="DejaVuSerifCondensed"/>
        </w:rPr>
        <w:t>p</w:t>
      </w:r>
      <w:r>
        <w:rPr>
          <w:rFonts w:eastAsia="DejaVuSerifCondensed" w:cs="DejaVuSerifCondensed"/>
        </w:rPr>
        <w:t>s</w:t>
      </w:r>
      <w:r w:rsidRPr="002702B7">
        <w:rPr>
          <w:rFonts w:eastAsia="DejaVuSerifCondensed" w:cs="DejaVuSerifCondensed"/>
        </w:rPr>
        <w:t>b</w:t>
      </w:r>
      <w:r>
        <w:rPr>
          <w:rFonts w:eastAsia="DejaVuSerifCondensed" w:cs="DejaVuSerifCondensed"/>
        </w:rPr>
        <w:t>elasting</w:t>
      </w:r>
      <w:r w:rsidRPr="002702B7">
        <w:rPr>
          <w:rFonts w:eastAsia="DejaVuSerifCondensed" w:cs="DejaVuSerifCondensed"/>
        </w:rPr>
        <w:t xml:space="preserve">last als gevolg van de earningsstrippingmaatregel. </w:t>
      </w:r>
    </w:p>
    <w:p w:rsidRPr="00A00329" w:rsidR="00E15EA4" w:rsidP="00E15EA4" w:rsidRDefault="00E15EA4" w14:paraId="2CB43069" w14:textId="77777777">
      <w:pPr>
        <w:autoSpaceDE w:val="0"/>
        <w:adjustRightInd w:val="0"/>
        <w:rPr>
          <w:rFonts w:eastAsia="DejaVuSerifCondensed" w:cs="DejaVuSerifCondensed"/>
        </w:rPr>
      </w:pPr>
    </w:p>
    <w:p w:rsidRPr="00A00329" w:rsidR="00E15EA4" w:rsidP="00E15EA4" w:rsidRDefault="00E15EA4" w14:paraId="17B1EA0A" w14:textId="77777777">
      <w:pPr>
        <w:autoSpaceDE w:val="0"/>
        <w:adjustRightInd w:val="0"/>
        <w:rPr>
          <w:rFonts w:eastAsia="DejaVuSerifCondensed" w:cs="DejaVuSerifCondensed"/>
          <w:b/>
          <w:bCs/>
        </w:rPr>
      </w:pPr>
      <w:r w:rsidRPr="00A00329">
        <w:rPr>
          <w:rFonts w:eastAsia="DejaVuSerifCondensed" w:cs="DejaVuSerifCondensed"/>
          <w:b/>
          <w:bCs/>
        </w:rPr>
        <w:t xml:space="preserve">Vraag 11 </w:t>
      </w:r>
    </w:p>
    <w:p w:rsidRPr="00A00329" w:rsidR="00E15EA4" w:rsidP="00E15EA4" w:rsidRDefault="00E15EA4" w14:paraId="1F6C3676" w14:textId="77777777">
      <w:pPr>
        <w:autoSpaceDE w:val="0"/>
        <w:adjustRightInd w:val="0"/>
        <w:rPr>
          <w:rFonts w:eastAsia="DejaVuSerifCondensed" w:cs="DejaVuSerifCondensed"/>
        </w:rPr>
      </w:pPr>
      <w:r w:rsidRPr="00A00329">
        <w:rPr>
          <w:rFonts w:eastAsia="DejaVuSerifCondensed" w:cs="DejaVuSerifCondensed"/>
        </w:rPr>
        <w:t xml:space="preserve">Corporaties dragen voor ca 3% bij aan de opbrengsten van de vpb. Naar verwachting is de bijdrage in de ATAD-last in verhouding veel groter (onderzoek van het ministerie van Financiën wijst op ongeveer 12%). Kunt u bevestigen dat woningcorporaties, die voor de uitvoering van hun wettelijke taak per definitie gefinancierd worden door vreemd vermogen, hiermee disproportioneel geraakt worden en uw antwoord verklaren? </w:t>
      </w:r>
    </w:p>
    <w:p w:rsidRPr="00A00329" w:rsidR="00E15EA4" w:rsidP="00E15EA4" w:rsidRDefault="00E15EA4" w14:paraId="15720285" w14:textId="77777777">
      <w:pPr>
        <w:autoSpaceDE w:val="0"/>
        <w:adjustRightInd w:val="0"/>
        <w:rPr>
          <w:rFonts w:eastAsia="DejaVuSerifCondensed" w:cs="DejaVuSerifCondensed"/>
        </w:rPr>
      </w:pPr>
    </w:p>
    <w:p w:rsidRPr="00A00329" w:rsidR="00E15EA4" w:rsidP="00E15EA4" w:rsidRDefault="00E15EA4" w14:paraId="51D75DE4" w14:textId="77777777">
      <w:pPr>
        <w:autoSpaceDE w:val="0"/>
        <w:adjustRightInd w:val="0"/>
        <w:rPr>
          <w:rFonts w:eastAsia="DejaVuSerifCondensed" w:cs="DejaVuSerifCondensed"/>
          <w:b/>
          <w:bCs/>
        </w:rPr>
      </w:pPr>
      <w:r w:rsidRPr="00A00329">
        <w:rPr>
          <w:rFonts w:eastAsia="DejaVuSerifCondensed" w:cs="DejaVuSerifCondensed"/>
          <w:b/>
          <w:bCs/>
        </w:rPr>
        <w:t>Antwoord vraag 11</w:t>
      </w:r>
    </w:p>
    <w:p w:rsidRPr="00A00329" w:rsidR="00E15EA4" w:rsidP="00E15EA4" w:rsidRDefault="00E15EA4" w14:paraId="4E39C8CC" w14:textId="77777777">
      <w:pPr>
        <w:autoSpaceDE w:val="0"/>
        <w:adjustRightInd w:val="0"/>
        <w:rPr>
          <w:color w:val="211D1F"/>
        </w:rPr>
      </w:pPr>
      <w:r w:rsidRPr="00A00329">
        <w:rPr>
          <w:color w:val="211D1F"/>
        </w:rPr>
        <w:t xml:space="preserve">Sinds 2019 hebben woningcorporaties, net als andere vennootschapsbelastingplichtigen, te maken met de earningsstrippingmaatregel die voortvloeit uit de implementatie van ATAD1. Zoals in de voorgaande antwoorden </w:t>
      </w:r>
      <w:r>
        <w:rPr>
          <w:color w:val="211D1F"/>
        </w:rPr>
        <w:t>wordt</w:t>
      </w:r>
      <w:r w:rsidRPr="00A00329">
        <w:rPr>
          <w:color w:val="211D1F"/>
        </w:rPr>
        <w:t xml:space="preserve"> toegelicht zijn deze richtlijn en de daaruit volgende earningsstrippingmaatregel bedoeld om belastinggrondslaguitholling binnen internationaal opererende concerns tegen te gaan. Dit wordt voor wat betreft de earningsstrippingmaatregel bereikt door een beperking op te leggen aan de fiscale aftrekbaarheid van de rente op leningen. Het kabinet beoogt met deze maatregel echter ook een meer gelijke fiscale behandeling van eigen vermogen en vreemd vermogen te bereiken</w:t>
      </w:r>
      <w:r>
        <w:rPr>
          <w:color w:val="211D1F"/>
        </w:rPr>
        <w:t xml:space="preserve">. </w:t>
      </w:r>
      <w:r w:rsidRPr="00A00329">
        <w:t xml:space="preserve">Een ongelijke behandeling van eigen vermogen en vreemd vermogen doet zich voor doordat de aftrekbaarheid van rente de kosten van financiering met vreemd vermogen verlaagt en de vergoeding voor eigen vermogen fiscaal niet aftrekbaar is. Hierdoor bestaat er voor bedrijven een </w:t>
      </w:r>
      <w:r>
        <w:t>fiscale</w:t>
      </w:r>
      <w:r w:rsidRPr="00A00329">
        <w:t xml:space="preserve"> stimulans om ondernemingsactiviteiten met vreemd vermogen te financieren.</w:t>
      </w:r>
    </w:p>
    <w:p w:rsidRPr="00040833" w:rsidR="00E15EA4" w:rsidP="00E15EA4" w:rsidRDefault="00E15EA4" w14:paraId="19D91334" w14:textId="77777777">
      <w:pPr>
        <w:autoSpaceDE w:val="0"/>
        <w:adjustRightInd w:val="0"/>
      </w:pPr>
    </w:p>
    <w:p w:rsidR="00E15EA4" w:rsidP="00E15EA4" w:rsidRDefault="00E15EA4" w14:paraId="37C2643E" w14:textId="77777777">
      <w:pPr>
        <w:autoSpaceDE w:val="0"/>
        <w:adjustRightInd w:val="0"/>
      </w:pPr>
      <w:bookmarkStart w:name="_Hlk185234822" w:id="9"/>
      <w:r w:rsidRPr="00040833">
        <w:t>Woningcorporaties worden</w:t>
      </w:r>
      <w:r>
        <w:t xml:space="preserve"> </w:t>
      </w:r>
      <w:r w:rsidRPr="00040833">
        <w:t xml:space="preserve">net als andere </w:t>
      </w:r>
      <w:bookmarkStart w:name="_Hlk185233932" w:id="10"/>
      <w:r w:rsidRPr="00040833">
        <w:t>kapitaalintensieve belastingplichtigen – relatief zwaar geraakt door de earningsstrippingmaatregel</w:t>
      </w:r>
      <w:bookmarkEnd w:id="10"/>
      <w:r w:rsidRPr="00040833">
        <w:t xml:space="preserve">. </w:t>
      </w:r>
      <w:r>
        <w:t>Op basis van artikel 19 van de Woningwet dienen woningcorporaties hun onderneming drijven in de vorm van een stichting of een vereniging.  Woningcorporaties hebben geen aandeelhouders en kunnen in tegenstelling tot andere ondernemingsvormen zoals een BV of een NV geen aandelen uitgeven of kapitaalstortingen van aandeelhouders ontvangen om hun eigen vermogen te versterken. Woningcorporaties moeten hun investeringen daardoor voornamelijk financieren door het aantrekken van vreemd vermogen Daar staat wel tegenover dat woningcorporaties voor hun wettelijke DAEB taak financiering kunnen aantrekken met borging van het Waarborgfonds Sociale Woningbouw. Door deze borging kunnen woningcorporaties tegen lagere rentelasten financiering aantrekken.</w:t>
      </w:r>
    </w:p>
    <w:p w:rsidR="00E15EA4" w:rsidP="00E15EA4" w:rsidRDefault="00E15EA4" w14:paraId="378C7AC3" w14:textId="77777777">
      <w:pPr>
        <w:autoSpaceDE w:val="0"/>
        <w:adjustRightInd w:val="0"/>
      </w:pPr>
    </w:p>
    <w:p w:rsidRPr="00040833" w:rsidR="00E15EA4" w:rsidP="00E15EA4" w:rsidRDefault="00E15EA4" w14:paraId="234E5552" w14:textId="77777777">
      <w:pPr>
        <w:autoSpaceDE w:val="0"/>
        <w:adjustRightInd w:val="0"/>
      </w:pPr>
      <w:r w:rsidRPr="00040833">
        <w:t>Een uitzondering voor woningcorporaties in de earningsstrippingmaatregel is niet mogelijk, omdat ATAD1 niet in een specifieke uitzonderingsmogelijkheid hiervoor voorziet, zoals in het antwoord op vraag 3 is toegelicht.</w:t>
      </w:r>
      <w:r>
        <w:t xml:space="preserve"> </w:t>
      </w:r>
      <w:r w:rsidRPr="00A00329">
        <w:rPr>
          <w:color w:val="211D1F"/>
        </w:rPr>
        <w:t>Dit betekent dat het uitzonderen van woningcorporaties voor de toepassing van de earningsstrippingmaatregel niet mogelijk is, omdat Nederland in dat geval niet voldoet aan de implementatieverplichting ten aanzien van (de minimumnorm die volgt uit) de richtlijn.</w:t>
      </w:r>
      <w:r>
        <w:rPr>
          <w:color w:val="211D1F"/>
        </w:rPr>
        <w:t xml:space="preserve"> ATAD1 kent een aantal mogelijkheden om een uitzondering te maken ten aanzien van de toepassing van de earningsstrippingmaatregel. Zo kent de richtlijn onder meer een uitzondering voor leningen aan langlopende openbare-infrastructuurprojecten, een vrijstelling voor opzichzelfstaande entiteiten en een uitzondering voor lichamen die deel uitmaken van een groep. Het introduceren van een dergelijke uitzondering dient in overeenstemming te zijn met de staatssteunregels. Zoals ook toegelicht in de eerdere antwoorden op de schriftelijke vragen van het lid Welzijn</w:t>
      </w:r>
      <w:r>
        <w:rPr>
          <w:rStyle w:val="Voetnootmarkering"/>
          <w:color w:val="211D1F"/>
        </w:rPr>
        <w:footnoteReference w:id="14"/>
      </w:r>
      <w:r>
        <w:rPr>
          <w:color w:val="211D1F"/>
        </w:rPr>
        <w:t xml:space="preserve">, biedt </w:t>
      </w:r>
      <w:r w:rsidRPr="00525B05">
        <w:t>de richtlijn volgens het kabinet geen ruimte om woningcorporaties onder de uitzondering van openbare infrastructuurprojecten te brengen</w:t>
      </w:r>
      <w:r>
        <w:rPr>
          <w:color w:val="211D1F"/>
        </w:rPr>
        <w:t>.</w:t>
      </w:r>
      <w:r>
        <w:rPr>
          <w:rStyle w:val="Voetnootmarkering"/>
          <w:color w:val="211D1F"/>
        </w:rPr>
        <w:footnoteReference w:id="15"/>
      </w:r>
      <w:r>
        <w:rPr>
          <w:color w:val="211D1F"/>
        </w:rPr>
        <w:t xml:space="preserve"> </w:t>
      </w:r>
      <w:r w:rsidRPr="00525B05">
        <w:t>Een vrijstelling voor opzichzelfstaande entiteiten of een generieke (groeps)uitzondering doet verder in brede zin afbreuk aan het doel om te komen tot een meer gelijke fiscale behandeling van eigen vermogen en vreemd vermogen, aangezien alle belastingplichtigen en niet alleen de woningcorporaties zullen profiteren van deze maatregel. Daarnaast zal een dergelijke uitzondering een aanzienlijk budgettair effect hebben op de rijksbegroting.</w:t>
      </w:r>
    </w:p>
    <w:bookmarkEnd w:id="9"/>
    <w:p w:rsidR="00E15EA4" w:rsidP="00E15EA4" w:rsidRDefault="00E15EA4" w14:paraId="0F2BF366" w14:textId="77777777">
      <w:pPr>
        <w:autoSpaceDE w:val="0"/>
        <w:adjustRightInd w:val="0"/>
        <w:rPr>
          <w:color w:val="211D1F"/>
        </w:rPr>
      </w:pPr>
    </w:p>
    <w:p w:rsidRPr="00A00329" w:rsidR="00E15EA4" w:rsidP="00E15EA4" w:rsidRDefault="00E15EA4" w14:paraId="242543E8" w14:textId="77777777">
      <w:pPr>
        <w:autoSpaceDE w:val="0"/>
        <w:adjustRightInd w:val="0"/>
        <w:rPr>
          <w:rFonts w:eastAsia="DejaVuSerifCondensed" w:cstheme="minorHAnsi"/>
        </w:rPr>
      </w:pPr>
    </w:p>
    <w:p w:rsidRPr="00A00329" w:rsidR="00E15EA4" w:rsidP="00E15EA4" w:rsidRDefault="00E15EA4" w14:paraId="44AAE96E" w14:textId="77777777">
      <w:pPr>
        <w:autoSpaceDE w:val="0"/>
        <w:adjustRightInd w:val="0"/>
      </w:pPr>
      <w:r w:rsidRPr="00A00329">
        <w:t>Bij de invoering van de earningsstrippingmaatregel in de vennootschapsbelasting in 2019 was reeds bekend dat de renteaftrekbeperking onder meer bij woningcorporaties zou leiden tot een hogere vennootschapsbelastingdruk.</w:t>
      </w:r>
      <w:r w:rsidRPr="00A00329">
        <w:rPr>
          <w:rStyle w:val="Voetnootmarkering"/>
        </w:rPr>
        <w:footnoteReference w:id="16"/>
      </w:r>
      <w:r w:rsidRPr="00A00329">
        <w:t xml:space="preserve"> </w:t>
      </w:r>
      <w:bookmarkStart w:name="_Hlk184823710" w:id="11"/>
      <w:r w:rsidRPr="00A00329">
        <w:t xml:space="preserve">Er zijn door het kabinet destijds verschillende maatregelen getroffen om verhuurders, waaronder woningcorporaties, tegemoet te komen ten aanzien van het nadelige effect van de earningsstrippingmaatregel. </w:t>
      </w:r>
      <w:bookmarkEnd w:id="11"/>
      <w:r w:rsidRPr="00A00329">
        <w:t xml:space="preserve">Daarbij is destijds voor circa € 100 miljoen per jaar aan lastenverlichting gegeven via de verhuurderheffing. Inmiddels is de verhuurdersheffing in het geheel afgeschaft (derving van € 1,4 miljard) in het kader van het realiseren van de Nationale Prestatieafspraken (NPA). </w:t>
      </w:r>
    </w:p>
    <w:p w:rsidRPr="00A00329" w:rsidR="00E15EA4" w:rsidP="00E15EA4" w:rsidRDefault="00E15EA4" w14:paraId="6BCA0C1B" w14:textId="77777777">
      <w:pPr>
        <w:autoSpaceDE w:val="0"/>
        <w:adjustRightInd w:val="0"/>
      </w:pPr>
    </w:p>
    <w:p w:rsidR="00E15EA4" w:rsidP="00E15EA4" w:rsidRDefault="00E15EA4" w14:paraId="413F5E45" w14:textId="77777777">
      <w:pPr>
        <w:rPr>
          <w:rFonts w:eastAsia="DejaVuSerifCondensed" w:cs="DejaVuSerifCondensed"/>
        </w:rPr>
      </w:pPr>
      <w:bookmarkStart w:name="_Hlk184824052" w:id="12"/>
      <w:r w:rsidRPr="00A00329">
        <w:t xml:space="preserve">Voorts </w:t>
      </w:r>
      <w:r w:rsidR="008A5C75">
        <w:t>is door het</w:t>
      </w:r>
      <w:r>
        <w:t xml:space="preserve"> huidige</w:t>
      </w:r>
      <w:r w:rsidRPr="00A00329">
        <w:t xml:space="preserve"> kabinet een </w:t>
      </w:r>
      <w:bookmarkStart w:name="_Hlk184823773" w:id="13"/>
      <w:r w:rsidRPr="00A00329">
        <w:t>versoepeling van de earnings</w:t>
      </w:r>
      <w:r>
        <w:t>s</w:t>
      </w:r>
      <w:r w:rsidRPr="00A00329">
        <w:t xml:space="preserve">trippingmaatregel </w:t>
      </w:r>
      <w:r w:rsidR="008A5C75">
        <w:t xml:space="preserve">ingevoerd </w:t>
      </w:r>
      <w:r w:rsidRPr="00A00329">
        <w:t xml:space="preserve">waarmee het maximale renteaftrekpercentage wordt verhoogd van 20% naar 24,5% van de gecorrigeerde winst. </w:t>
      </w:r>
      <w:r w:rsidRPr="00A00329">
        <w:rPr>
          <w:rFonts w:eastAsia="Calibri" w:cs="Calibri"/>
        </w:rPr>
        <w:t xml:space="preserve">Dit is </w:t>
      </w:r>
      <w:r w:rsidRPr="00A00329">
        <w:t xml:space="preserve">uitgewerkt in het Belastingplan 2025 en leidt tot een lagere renteaftrekbeperking. Daarmee is een fiscale lastenverlichting voor belastingplichtigen, waaronder woningcorporaties, gemoeid die investeren via vennootschappen die met vreemd vermogen zijn gefinancierd. </w:t>
      </w:r>
      <w:r>
        <w:t>Specifiek v</w:t>
      </w:r>
      <w:r w:rsidRPr="00A00329">
        <w:t xml:space="preserve">oor woningcorporaties leidt dit tot een fiscale lastenverlichting van </w:t>
      </w:r>
      <w:r w:rsidRPr="00A00329">
        <w:rPr>
          <w:rFonts w:eastAsia="DejaVuSerifCondensed" w:cs="DejaVuSerifCondensed"/>
        </w:rPr>
        <w:t xml:space="preserve">€ </w:t>
      </w:r>
      <w:r>
        <w:rPr>
          <w:rFonts w:eastAsia="DejaVuSerifCondensed" w:cs="DejaVuSerifCondensed"/>
        </w:rPr>
        <w:t xml:space="preserve">69 </w:t>
      </w:r>
      <w:r w:rsidRPr="00A00329">
        <w:rPr>
          <w:rFonts w:eastAsia="DejaVuSerifCondensed" w:cs="DejaVuSerifCondensed"/>
        </w:rPr>
        <w:t xml:space="preserve">miljoen. </w:t>
      </w:r>
    </w:p>
    <w:bookmarkEnd w:id="12"/>
    <w:bookmarkEnd w:id="13"/>
    <w:p w:rsidR="00E15EA4" w:rsidP="00E15EA4" w:rsidRDefault="00E15EA4" w14:paraId="37105DA6" w14:textId="77777777">
      <w:pPr>
        <w:rPr>
          <w:rFonts w:eastAsia="DejaVuSerifCondensed" w:cs="DejaVuSerifCondensed"/>
        </w:rPr>
      </w:pPr>
    </w:p>
    <w:p w:rsidRPr="00A00329" w:rsidR="00E15EA4" w:rsidP="00E15EA4" w:rsidRDefault="00E15EA4" w14:paraId="09E58851" w14:textId="77777777">
      <w:pPr>
        <w:autoSpaceDE w:val="0"/>
        <w:adjustRightInd w:val="0"/>
        <w:rPr>
          <w:rFonts w:eastAsia="DejaVuSerifCondensed" w:cs="DejaVuSerifCondensed"/>
          <w:b/>
          <w:bCs/>
        </w:rPr>
      </w:pPr>
      <w:r w:rsidRPr="00A00329">
        <w:rPr>
          <w:rFonts w:eastAsia="DejaVuSerifCondensed" w:cs="DejaVuSerifCondensed"/>
          <w:b/>
          <w:bCs/>
        </w:rPr>
        <w:t xml:space="preserve">Vraag 12 </w:t>
      </w:r>
    </w:p>
    <w:p w:rsidRPr="00A00329" w:rsidR="00E15EA4" w:rsidP="00E15EA4" w:rsidRDefault="00E15EA4" w14:paraId="45AB4B31" w14:textId="77777777">
      <w:pPr>
        <w:autoSpaceDE w:val="0"/>
        <w:adjustRightInd w:val="0"/>
        <w:rPr>
          <w:rFonts w:eastAsia="DejaVuSerifCondensed" w:cs="DejaVuSerifCondensed"/>
        </w:rPr>
      </w:pPr>
      <w:r w:rsidRPr="00A00329">
        <w:rPr>
          <w:rFonts w:eastAsia="DejaVuSerifCondensed" w:cs="DejaVuSerifCondensed"/>
        </w:rPr>
        <w:t xml:space="preserve">Hoe doelmatig vindt u deze nationale kop op Europese regelgeving? </w:t>
      </w:r>
    </w:p>
    <w:p w:rsidRPr="00A00329" w:rsidR="00E15EA4" w:rsidP="00E15EA4" w:rsidRDefault="00E15EA4" w14:paraId="57706061" w14:textId="77777777">
      <w:pPr>
        <w:autoSpaceDE w:val="0"/>
        <w:adjustRightInd w:val="0"/>
        <w:rPr>
          <w:rFonts w:eastAsia="DejaVuSerifCondensed" w:cs="DejaVuSerifCondensed"/>
        </w:rPr>
      </w:pPr>
    </w:p>
    <w:p w:rsidRPr="00A00329" w:rsidR="00E15EA4" w:rsidP="00E15EA4" w:rsidRDefault="00E15EA4" w14:paraId="0D2E5151" w14:textId="77777777">
      <w:pPr>
        <w:autoSpaceDE w:val="0"/>
        <w:adjustRightInd w:val="0"/>
        <w:rPr>
          <w:rFonts w:eastAsia="DejaVuSerifCondensed" w:cs="DejaVuSerifCondensed"/>
          <w:b/>
          <w:bCs/>
        </w:rPr>
      </w:pPr>
      <w:r w:rsidRPr="00A00329">
        <w:rPr>
          <w:rFonts w:eastAsia="DejaVuSerifCondensed" w:cs="DejaVuSerifCondensed"/>
          <w:b/>
          <w:bCs/>
        </w:rPr>
        <w:t>Antwoord vraag 12</w:t>
      </w:r>
    </w:p>
    <w:p w:rsidRPr="00A00329" w:rsidR="00E15EA4" w:rsidP="00E15EA4" w:rsidRDefault="00E15EA4" w14:paraId="44F24F5E" w14:textId="77777777">
      <w:pPr>
        <w:autoSpaceDE w:val="0"/>
        <w:adjustRightInd w:val="0"/>
        <w:rPr>
          <w:rFonts w:eastAsia="DejaVuSerifCondensed" w:cs="DejaVuSerifCondensed"/>
        </w:rPr>
      </w:pPr>
      <w:r w:rsidRPr="00A00329">
        <w:rPr>
          <w:rFonts w:eastAsia="DejaVuSerifCondensed" w:cs="DejaVuSerifCondensed"/>
        </w:rPr>
        <w:t xml:space="preserve">Nederland heeft bij de implementatie van de </w:t>
      </w:r>
      <w:r w:rsidRPr="00A00329">
        <w:t xml:space="preserve">earningsstrippingmaatregel </w:t>
      </w:r>
      <w:r w:rsidRPr="00A00329">
        <w:rPr>
          <w:rFonts w:eastAsia="DejaVuSerifCondensed" w:cs="DejaVuSerifCondensed"/>
        </w:rPr>
        <w:t>gekozen voor een robuuste vormgeving om</w:t>
      </w:r>
      <w:r>
        <w:rPr>
          <w:rFonts w:eastAsia="DejaVuSerifCondensed" w:cs="DejaVuSerifCondensed"/>
        </w:rPr>
        <w:t>, naast het tegengaan van belastingontwijking, ook</w:t>
      </w:r>
      <w:r w:rsidRPr="00A00329">
        <w:rPr>
          <w:rFonts w:eastAsia="DejaVuSerifCondensed" w:cs="DejaVuSerifCondensed"/>
        </w:rPr>
        <w:t xml:space="preserve"> de fiscale prikkel voor de financiering met vreemd vermogen te beperken. Recentelijk is een effectmeting gedaan waarmee het effect van de </w:t>
      </w:r>
      <w:r>
        <w:rPr>
          <w:rFonts w:eastAsia="DejaVuSerifCondensed" w:cs="DejaVuSerifCondensed"/>
        </w:rPr>
        <w:t>earningsstrippingmaatregel</w:t>
      </w:r>
      <w:r w:rsidRPr="00A00329">
        <w:rPr>
          <w:rFonts w:eastAsia="DejaVuSerifCondensed" w:cs="DejaVuSerifCondensed"/>
        </w:rPr>
        <w:t xml:space="preserve"> op rente en vreemd vermogen is onderzocht.</w:t>
      </w:r>
      <w:r>
        <w:rPr>
          <w:rStyle w:val="Voetnootmarkering"/>
          <w:rFonts w:eastAsia="DejaVuSerifCondensed" w:cs="DejaVuSerifCondensed"/>
        </w:rPr>
        <w:footnoteReference w:id="17"/>
      </w:r>
      <w:r w:rsidRPr="00A00329">
        <w:rPr>
          <w:rFonts w:eastAsia="DejaVuSerifCondensed" w:cs="DejaVuSerifCondensed"/>
        </w:rPr>
        <w:t xml:space="preserve"> Hierbij is gebleken dat belastingplichtigen sinds de invoering van de maatregel jaarlijks een aanzienlijk groter bedrag aan rente in aftrek beperkt zien worden. Bovendien zijn belastingplichtigen – met name in concernverhoudingen – minder rente gaan betalen. Dit leidt tot de conclusie dat de </w:t>
      </w:r>
      <w:r>
        <w:rPr>
          <w:rFonts w:eastAsia="DejaVuSerifCondensed" w:cs="DejaVuSerifCondensed"/>
        </w:rPr>
        <w:t>earningsstrippingmaatregel</w:t>
      </w:r>
      <w:r w:rsidRPr="00A00329">
        <w:rPr>
          <w:rFonts w:eastAsia="DejaVuSerifCondensed" w:cs="DejaVuSerifCondensed"/>
        </w:rPr>
        <w:t xml:space="preserve"> belastingontwijking door </w:t>
      </w:r>
      <w:r>
        <w:rPr>
          <w:rFonts w:eastAsia="DejaVuSerifCondensed" w:cs="DejaVuSerifCondensed"/>
        </w:rPr>
        <w:t xml:space="preserve">bovenmatige </w:t>
      </w:r>
      <w:r w:rsidRPr="00A00329">
        <w:rPr>
          <w:rFonts w:eastAsia="DejaVuSerifCondensed" w:cs="DejaVuSerifCondensed"/>
        </w:rPr>
        <w:t xml:space="preserve">renteaftrek effectief tegengaat. Daarnaast heeft de </w:t>
      </w:r>
      <w:r>
        <w:rPr>
          <w:rFonts w:eastAsia="DejaVuSerifCondensed" w:cs="DejaVuSerifCondensed"/>
        </w:rPr>
        <w:t>earningsstrippingmaatregel</w:t>
      </w:r>
      <w:r w:rsidRPr="00A00329">
        <w:rPr>
          <w:rFonts w:eastAsia="DejaVuSerifCondensed" w:cs="DejaVuSerifCondensed"/>
        </w:rPr>
        <w:t xml:space="preserve"> geleid tot een beperkte daling van het vreemd vermogen. Het totaal vreemd vermogen bij bedrijven die geraakt worden door de maatregel is naar schatting met 8% gedaald als gevolg van de maatregel. Het is daarbij ook relevant dat een aanzienlijk deel van de afname lijkt te zien op vreemd vermogen dat wordt verstrekt vanuit andere concernonderdelen. De kapitaalstructuren van de Nederlandse bedrijfsonderdelen zijn daarmee wel verbeterd</w:t>
      </w:r>
      <w:r>
        <w:rPr>
          <w:rFonts w:eastAsia="DejaVuSerifCondensed" w:cs="DejaVuSerifCondensed"/>
        </w:rPr>
        <w:t xml:space="preserve">. Omdat de genoemde effectmeting echter laat zien dat de effecten van de maatregel vooral betrekking hebben op aanpassingen van interne leningen, kan uit de effectmeting niet geconcludeerd worden dat ook </w:t>
      </w:r>
      <w:r w:rsidRPr="00A00329">
        <w:rPr>
          <w:rFonts w:eastAsia="DejaVuSerifCondensed" w:cs="DejaVuSerifCondensed"/>
        </w:rPr>
        <w:t xml:space="preserve">de kapitaalstructuren van de </w:t>
      </w:r>
      <w:r>
        <w:rPr>
          <w:rFonts w:eastAsia="DejaVuSerifCondensed" w:cs="DejaVuSerifCondensed"/>
        </w:rPr>
        <w:t xml:space="preserve">Nederlandse </w:t>
      </w:r>
      <w:r w:rsidRPr="00A00329">
        <w:rPr>
          <w:rFonts w:eastAsia="DejaVuSerifCondensed" w:cs="DejaVuSerifCondensed"/>
        </w:rPr>
        <w:t>concerns als geheel</w:t>
      </w:r>
      <w:r>
        <w:rPr>
          <w:rFonts w:eastAsia="DejaVuSerifCondensed" w:cs="DejaVuSerifCondensed"/>
        </w:rPr>
        <w:t xml:space="preserve"> verbeterd zijn</w:t>
      </w:r>
      <w:r w:rsidRPr="00A00329">
        <w:rPr>
          <w:rFonts w:eastAsia="DejaVuSerifCondensed" w:cs="DejaVuSerifCondensed"/>
        </w:rPr>
        <w:t>.</w:t>
      </w:r>
    </w:p>
    <w:p w:rsidRPr="00A00329" w:rsidR="00E15EA4" w:rsidP="00E15EA4" w:rsidRDefault="00E15EA4" w14:paraId="1EDB92CE" w14:textId="77777777">
      <w:pPr>
        <w:autoSpaceDE w:val="0"/>
        <w:adjustRightInd w:val="0"/>
        <w:rPr>
          <w:rFonts w:eastAsia="DejaVuSerifCondensed" w:cs="DejaVuSerifCondensed"/>
        </w:rPr>
      </w:pPr>
    </w:p>
    <w:p w:rsidR="00D02F5B" w:rsidRDefault="00D02F5B" w14:paraId="689BB184" w14:textId="77777777">
      <w:pPr>
        <w:spacing w:line="240" w:lineRule="auto"/>
        <w:rPr>
          <w:rFonts w:eastAsia="DejaVuSerifCondensed" w:cs="DejaVuSerifCondensed"/>
          <w:b/>
          <w:bCs/>
        </w:rPr>
      </w:pPr>
      <w:r>
        <w:rPr>
          <w:rFonts w:eastAsia="DejaVuSerifCondensed" w:cs="DejaVuSerifCondensed"/>
          <w:b/>
          <w:bCs/>
        </w:rPr>
        <w:br w:type="page"/>
      </w:r>
    </w:p>
    <w:p w:rsidRPr="00A00329" w:rsidR="00E15EA4" w:rsidP="00E15EA4" w:rsidRDefault="00E15EA4" w14:paraId="37F5F623" w14:textId="77777777">
      <w:pPr>
        <w:autoSpaceDE w:val="0"/>
        <w:adjustRightInd w:val="0"/>
        <w:rPr>
          <w:rFonts w:eastAsia="DejaVuSerifCondensed" w:cs="DejaVuSerifCondensed"/>
          <w:b/>
          <w:bCs/>
        </w:rPr>
      </w:pPr>
      <w:r w:rsidRPr="00A00329">
        <w:rPr>
          <w:rFonts w:eastAsia="DejaVuSerifCondensed" w:cs="DejaVuSerifCondensed"/>
          <w:b/>
          <w:bCs/>
        </w:rPr>
        <w:t xml:space="preserve">Vraag 13 </w:t>
      </w:r>
    </w:p>
    <w:p w:rsidRPr="00A00329" w:rsidR="00E15EA4" w:rsidP="00E15EA4" w:rsidRDefault="00E15EA4" w14:paraId="71F066BE" w14:textId="77777777">
      <w:pPr>
        <w:autoSpaceDE w:val="0"/>
        <w:adjustRightInd w:val="0"/>
        <w:rPr>
          <w:rFonts w:eastAsia="DejaVuSerifCondensed" w:cs="DejaVuSerifCondensed"/>
        </w:rPr>
      </w:pPr>
      <w:r w:rsidRPr="00A00329">
        <w:rPr>
          <w:rFonts w:eastAsia="DejaVuSerifCondensed" w:cs="DejaVuSerifCondensed"/>
        </w:rPr>
        <w:t xml:space="preserve">Kunt u in uw reactie ingaan op het feit dat 12% van de ATAD gedragen wordt door een sector die geen eigen vermogen kan aantrekken en aan wie het beleidsdoel om vreemd en eigen vermogen met elkaar in balans te brengen dus volledig verloren gaat? </w:t>
      </w:r>
    </w:p>
    <w:p w:rsidRPr="00A00329" w:rsidR="00E15EA4" w:rsidP="00E15EA4" w:rsidRDefault="00E15EA4" w14:paraId="2EA2728C" w14:textId="77777777">
      <w:pPr>
        <w:autoSpaceDE w:val="0"/>
        <w:adjustRightInd w:val="0"/>
        <w:rPr>
          <w:rFonts w:eastAsia="DejaVuSerifCondensed" w:cs="DejaVuSerifCondensed"/>
        </w:rPr>
      </w:pPr>
    </w:p>
    <w:p w:rsidR="00E15EA4" w:rsidP="00E15EA4" w:rsidRDefault="00E15EA4" w14:paraId="29113183" w14:textId="77777777">
      <w:pPr>
        <w:autoSpaceDE w:val="0"/>
        <w:adjustRightInd w:val="0"/>
        <w:rPr>
          <w:rFonts w:eastAsia="DejaVuSerifCondensed" w:cs="DejaVuSerifCondensed"/>
        </w:rPr>
      </w:pPr>
      <w:r w:rsidRPr="00A00329">
        <w:rPr>
          <w:rFonts w:eastAsia="DejaVuSerifCondensed" w:cs="DejaVuSerifCondensed"/>
          <w:b/>
          <w:bCs/>
        </w:rPr>
        <w:t>Antwoord vraag 13</w:t>
      </w:r>
    </w:p>
    <w:p w:rsidRPr="00A00329" w:rsidR="00E15EA4" w:rsidP="00E15EA4" w:rsidRDefault="00E15EA4" w14:paraId="13A54177" w14:textId="77777777">
      <w:pPr>
        <w:autoSpaceDE w:val="0"/>
        <w:adjustRightInd w:val="0"/>
      </w:pPr>
      <w:r>
        <w:t>Zie antwoord bij vraag 11.</w:t>
      </w:r>
    </w:p>
    <w:p w:rsidRPr="00A00329" w:rsidR="00E15EA4" w:rsidP="00E15EA4" w:rsidRDefault="00E15EA4" w14:paraId="45CD21A9" w14:textId="77777777">
      <w:pPr>
        <w:autoSpaceDE w:val="0"/>
        <w:adjustRightInd w:val="0"/>
        <w:rPr>
          <w:rFonts w:eastAsia="DejaVuSerifCondensed" w:cs="DejaVuSerifCondensed"/>
        </w:rPr>
      </w:pPr>
    </w:p>
    <w:p w:rsidRPr="00A00329" w:rsidR="00E15EA4" w:rsidP="00E15EA4" w:rsidRDefault="00E15EA4" w14:paraId="69912968" w14:textId="77777777">
      <w:pPr>
        <w:autoSpaceDE w:val="0"/>
        <w:adjustRightInd w:val="0"/>
        <w:rPr>
          <w:rFonts w:eastAsia="DejaVuSerifCondensed" w:cs="DejaVuSerifCondensed"/>
          <w:b/>
          <w:bCs/>
        </w:rPr>
      </w:pPr>
      <w:r w:rsidRPr="00A00329">
        <w:rPr>
          <w:rFonts w:eastAsia="DejaVuSerifCondensed" w:cs="DejaVuSerifCondensed"/>
          <w:b/>
          <w:bCs/>
        </w:rPr>
        <w:t xml:space="preserve">Vraag 14 </w:t>
      </w:r>
    </w:p>
    <w:p w:rsidRPr="00A00329" w:rsidR="00E15EA4" w:rsidP="00E15EA4" w:rsidRDefault="00E15EA4" w14:paraId="00EE72E5" w14:textId="77777777">
      <w:pPr>
        <w:autoSpaceDE w:val="0"/>
        <w:adjustRightInd w:val="0"/>
        <w:rPr>
          <w:rFonts w:eastAsia="DejaVuSerifCondensed" w:cs="DejaVuSerifCondensed"/>
        </w:rPr>
      </w:pPr>
      <w:r w:rsidRPr="00A00329">
        <w:rPr>
          <w:rFonts w:eastAsia="DejaVuSerifCondensed" w:cs="DejaVuSerifCondensed"/>
        </w:rPr>
        <w:t xml:space="preserve">Welke EU-landen hebben op dit moment via de vrijstelling voor infrastructuurprojecten de sociale huursector vrijgesteld van de effecten van de earningsstrippingmaatregel? </w:t>
      </w:r>
    </w:p>
    <w:p w:rsidRPr="00A00329" w:rsidR="00E15EA4" w:rsidP="00E15EA4" w:rsidRDefault="00E15EA4" w14:paraId="56BA752F" w14:textId="77777777">
      <w:pPr>
        <w:autoSpaceDE w:val="0"/>
        <w:adjustRightInd w:val="0"/>
        <w:rPr>
          <w:rFonts w:eastAsia="DejaVuSerifCondensed" w:cs="DejaVuSerifCondensed"/>
        </w:rPr>
      </w:pPr>
    </w:p>
    <w:p w:rsidRPr="00A00329" w:rsidR="00E15EA4" w:rsidP="00E15EA4" w:rsidRDefault="00E15EA4" w14:paraId="4A2E7C8B" w14:textId="77777777">
      <w:pPr>
        <w:autoSpaceDE w:val="0"/>
        <w:adjustRightInd w:val="0"/>
        <w:rPr>
          <w:rFonts w:eastAsia="DejaVuSerifCondensed" w:cs="DejaVuSerifCondensed"/>
          <w:b/>
          <w:bCs/>
        </w:rPr>
      </w:pPr>
      <w:r w:rsidRPr="00A00329">
        <w:rPr>
          <w:rFonts w:eastAsia="DejaVuSerifCondensed" w:cs="DejaVuSerifCondensed"/>
          <w:b/>
          <w:bCs/>
        </w:rPr>
        <w:t>Antwoord vraag 14</w:t>
      </w:r>
    </w:p>
    <w:p w:rsidR="00E15EA4" w:rsidP="00E15EA4" w:rsidRDefault="00E15EA4" w14:paraId="746CB816" w14:textId="77777777">
      <w:r w:rsidRPr="00A00329">
        <w:t>In 2020 heeft de Europese Commissie aan het Europees Parlement en de Raad een voorlopig verslag uitgebracht over de uitvoering van ATAD1 en de tweede EU-richtlijn antibelastingontwijking (ATAD2)</w:t>
      </w:r>
      <w:r w:rsidRPr="00A00329">
        <w:rPr>
          <w:vertAlign w:val="superscript"/>
        </w:rPr>
        <w:footnoteReference w:id="18"/>
      </w:r>
      <w:r w:rsidRPr="00A00329">
        <w:t xml:space="preserve"> in de lidstaten.</w:t>
      </w:r>
      <w:r w:rsidRPr="00A00329">
        <w:rPr>
          <w:vertAlign w:val="superscript"/>
        </w:rPr>
        <w:footnoteReference w:id="19"/>
      </w:r>
      <w:r w:rsidRPr="00A00329">
        <w:t xml:space="preserve"> Uit dit verslag volgt onder meer da</w:t>
      </w:r>
      <w:r>
        <w:t>t</w:t>
      </w:r>
      <w:r w:rsidRPr="00A00329">
        <w:t xml:space="preserve"> 16 EU-lidstaten </w:t>
      </w:r>
      <w:r>
        <w:t>er</w:t>
      </w:r>
      <w:r w:rsidRPr="00A00329">
        <w:t xml:space="preserve">voor hebben gekozen om leningen voor langlopende openbare-infrastructuurprojecten uit te sluiten van </w:t>
      </w:r>
      <w:r>
        <w:t xml:space="preserve">het toepassingsbereik van de </w:t>
      </w:r>
      <w:r w:rsidRPr="00A00329">
        <w:t>earningsstrippingmaatregel</w:t>
      </w:r>
      <w:r>
        <w:t>. Elf</w:t>
      </w:r>
      <w:r w:rsidRPr="00A00329">
        <w:t xml:space="preserve"> </w:t>
      </w:r>
      <w:r>
        <w:t>EU-</w:t>
      </w:r>
      <w:r w:rsidRPr="00A00329">
        <w:t>lidstaten hebben er niet voor gekozen om deze leningen uit te sluiten. Een officieel overzicht van welke landen het betreft en hoe zij invulling hebben gegeven aan de uitzondering voor langlopende openbare-infrastructuurprojecten is niet voorhanden. Derhalve blijft onduidelijk op welke wijze andere EU-lidstaten omgaan met de uitzondering voor langlopende openbare-infrastructuurprojecten</w:t>
      </w:r>
      <w:r>
        <w:t xml:space="preserve">. </w:t>
      </w:r>
    </w:p>
    <w:p w:rsidR="00E15EA4" w:rsidP="00E15EA4" w:rsidRDefault="00E15EA4" w14:paraId="09DF0ACC" w14:textId="77777777"/>
    <w:p w:rsidR="00E15EA4" w:rsidP="00E15EA4" w:rsidRDefault="00E15EA4" w14:paraId="4CADEFAD" w14:textId="77777777">
      <w:r>
        <w:t xml:space="preserve">Binnen de volkshuisvesting is regelmatig </w:t>
      </w:r>
      <w:r w:rsidRPr="00AE7364">
        <w:t xml:space="preserve">informeel ambtelijk contact met andere EU-lidstaten. Uit deze contacten </w:t>
      </w:r>
      <w:r w:rsidRPr="00525B05">
        <w:t>wordt</w:t>
      </w:r>
      <w:r w:rsidRPr="00AE7364">
        <w:t xml:space="preserve"> begrepen dat de uitzondering voor leningen voor langlopende openbare-infrastructuurprojecten ook in een</w:t>
      </w:r>
      <w:r w:rsidRPr="00525B05">
        <w:t xml:space="preserve"> beperkt</w:t>
      </w:r>
      <w:r w:rsidRPr="00AE7364">
        <w:t xml:space="preserve"> aantal lidstaten voor de volkshuisvesting wordt toegepast. Hierbij blijft onduidelijk welke</w:t>
      </w:r>
      <w:r>
        <w:t xml:space="preserve"> concrete voorwaarden deze EU-lidstaten hebben gesteld aan het gebruik van deze uitzondering.</w:t>
      </w:r>
      <w:r w:rsidRPr="00257065">
        <w:t xml:space="preserve"> </w:t>
      </w:r>
      <w:r>
        <w:t>Daarnaast is het niet mogelijk om deze situaties één-op-één met de Nederlandse situatie te vergelijken. Naast wat andere landen in de winstbelasting doen, is z</w:t>
      </w:r>
      <w:r w:rsidRPr="00A3227F">
        <w:t xml:space="preserve">eker zo bepalend het gehele samenstel van wet- en regelgeving (fiscaal en niet fiscaal). </w:t>
      </w:r>
    </w:p>
    <w:p w:rsidR="00E15EA4" w:rsidP="00E15EA4" w:rsidRDefault="00E15EA4" w14:paraId="47D0A932" w14:textId="77777777"/>
    <w:p w:rsidR="00E15EA4" w:rsidP="00E15EA4" w:rsidRDefault="00E15EA4" w14:paraId="2AF7CBD7" w14:textId="77777777">
      <w:pPr>
        <w:autoSpaceDE w:val="0"/>
        <w:adjustRightInd w:val="0"/>
      </w:pPr>
      <w:r w:rsidRPr="00A00329">
        <w:t>In vervolg op het voornoemde voorlopig verslag wordt door de Europese Commissie – in het kader van de evaluatie van ATAD – een uitgebreider verslag opgesteld over de maatregelen uit ATAD. Volgens de meest recente planning van de Europese Commissie wordt dit verslag in het derde kwartaal van 2025 gepubliceerd. Zodra dit beschikbaar is, wordt dit met uw Kamer gedeeld.</w:t>
      </w:r>
    </w:p>
    <w:p w:rsidR="00E15EA4" w:rsidP="00E15EA4" w:rsidRDefault="00E15EA4" w14:paraId="7F53C76D" w14:textId="77777777">
      <w:pPr>
        <w:autoSpaceDE w:val="0"/>
        <w:adjustRightInd w:val="0"/>
      </w:pPr>
    </w:p>
    <w:p w:rsidRPr="00A00329" w:rsidR="00E15EA4" w:rsidP="00E15EA4" w:rsidRDefault="00E15EA4" w14:paraId="4C169603" w14:textId="77777777">
      <w:pPr>
        <w:autoSpaceDE w:val="0"/>
        <w:adjustRightInd w:val="0"/>
        <w:rPr>
          <w:rFonts w:eastAsia="DejaVuSerifCondensed" w:cs="DejaVuSerifCondensed"/>
          <w:b/>
          <w:bCs/>
        </w:rPr>
      </w:pPr>
      <w:r w:rsidRPr="00A00329">
        <w:rPr>
          <w:rFonts w:eastAsia="DejaVuSerifCondensed" w:cs="DejaVuSerifCondensed"/>
          <w:b/>
          <w:bCs/>
        </w:rPr>
        <w:t xml:space="preserve">Vraag 15 </w:t>
      </w:r>
    </w:p>
    <w:p w:rsidRPr="00A00329" w:rsidR="00E15EA4" w:rsidP="00E15EA4" w:rsidRDefault="00E15EA4" w14:paraId="1985BCD8" w14:textId="77777777">
      <w:pPr>
        <w:autoSpaceDE w:val="0"/>
        <w:adjustRightInd w:val="0"/>
        <w:rPr>
          <w:rFonts w:eastAsia="DejaVuSerifCondensed" w:cs="DejaVuSerifCondensed"/>
        </w:rPr>
      </w:pPr>
      <w:r w:rsidRPr="00A00329">
        <w:rPr>
          <w:rFonts w:eastAsia="DejaVuSerifCondensed" w:cs="DejaVuSerifCondensed"/>
        </w:rPr>
        <w:t xml:space="preserve">Schat u in dat de Europese Commissie er bezwaar tegen zou hebben als Nederland via de vrijstelling voor infrastructuurprojecten de sociale huursector zou vrijstellen van de effecten van de earningsstrippingmaatregel? </w:t>
      </w:r>
    </w:p>
    <w:p w:rsidRPr="00A00329" w:rsidR="00E15EA4" w:rsidP="00E15EA4" w:rsidRDefault="00E15EA4" w14:paraId="3AAA7672" w14:textId="77777777">
      <w:pPr>
        <w:autoSpaceDE w:val="0"/>
        <w:adjustRightInd w:val="0"/>
        <w:rPr>
          <w:rFonts w:eastAsia="DejaVuSerifCondensed" w:cs="DejaVuSerifCondensed"/>
        </w:rPr>
      </w:pPr>
    </w:p>
    <w:p w:rsidRPr="00A00329" w:rsidR="00E15EA4" w:rsidP="00E15EA4" w:rsidRDefault="00E15EA4" w14:paraId="388ED44C" w14:textId="77777777">
      <w:pPr>
        <w:autoSpaceDE w:val="0"/>
        <w:adjustRightInd w:val="0"/>
        <w:rPr>
          <w:rFonts w:eastAsia="DejaVuSerifCondensed" w:cs="DejaVuSerifCondensed"/>
          <w:b/>
          <w:bCs/>
        </w:rPr>
      </w:pPr>
      <w:r w:rsidRPr="00A00329">
        <w:rPr>
          <w:rFonts w:eastAsia="DejaVuSerifCondensed" w:cs="DejaVuSerifCondensed"/>
          <w:b/>
          <w:bCs/>
        </w:rPr>
        <w:t>Antwoord vraag 15</w:t>
      </w:r>
    </w:p>
    <w:p w:rsidR="00E15EA4" w:rsidP="00E15EA4" w:rsidRDefault="00E15EA4" w14:paraId="5A733C21" w14:textId="77777777">
      <w:r>
        <w:t>D</w:t>
      </w:r>
      <w:r w:rsidRPr="00525B05">
        <w:t xml:space="preserve">e mogelijkheid om woningcorporaties uit te zonderen van de renteaftrekbeperking in de vennootschapsbelasting als gevolg van de ATAD1-richtlijn, zou een zeer onzeker traject zijn, waarbij naast de vraag of dit binnen de ATAD-regels zou kunnen ook staatssteun een rol speelt.  Om gebruik te kunnen maken van de uitzondering in de ATAD1-richtlijn voor langlopende openbare-infrastructuurprojecten moet aan vier voorwaarden voldaan worden; het moet gaan om 1) een project, dat 2) infrastructuur betreft, een 3) openbaar karakter heeft en 4) voor de lange termijn wordt gerealiseerd. Het lijkt moeilijk te beargumenteren dat sociale woningbouw aan deze voorwaarden voldoet. Bij langlopende openbare-infrastructuurprojecten moet in het bijzonder gedacht worden aan wegen, bruggen en tunnels. Bovendien is in de nationale implementatie van de ATAD1-richtlijn altijd het uitgangspunt gehanteerd dat gebouwen niet als (klassieke) infrastructuur gelden. Daarbij geldt bovendien dat zelfs wanneer geaccepteerd zou worden dat sociale woningbouw onder deze uitzondering zou mogen worden vrijgesteld, op dat moment alsnog een staatssteunbeoordeling in het kader van het DAEB-besluit moet plaatsvinden zoals ook bij andere maatregelen in de vennootschapsbelasting zou gelden en hierboven is beschreven. Om die reden liggen andere mogelijkheden om woningcorporaties financieel tegemoet te komen veel meer voor de hand. </w:t>
      </w:r>
    </w:p>
    <w:p w:rsidRPr="00525B05" w:rsidR="00E15EA4" w:rsidP="00E15EA4" w:rsidRDefault="00E15EA4" w14:paraId="11D693A2" w14:textId="77777777"/>
    <w:p w:rsidRPr="00A00329" w:rsidR="00E15EA4" w:rsidP="00E15EA4" w:rsidRDefault="00E15EA4" w14:paraId="6FEA78ED" w14:textId="77777777">
      <w:pPr>
        <w:tabs>
          <w:tab w:val="left" w:pos="1467"/>
        </w:tabs>
        <w:autoSpaceDE w:val="0"/>
        <w:adjustRightInd w:val="0"/>
        <w:rPr>
          <w:rFonts w:eastAsia="DejaVuSerifCondensed" w:cs="DejaVuSerifCondensed"/>
          <w:b/>
          <w:bCs/>
        </w:rPr>
      </w:pPr>
      <w:r w:rsidRPr="00A00329">
        <w:rPr>
          <w:rFonts w:eastAsia="DejaVuSerifCondensed" w:cs="DejaVuSerifCondensed"/>
          <w:b/>
          <w:bCs/>
        </w:rPr>
        <w:t xml:space="preserve">Vraag 16 </w:t>
      </w:r>
    </w:p>
    <w:p w:rsidRPr="00A00329" w:rsidR="00E15EA4" w:rsidP="00E15EA4" w:rsidRDefault="00E15EA4" w14:paraId="112E1C74" w14:textId="77777777">
      <w:pPr>
        <w:autoSpaceDE w:val="0"/>
        <w:adjustRightInd w:val="0"/>
        <w:rPr>
          <w:rFonts w:eastAsia="DejaVuSerifCondensed" w:cs="DejaVuSerifCondensed"/>
        </w:rPr>
      </w:pPr>
      <w:r w:rsidRPr="00A00329">
        <w:rPr>
          <w:rFonts w:eastAsia="DejaVuSerifCondensed" w:cs="DejaVuSerifCondensed"/>
        </w:rPr>
        <w:t xml:space="preserve">Welke stappen gaat u nemen om ervoor te zorgen dat meer beleidsvrijheid voor lidstaten om gericht sectoren uit te zonderen wordt meegenomen in het uitgebreide verslag van de Europese Commissie? </w:t>
      </w:r>
    </w:p>
    <w:p w:rsidRPr="00A00329" w:rsidR="00E15EA4" w:rsidP="00E15EA4" w:rsidRDefault="00E15EA4" w14:paraId="31064776" w14:textId="77777777">
      <w:pPr>
        <w:autoSpaceDE w:val="0"/>
        <w:adjustRightInd w:val="0"/>
        <w:rPr>
          <w:rFonts w:eastAsia="DejaVuSerifCondensed" w:cs="DejaVuSerifCondensed"/>
        </w:rPr>
      </w:pPr>
    </w:p>
    <w:p w:rsidRPr="00A00329" w:rsidR="00E15EA4" w:rsidP="00E15EA4" w:rsidRDefault="00E15EA4" w14:paraId="58F051FB" w14:textId="77777777">
      <w:pPr>
        <w:autoSpaceDE w:val="0"/>
        <w:adjustRightInd w:val="0"/>
        <w:rPr>
          <w:rFonts w:eastAsia="DejaVuSerifCondensed" w:cs="DejaVuSerifCondensed"/>
          <w:b/>
          <w:bCs/>
        </w:rPr>
      </w:pPr>
      <w:r w:rsidRPr="00A00329">
        <w:rPr>
          <w:rFonts w:eastAsia="DejaVuSerifCondensed" w:cs="DejaVuSerifCondensed"/>
          <w:b/>
          <w:bCs/>
        </w:rPr>
        <w:t>Antwoord vraag 16</w:t>
      </w:r>
    </w:p>
    <w:p w:rsidRPr="00A00329" w:rsidR="00E15EA4" w:rsidP="00E15EA4" w:rsidRDefault="00E15EA4" w14:paraId="1685FB67" w14:textId="77777777">
      <w:pPr>
        <w:autoSpaceDE w:val="0"/>
        <w:adjustRightInd w:val="0"/>
        <w:rPr>
          <w:rFonts w:eastAsia="DejaVuSerifCondensed" w:cs="DejaVuSerifCondensed"/>
        </w:rPr>
      </w:pPr>
      <w:bookmarkStart w:name="_Hlk184236898" w:id="14"/>
      <w:r w:rsidRPr="00A00329">
        <w:t>Voor het bepalen van onze specifieke inzet wachten wij eerst de uitkomsten van de evaluatie van ATAD af die momenteel wordt uitgevoerd</w:t>
      </w:r>
      <w:r>
        <w:t xml:space="preserve"> door de Europese Commissie</w:t>
      </w:r>
      <w:r w:rsidRPr="00A00329">
        <w:t>. Op dit moment is nog onbekend hoe het vervolgproces er precies uit zal zien na de openbare consultatie over ATAD</w:t>
      </w:r>
      <w:r>
        <w:t>, die deel uitmaakt van de evaluatie</w:t>
      </w:r>
      <w:r w:rsidRPr="00A00329">
        <w:t>. De verwachting is dat een uitgebreid verslag zal worden opgesteld over de maatregelen uit ATAD.</w:t>
      </w:r>
      <w:r w:rsidRPr="00A00329">
        <w:rPr>
          <w:rStyle w:val="Voetnootmarkering"/>
        </w:rPr>
        <w:footnoteReference w:id="20"/>
      </w:r>
      <w:r w:rsidRPr="00A00329">
        <w:t xml:space="preserve"> Volgens de meest recente planning van de Europese Commissie wordt dit verslag in het derde kwartaal van 2025 gepubliceerd.</w:t>
      </w:r>
      <w:r w:rsidRPr="00A00329">
        <w:rPr>
          <w:rStyle w:val="Voetnootmarkering"/>
        </w:rPr>
        <w:footnoteReference w:id="21"/>
      </w:r>
      <w:r w:rsidRPr="00A00329">
        <w:t xml:space="preserve"> Zodra dit </w:t>
      </w:r>
      <w:r>
        <w:t xml:space="preserve">verslag </w:t>
      </w:r>
      <w:r w:rsidRPr="00A00329">
        <w:t>beschikbaar is, wordt dit met uw Kamer gedeeld.</w:t>
      </w:r>
    </w:p>
    <w:bookmarkEnd w:id="14"/>
    <w:p w:rsidR="00E15EA4" w:rsidP="00E15EA4" w:rsidRDefault="00E15EA4" w14:paraId="2D0A6381" w14:textId="77777777">
      <w:pPr>
        <w:autoSpaceDE w:val="0"/>
        <w:adjustRightInd w:val="0"/>
        <w:rPr>
          <w:rFonts w:eastAsia="DejaVuSerifCondensed" w:cs="DejaVuSerifCondensed"/>
        </w:rPr>
      </w:pPr>
    </w:p>
    <w:p w:rsidR="00E15EA4" w:rsidP="00E15EA4" w:rsidRDefault="00E15EA4" w14:paraId="0298117A" w14:textId="77777777">
      <w:pPr>
        <w:tabs>
          <w:tab w:val="left" w:pos="1467"/>
        </w:tabs>
        <w:autoSpaceDE w:val="0"/>
        <w:adjustRightInd w:val="0"/>
        <w:rPr>
          <w:rFonts w:eastAsia="DejaVuSerifCondensed" w:cs="DejaVuSerifCondensed"/>
          <w:b/>
          <w:bCs/>
        </w:rPr>
      </w:pPr>
      <w:r w:rsidRPr="00A00329">
        <w:rPr>
          <w:rFonts w:eastAsia="DejaVuSerifCondensed" w:cs="DejaVuSerifCondensed"/>
          <w:b/>
          <w:bCs/>
        </w:rPr>
        <w:t>Vraag 1</w:t>
      </w:r>
      <w:r w:rsidRPr="002F1C65">
        <w:rPr>
          <w:rFonts w:eastAsia="DejaVuSerifCondensed" w:cs="DejaVuSerifCondensed"/>
          <w:b/>
          <w:bCs/>
        </w:rPr>
        <w:t xml:space="preserve">7 </w:t>
      </w:r>
    </w:p>
    <w:p w:rsidRPr="00525B05" w:rsidR="00E15EA4" w:rsidP="00E15EA4" w:rsidRDefault="00E15EA4" w14:paraId="1EE31EFC" w14:textId="77777777">
      <w:pPr>
        <w:tabs>
          <w:tab w:val="left" w:pos="1467"/>
        </w:tabs>
        <w:autoSpaceDE w:val="0"/>
        <w:adjustRightInd w:val="0"/>
        <w:rPr>
          <w:rFonts w:eastAsia="DejaVuSerifCondensed" w:cs="DejaVuSerifCondensed"/>
        </w:rPr>
      </w:pPr>
      <w:r w:rsidRPr="00525B05">
        <w:rPr>
          <w:rFonts w:eastAsia="DejaVuSerifCondensed" w:cs="DejaVuSerifCondensed"/>
        </w:rPr>
        <w:t xml:space="preserve">Bent u bereid om in de huidige richtlijn te kijken naar mogelijke oplossingen of zo nodig zich in Europees verband in te spannen voor een aanpassing van de richtlijn; zodat de primaire werkzaamheden -het verhuren van sociale huurwoningen- van corporaties uitgezonderd kunnen worden? </w:t>
      </w:r>
    </w:p>
    <w:p w:rsidR="00E15EA4" w:rsidP="00E15EA4" w:rsidRDefault="00E15EA4" w14:paraId="0A285CBB" w14:textId="77777777">
      <w:pPr>
        <w:autoSpaceDE w:val="0"/>
        <w:adjustRightInd w:val="0"/>
        <w:rPr>
          <w:rFonts w:eastAsia="DejaVuSerifCondensed" w:cs="DejaVuSerifCondensed"/>
        </w:rPr>
      </w:pPr>
    </w:p>
    <w:p w:rsidRPr="00525B05" w:rsidR="00E15EA4" w:rsidP="00E15EA4" w:rsidRDefault="00E15EA4" w14:paraId="497A185F" w14:textId="77777777">
      <w:pPr>
        <w:autoSpaceDE w:val="0"/>
        <w:adjustRightInd w:val="0"/>
        <w:rPr>
          <w:rFonts w:eastAsia="DejaVuSerifCondensed" w:cs="DejaVuSerifCondensed"/>
          <w:b/>
          <w:bCs/>
        </w:rPr>
      </w:pPr>
      <w:r w:rsidRPr="00525B05">
        <w:rPr>
          <w:rFonts w:eastAsia="DejaVuSerifCondensed" w:cs="DejaVuSerifCondensed"/>
          <w:b/>
          <w:bCs/>
        </w:rPr>
        <w:t>Antwoord vraag 17</w:t>
      </w:r>
    </w:p>
    <w:p w:rsidR="00E15EA4" w:rsidP="00E15EA4" w:rsidRDefault="00E15EA4" w14:paraId="6C05D551" w14:textId="77777777">
      <w:pPr>
        <w:autoSpaceDE w:val="0"/>
        <w:adjustRightInd w:val="0"/>
        <w:rPr>
          <w:rFonts w:eastAsia="DejaVuSerifCondensed" w:cs="DejaVuSerifCondensed"/>
        </w:rPr>
      </w:pPr>
      <w:r>
        <w:rPr>
          <w:rFonts w:eastAsia="DejaVuSerifCondensed" w:cs="DejaVuSerifCondensed"/>
        </w:rPr>
        <w:t>Op 11 december 2024 heb ik uw Kamer geïnformeerd over de herijking van de Nationale prestatieafspraken</w:t>
      </w:r>
      <w:r>
        <w:rPr>
          <w:rStyle w:val="Voetnootmarkering"/>
          <w:rFonts w:eastAsia="DejaVuSerifCondensed" w:cs="DejaVuSerifCondensed"/>
        </w:rPr>
        <w:footnoteReference w:id="22"/>
      </w:r>
      <w:r>
        <w:rPr>
          <w:rFonts w:eastAsia="DejaVuSerifCondensed" w:cs="DejaVuSerifCondensed"/>
        </w:rPr>
        <w:t xml:space="preserve"> die ik met Aedes en VNG heb afgesproken. Daarin heb ik onder andere afgesproken om ve</w:t>
      </w:r>
      <w:r w:rsidRPr="00525B05">
        <w:rPr>
          <w:rFonts w:eastAsia="DejaVuSerifCondensed" w:cs="DejaVuSerifCondensed"/>
        </w:rPr>
        <w:t xml:space="preserve">rder te werken aan een gezamenlijk beeld van het investeringsklimaat voor investeringen in </w:t>
      </w:r>
      <w:r>
        <w:rPr>
          <w:rFonts w:eastAsia="DejaVuSerifCondensed" w:cs="DejaVuSerifCondensed"/>
        </w:rPr>
        <w:t xml:space="preserve">huurwoningen en daarbij ook specifiek te kijken naar de beleidsmatige opties voor het verbeteren van de investeringspositie van woningcorporaties. </w:t>
      </w:r>
    </w:p>
    <w:p w:rsidR="00E15EA4" w:rsidP="00E15EA4" w:rsidRDefault="00E15EA4" w14:paraId="36D57857" w14:textId="77777777">
      <w:pPr>
        <w:autoSpaceDE w:val="0"/>
        <w:adjustRightInd w:val="0"/>
        <w:rPr>
          <w:rFonts w:eastAsia="DejaVuSerifCondensed" w:cs="DejaVuSerifCondensed"/>
        </w:rPr>
      </w:pPr>
    </w:p>
    <w:p w:rsidR="00E15EA4" w:rsidP="00E15EA4" w:rsidRDefault="00E15EA4" w14:paraId="36767B72" w14:textId="77777777">
      <w:pPr>
        <w:autoSpaceDE w:val="0"/>
        <w:adjustRightInd w:val="0"/>
        <w:rPr>
          <w:rFonts w:eastAsia="DejaVuSerifCondensed" w:cs="DejaVuSerifCondensed"/>
        </w:rPr>
      </w:pPr>
      <w:r>
        <w:rPr>
          <w:rFonts w:eastAsia="DejaVuSerifCondensed" w:cs="DejaVuSerifCondensed"/>
        </w:rPr>
        <w:t>Het doel daarvan is inzicht te krijgen in de mogelijkheden om tijdig te kunnen anticiperen op het treffen van passende maatregelen, in het geval de woningcorporatiesector in de toekomst tegen zijn financiële grenzen loopt. Een goed inzicht in de mogelijkheden voor lastenverlichting of subsidiëring is van belang om te voorkomen dat woningcorporaties genoodzaakt worden hun investeringen voortijdig te beperken. Dit onderzoek staat los van de dekking die gevonden dient te worden voor de budgettaire effecten die een eventuele maatregel met zich meebrengt. Daarnaast dient een dergelijke maatregel ook in</w:t>
      </w:r>
      <w:r w:rsidRPr="004964DD">
        <w:rPr>
          <w:rFonts w:eastAsia="DejaVuSerifCondensed" w:cs="DejaVuSerifCondensed"/>
        </w:rPr>
        <w:t xml:space="preserve"> overeenstemming te zijn met de staatssteunregels</w:t>
      </w:r>
      <w:r>
        <w:rPr>
          <w:rFonts w:eastAsia="DejaVuSerifCondensed" w:cs="DejaVuSerifCondensed"/>
        </w:rPr>
        <w:t xml:space="preserve"> en uitvoerbaar te zijn.</w:t>
      </w:r>
      <w:r>
        <w:rPr>
          <w:rFonts w:eastAsia="DejaVuSerifCondensed" w:cs="DejaVuSerifCondensed"/>
        </w:rPr>
        <w:br/>
      </w:r>
    </w:p>
    <w:p w:rsidR="00E15EA4" w:rsidP="00E15EA4" w:rsidRDefault="00E15EA4" w14:paraId="7A6A9615" w14:textId="77777777">
      <w:pPr>
        <w:autoSpaceDE w:val="0"/>
        <w:adjustRightInd w:val="0"/>
        <w:rPr>
          <w:rFonts w:eastAsia="DejaVuSerifCondensed" w:cs="DejaVuSerifCondensed"/>
          <w:b/>
          <w:bCs/>
        </w:rPr>
      </w:pPr>
      <w:r>
        <w:rPr>
          <w:rFonts w:eastAsia="DejaVuSerifCondensed" w:cs="DejaVuSerifCondensed"/>
          <w:b/>
          <w:bCs/>
        </w:rPr>
        <w:t xml:space="preserve">Vraag </w:t>
      </w:r>
      <w:r w:rsidRPr="002F1C65">
        <w:rPr>
          <w:rFonts w:eastAsia="DejaVuSerifCondensed" w:cs="DejaVuSerifCondensed"/>
          <w:b/>
          <w:bCs/>
        </w:rPr>
        <w:t>18</w:t>
      </w:r>
    </w:p>
    <w:p w:rsidRPr="00525B05" w:rsidR="00E15EA4" w:rsidP="00E15EA4" w:rsidRDefault="00E15EA4" w14:paraId="660CA361" w14:textId="77777777">
      <w:pPr>
        <w:autoSpaceDE w:val="0"/>
        <w:adjustRightInd w:val="0"/>
        <w:rPr>
          <w:rFonts w:eastAsia="DejaVuSerifCondensed" w:cs="DejaVuSerifCondensed"/>
        </w:rPr>
      </w:pPr>
      <w:r w:rsidRPr="00525B05">
        <w:rPr>
          <w:rFonts w:eastAsia="DejaVuSerifCondensed" w:cs="DejaVuSerifCondensed"/>
        </w:rPr>
        <w:t xml:space="preserve">Wat vindt u ervan dat met de methode ‘indicatieve bestedingsruimte woningcorporaties’ (IBW) gesteld kan worden dat bij een gemiddelde ATAD-last die oploopt naar 530 miljoen (bron: Aedes VPB onderzoek 2023) op termijn de bouw van zeker 70.000 woningen niet tot stand kan komen? </w:t>
      </w:r>
    </w:p>
    <w:p w:rsidR="00E15EA4" w:rsidP="00E15EA4" w:rsidRDefault="00E15EA4" w14:paraId="0DE4B4E8" w14:textId="77777777">
      <w:pPr>
        <w:autoSpaceDE w:val="0"/>
        <w:adjustRightInd w:val="0"/>
        <w:rPr>
          <w:rFonts w:eastAsia="DejaVuSerifCondensed" w:cs="DejaVuSerifCondensed"/>
        </w:rPr>
      </w:pPr>
    </w:p>
    <w:p w:rsidRPr="00525B05" w:rsidR="00E15EA4" w:rsidP="00E15EA4" w:rsidRDefault="00E15EA4" w14:paraId="19FCD4A4" w14:textId="77777777">
      <w:pPr>
        <w:autoSpaceDE w:val="0"/>
        <w:adjustRightInd w:val="0"/>
        <w:rPr>
          <w:rFonts w:eastAsia="DejaVuSerifCondensed" w:cs="DejaVuSerifCondensed"/>
          <w:b/>
          <w:bCs/>
        </w:rPr>
      </w:pPr>
      <w:r w:rsidRPr="00525B05">
        <w:rPr>
          <w:rFonts w:eastAsia="DejaVuSerifCondensed" w:cs="DejaVuSerifCondensed"/>
          <w:b/>
          <w:bCs/>
        </w:rPr>
        <w:t>Antwoord vraag 18</w:t>
      </w:r>
    </w:p>
    <w:p w:rsidR="00E15EA4" w:rsidP="00E15EA4" w:rsidRDefault="00E15EA4" w14:paraId="13765F70" w14:textId="77777777">
      <w:pPr>
        <w:autoSpaceDE w:val="0"/>
        <w:adjustRightInd w:val="0"/>
        <w:rPr>
          <w:rFonts w:eastAsia="DejaVuSerifCondensed" w:cs="DejaVuSerifCondensed"/>
        </w:rPr>
      </w:pPr>
      <w:r>
        <w:rPr>
          <w:rFonts w:eastAsia="DejaVuSerifCondensed" w:cs="DejaVuSerifCondensed"/>
        </w:rPr>
        <w:t>In de herijkte Nationale prestatieafspraken die ik met Aedes en VNG heb gemaakt</w:t>
      </w:r>
      <w:r>
        <w:rPr>
          <w:rStyle w:val="Voetnootmarkering"/>
          <w:rFonts w:eastAsia="DejaVuSerifCondensed" w:cs="DejaVuSerifCondensed"/>
        </w:rPr>
        <w:footnoteReference w:id="23"/>
      </w:r>
      <w:r>
        <w:rPr>
          <w:rFonts w:eastAsia="DejaVuSerifCondensed" w:cs="DejaVuSerifCondensed"/>
        </w:rPr>
        <w:t xml:space="preserve"> is afgesproken dat woningcorporaties hun nieuwbouwproductie zo snel mogelijk, uiterlijk in 2029, moeten opvoeren naar 30.000 per jaar en in de jaren erna dit niveau moeten vasthouden. Dit moeten woningcorporaties doen naast het realiseren van grote opgaven rond leefbaarheid, betaalbaarheid en verduurzaming. Uit de financiële analyse van de Nationale prestatieafspraken komt naar voren dat de woningcorporatiesector de komende jaren financiële ruimte heeft om volop te investeren in de afgesproken volkshuisvestelijke opgaven. De berekeningen laten zien dat er op landelijk niveau voldoende investeringsruimte beschikbaar is om de opgaven, inclusief de nieuwbouwopgave, te kunnen realiseren. Bij deze financiële analyse is rekening gehouden met de earningsstrippingmaatregel en de vennootschapsbelasting. Ik herken het beeld dan ook niet dat de bouw van 70.000 woningen niet tot stand kan komen door de earningsstrippingmaatregel.</w:t>
      </w:r>
    </w:p>
    <w:p w:rsidR="00E15EA4" w:rsidP="00E15EA4" w:rsidRDefault="00E15EA4" w14:paraId="3F380695" w14:textId="77777777">
      <w:pPr>
        <w:autoSpaceDE w:val="0"/>
        <w:adjustRightInd w:val="0"/>
        <w:rPr>
          <w:rFonts w:eastAsia="DejaVuSerifCondensed" w:cs="DejaVuSerifCondensed"/>
        </w:rPr>
      </w:pPr>
    </w:p>
    <w:p w:rsidR="00E15EA4" w:rsidP="00E15EA4" w:rsidRDefault="00E15EA4" w14:paraId="63615320" w14:textId="77777777">
      <w:pPr>
        <w:autoSpaceDE w:val="0"/>
        <w:adjustRightInd w:val="0"/>
        <w:rPr>
          <w:rFonts w:eastAsia="DejaVuSerifCondensed" w:cs="DejaVuSerifCondensed"/>
          <w:b/>
          <w:bCs/>
        </w:rPr>
      </w:pPr>
      <w:r>
        <w:rPr>
          <w:rFonts w:eastAsia="DejaVuSerifCondensed" w:cs="DejaVuSerifCondensed"/>
          <w:b/>
          <w:bCs/>
        </w:rPr>
        <w:t xml:space="preserve">Vraag </w:t>
      </w:r>
      <w:r w:rsidRPr="002F1C65">
        <w:rPr>
          <w:rFonts w:eastAsia="DejaVuSerifCondensed" w:cs="DejaVuSerifCondensed"/>
          <w:b/>
          <w:bCs/>
        </w:rPr>
        <w:t>19</w:t>
      </w:r>
    </w:p>
    <w:p w:rsidRPr="00525B05" w:rsidR="00E15EA4" w:rsidP="00E15EA4" w:rsidRDefault="00E15EA4" w14:paraId="27BEDA07" w14:textId="77777777">
      <w:pPr>
        <w:autoSpaceDE w:val="0"/>
        <w:adjustRightInd w:val="0"/>
        <w:rPr>
          <w:rFonts w:eastAsia="DejaVuSerifCondensed" w:cs="DejaVuSerifCondensed"/>
        </w:rPr>
      </w:pPr>
      <w:r w:rsidRPr="00525B05">
        <w:rPr>
          <w:rFonts w:eastAsia="DejaVuSerifCondensed" w:cs="DejaVuSerifCondensed"/>
        </w:rPr>
        <w:t xml:space="preserve">Kunt u aangeven hoeveel meer onrendabel de bouw van een sociale huurwoning wordt voor corporaties als zij de rente niet meer kunnen aftrekken? </w:t>
      </w:r>
    </w:p>
    <w:p w:rsidR="00E15EA4" w:rsidP="00E15EA4" w:rsidRDefault="00E15EA4" w14:paraId="5FBF0B7E" w14:textId="77777777">
      <w:pPr>
        <w:autoSpaceDE w:val="0"/>
        <w:adjustRightInd w:val="0"/>
        <w:rPr>
          <w:rFonts w:eastAsia="DejaVuSerifCondensed" w:cs="DejaVuSerifCondensed"/>
          <w:b/>
          <w:bCs/>
        </w:rPr>
      </w:pPr>
    </w:p>
    <w:p w:rsidR="00E15EA4" w:rsidP="00E15EA4" w:rsidRDefault="00E15EA4" w14:paraId="3F28CF85" w14:textId="77777777">
      <w:pPr>
        <w:autoSpaceDE w:val="0"/>
        <w:adjustRightInd w:val="0"/>
        <w:rPr>
          <w:rFonts w:eastAsia="DejaVuSerifCondensed" w:cs="DejaVuSerifCondensed"/>
        </w:rPr>
      </w:pPr>
      <w:r>
        <w:rPr>
          <w:rFonts w:eastAsia="DejaVuSerifCondensed" w:cs="DejaVuSerifCondensed"/>
          <w:b/>
          <w:bCs/>
        </w:rPr>
        <w:t>Antwoord vraag 19</w:t>
      </w:r>
      <w:r>
        <w:rPr>
          <w:rFonts w:eastAsia="DejaVuSerifCondensed" w:cs="DejaVuSerifCondensed"/>
        </w:rPr>
        <w:br/>
        <w:t>De earningsstrippingmaatregel heeft geen invloed op de hoogte van het onrendabele deel van de bouw van een (sociale) huurwoning door een woningcorporatie. Dit komt omdat waarderingsregels voorschrijven dat bij de waardebepaling van een (sociale) huurwoning de vennootschapsbelasting en rente niet worden meegenomen. Dit zijn namelijk kosten die niet direct aan het vastgoed zijn toe te rekenen. De earningsstrippingmaatregel heeft zodoende geen effect op de waarde van een (sociale) huurwoning(en) en daarmee tevens ook geen effect op het onrendabele deel bij de bouw ervan.</w:t>
      </w:r>
    </w:p>
    <w:p w:rsidR="00E15EA4" w:rsidP="00E15EA4" w:rsidRDefault="00E15EA4" w14:paraId="1BADE6A1" w14:textId="77777777">
      <w:pPr>
        <w:autoSpaceDE w:val="0"/>
        <w:adjustRightInd w:val="0"/>
        <w:rPr>
          <w:rFonts w:eastAsia="DejaVuSerifCondensed" w:cs="DejaVuSerifCondensed"/>
        </w:rPr>
      </w:pPr>
    </w:p>
    <w:p w:rsidR="00E15EA4" w:rsidP="00E15EA4" w:rsidRDefault="00E15EA4" w14:paraId="797562A3" w14:textId="77777777">
      <w:pPr>
        <w:autoSpaceDE w:val="0"/>
        <w:adjustRightInd w:val="0"/>
        <w:rPr>
          <w:rFonts w:eastAsia="DejaVuSerifCondensed" w:cs="DejaVuSerifCondensed"/>
          <w:b/>
          <w:bCs/>
        </w:rPr>
      </w:pPr>
      <w:r w:rsidRPr="00ED235F">
        <w:rPr>
          <w:rFonts w:eastAsia="DejaVuSerifCondensed" w:cs="DejaVuSerifCondensed"/>
        </w:rPr>
        <w:t xml:space="preserve">De mate waarin rente </w:t>
      </w:r>
      <w:r>
        <w:rPr>
          <w:rFonts w:eastAsia="DejaVuSerifCondensed" w:cs="DejaVuSerifCondensed"/>
        </w:rPr>
        <w:t xml:space="preserve">in de vennootschapsbelasting </w:t>
      </w:r>
      <w:r w:rsidRPr="00ED235F">
        <w:rPr>
          <w:rFonts w:eastAsia="DejaVuSerifCondensed" w:cs="DejaVuSerifCondensed"/>
        </w:rPr>
        <w:t xml:space="preserve">mag worden afgetrokken heeft </w:t>
      </w:r>
      <w:r>
        <w:rPr>
          <w:rFonts w:eastAsia="DejaVuSerifCondensed" w:cs="DejaVuSerifCondensed"/>
        </w:rPr>
        <w:t xml:space="preserve">echter </w:t>
      </w:r>
      <w:r w:rsidRPr="00ED235F">
        <w:rPr>
          <w:rFonts w:eastAsia="DejaVuSerifCondensed" w:cs="DejaVuSerifCondensed"/>
        </w:rPr>
        <w:t xml:space="preserve">wel effect op de investeringscapaciteit van </w:t>
      </w:r>
      <w:r>
        <w:rPr>
          <w:rFonts w:eastAsia="DejaVuSerifCondensed" w:cs="DejaVuSerifCondensed"/>
        </w:rPr>
        <w:t>woning</w:t>
      </w:r>
      <w:r w:rsidRPr="00ED235F">
        <w:rPr>
          <w:rFonts w:eastAsia="DejaVuSerifCondensed" w:cs="DejaVuSerifCondensed"/>
        </w:rPr>
        <w:t xml:space="preserve">corporaties. Zoals in mijn antwoord op vraag 18 aangegeven, is die investeringscapaciteit </w:t>
      </w:r>
      <w:r>
        <w:rPr>
          <w:rFonts w:eastAsia="DejaVuSerifCondensed" w:cs="DejaVuSerifCondensed"/>
        </w:rPr>
        <w:t xml:space="preserve">van woningcorporaties </w:t>
      </w:r>
      <w:r w:rsidRPr="00ED235F">
        <w:rPr>
          <w:rFonts w:eastAsia="DejaVuSerifCondensed" w:cs="DejaVuSerifCondensed"/>
        </w:rPr>
        <w:t xml:space="preserve">voldoende om de nieuwbouwopgave in de </w:t>
      </w:r>
      <w:r>
        <w:rPr>
          <w:rFonts w:eastAsia="DejaVuSerifCondensed" w:cs="DejaVuSerifCondensed"/>
        </w:rPr>
        <w:t xml:space="preserve">vernieuwde </w:t>
      </w:r>
      <w:r w:rsidRPr="00ED235F">
        <w:rPr>
          <w:rFonts w:eastAsia="DejaVuSerifCondensed" w:cs="DejaVuSerifCondensed"/>
        </w:rPr>
        <w:t>Nationale prestatieafspraken te realiseren, naast de opgaven rond leefbaarheid, betaalbaarheid en verduurzaming.</w:t>
      </w:r>
      <w:r>
        <w:rPr>
          <w:rFonts w:eastAsia="DejaVuSerifCondensed" w:cs="DejaVuSerifCondensed"/>
        </w:rPr>
        <w:br/>
      </w:r>
      <w:r>
        <w:rPr>
          <w:rFonts w:eastAsia="DejaVuSerifCondensed" w:cs="DejaVuSerifCondensed"/>
        </w:rPr>
        <w:br/>
      </w:r>
      <w:r>
        <w:rPr>
          <w:rFonts w:eastAsia="DejaVuSerifCondensed" w:cs="DejaVuSerifCondensed"/>
          <w:b/>
          <w:bCs/>
        </w:rPr>
        <w:t>Vraag 2</w:t>
      </w:r>
      <w:r w:rsidRPr="00647248">
        <w:rPr>
          <w:rFonts w:eastAsia="DejaVuSerifCondensed" w:cs="DejaVuSerifCondensed"/>
          <w:b/>
          <w:bCs/>
        </w:rPr>
        <w:t>0</w:t>
      </w:r>
    </w:p>
    <w:p w:rsidRPr="00525B05" w:rsidR="00E15EA4" w:rsidP="00E15EA4" w:rsidRDefault="00E15EA4" w14:paraId="2755F13D" w14:textId="77777777">
      <w:pPr>
        <w:autoSpaceDE w:val="0"/>
        <w:adjustRightInd w:val="0"/>
        <w:rPr>
          <w:rFonts w:eastAsia="DejaVuSerifCondensed" w:cs="DejaVuSerifCondensed"/>
        </w:rPr>
      </w:pPr>
      <w:r w:rsidRPr="00525B05">
        <w:rPr>
          <w:rFonts w:eastAsia="DejaVuSerifCondensed" w:cs="DejaVuSerifCondensed"/>
        </w:rPr>
        <w:t>Kunt u bovenstaande vragen één voor één, onderbouwd en binnen drie weken beantwoorden?</w:t>
      </w:r>
    </w:p>
    <w:p w:rsidR="00E15EA4" w:rsidP="00E15EA4" w:rsidRDefault="00E15EA4" w14:paraId="27148BE6" w14:textId="77777777">
      <w:pPr>
        <w:autoSpaceDE w:val="0"/>
        <w:adjustRightInd w:val="0"/>
        <w:rPr>
          <w:rFonts w:eastAsia="DejaVuSerifCondensed" w:cs="DejaVuSerifCondensed"/>
          <w:b/>
          <w:bCs/>
        </w:rPr>
      </w:pPr>
    </w:p>
    <w:p w:rsidRPr="00525B05" w:rsidR="00E15EA4" w:rsidP="00E15EA4" w:rsidRDefault="00E15EA4" w14:paraId="5A47CF1E" w14:textId="77777777">
      <w:pPr>
        <w:autoSpaceDE w:val="0"/>
        <w:adjustRightInd w:val="0"/>
        <w:rPr>
          <w:rFonts w:eastAsia="DejaVuSerifCondensed" w:cs="DejaVuSerifCondensed"/>
          <w:b/>
          <w:bCs/>
        </w:rPr>
      </w:pPr>
      <w:r>
        <w:rPr>
          <w:rFonts w:eastAsia="DejaVuSerifCondensed" w:cs="DejaVuSerifCondensed"/>
          <w:b/>
          <w:bCs/>
        </w:rPr>
        <w:t>Antwoord 20</w:t>
      </w:r>
    </w:p>
    <w:p w:rsidRPr="00077197" w:rsidR="00E15EA4" w:rsidP="00E15EA4" w:rsidRDefault="00E15EA4" w14:paraId="0FE1A691" w14:textId="77777777">
      <w:pPr>
        <w:rPr>
          <w:rFonts w:eastAsia="DejaVuSerifCondensed" w:cs="DejaVuSerifCondensed"/>
        </w:rPr>
      </w:pPr>
      <w:r w:rsidRPr="00077197">
        <w:rPr>
          <w:rFonts w:eastAsia="DejaVuSerifCondensed" w:cs="DejaVuSerifCondensed"/>
        </w:rPr>
        <w:t xml:space="preserve">Voor de beantwoording van de vragen </w:t>
      </w:r>
      <w:r>
        <w:rPr>
          <w:rFonts w:eastAsia="DejaVuSerifCondensed" w:cs="DejaVuSerifCondensed"/>
        </w:rPr>
        <w:t>wa</w:t>
      </w:r>
      <w:r w:rsidRPr="00077197">
        <w:rPr>
          <w:rFonts w:eastAsia="DejaVuSerifCondensed" w:cs="DejaVuSerifCondensed"/>
        </w:rPr>
        <w:t>s meer tijd nodig.</w:t>
      </w:r>
    </w:p>
    <w:p w:rsidRPr="00A00329" w:rsidR="00E15EA4" w:rsidP="00E15EA4" w:rsidRDefault="00E15EA4" w14:paraId="5EBFB508" w14:textId="77777777">
      <w:pPr>
        <w:autoSpaceDE w:val="0"/>
        <w:adjustRightInd w:val="0"/>
        <w:rPr>
          <w:rFonts w:eastAsia="DejaVuSerifCondensed" w:cs="DejaVuSerifCondensed"/>
        </w:rPr>
      </w:pPr>
    </w:p>
    <w:p w:rsidR="00305D4F" w:rsidP="00E15EA4" w:rsidRDefault="00305D4F" w14:paraId="7B90E21F" w14:textId="77777777">
      <w:pPr>
        <w:autoSpaceDE w:val="0"/>
        <w:adjustRightInd w:val="0"/>
        <w:spacing w:line="240" w:lineRule="auto"/>
      </w:pPr>
    </w:p>
    <w:sectPr w:rsidR="00305D4F" w:rsidSect="006F2A1D">
      <w:headerReference w:type="even" r:id="rId9"/>
      <w:headerReference w:type="default" r:id="rId10"/>
      <w:footerReference w:type="even" r:id="rId11"/>
      <w:footerReference w:type="default" r:id="rId12"/>
      <w:headerReference w:type="first" r:id="rId13"/>
      <w:footerReference w:type="first" r:id="rId14"/>
      <w:pgSz w:w="11905" w:h="16837"/>
      <w:pgMar w:top="414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7EC2" w14:textId="77777777" w:rsidR="00A16324" w:rsidRDefault="00A16324">
      <w:pPr>
        <w:spacing w:line="240" w:lineRule="auto"/>
      </w:pPr>
      <w:r>
        <w:separator/>
      </w:r>
    </w:p>
  </w:endnote>
  <w:endnote w:type="continuationSeparator" w:id="0">
    <w:p w14:paraId="4D7F1113" w14:textId="77777777" w:rsidR="00A16324" w:rsidRDefault="00A16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0DEF" w14:textId="77777777" w:rsidR="008D39C6" w:rsidRDefault="008D39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AD1B" w14:textId="77777777" w:rsidR="008D39C6" w:rsidRDefault="008D39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3C27" w14:textId="77777777" w:rsidR="008D39C6" w:rsidRDefault="008D39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3E2A" w14:textId="77777777" w:rsidR="00A16324" w:rsidRDefault="00A16324">
      <w:pPr>
        <w:spacing w:line="240" w:lineRule="auto"/>
      </w:pPr>
      <w:r>
        <w:separator/>
      </w:r>
    </w:p>
  </w:footnote>
  <w:footnote w:type="continuationSeparator" w:id="0">
    <w:p w14:paraId="5C188335" w14:textId="77777777" w:rsidR="00A16324" w:rsidRDefault="00A16324">
      <w:pPr>
        <w:spacing w:line="240" w:lineRule="auto"/>
      </w:pPr>
      <w:r>
        <w:continuationSeparator/>
      </w:r>
    </w:p>
  </w:footnote>
  <w:footnote w:id="1">
    <w:p w14:paraId="581902EC"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R</w:t>
      </w:r>
      <w:r w:rsidRPr="00E07B39">
        <w:rPr>
          <w:rFonts w:ascii="Verdana" w:hAnsi="Verdana"/>
          <w:color w:val="211D1F"/>
          <w:sz w:val="13"/>
          <w:szCs w:val="13"/>
        </w:rPr>
        <w:t>ichtlijn (EU) 2016/1164 van de Raad van 12 juli 2016 tot vaststelling van regels ter bestrijding van belastingontwijkingspraktijken welke rechtstreeks van invloed zijn op de werking van de interne markt (PbEU 2016, L 193/1).</w:t>
      </w:r>
    </w:p>
  </w:footnote>
  <w:footnote w:id="2">
    <w:p w14:paraId="5291F851" w14:textId="77777777" w:rsidR="00E15EA4" w:rsidRPr="000941ED" w:rsidRDefault="00E15EA4" w:rsidP="00E15EA4">
      <w:pPr>
        <w:pStyle w:val="Voetnoottekst"/>
        <w:rPr>
          <w:rFonts w:ascii="Verdana" w:hAnsi="Verdana"/>
          <w:sz w:val="18"/>
          <w:szCs w:val="18"/>
        </w:rPr>
      </w:pPr>
      <w:r w:rsidRPr="00E07B39">
        <w:rPr>
          <w:rStyle w:val="Voetnootmarkering"/>
          <w:rFonts w:ascii="Verdana" w:hAnsi="Verdana"/>
          <w:sz w:val="13"/>
          <w:szCs w:val="13"/>
        </w:rPr>
        <w:footnoteRef/>
      </w:r>
      <w:r w:rsidRPr="00E07B39">
        <w:rPr>
          <w:rFonts w:ascii="Verdana" w:hAnsi="Verdana"/>
          <w:sz w:val="13"/>
          <w:szCs w:val="13"/>
        </w:rPr>
        <w:t xml:space="preserve"> Het uitgangspunt voor de gecorrigeerde winst is de EBITDA (Earnings Before Interest, Taxes, Depreciation and Amortization).</w:t>
      </w:r>
      <w:r w:rsidRPr="0072650B">
        <w:rPr>
          <w:rFonts w:ascii="Verdana" w:hAnsi="Verdana"/>
          <w:sz w:val="16"/>
          <w:szCs w:val="16"/>
        </w:rPr>
        <w:t xml:space="preserve">  </w:t>
      </w:r>
    </w:p>
  </w:footnote>
  <w:footnote w:id="3">
    <w:p w14:paraId="44F01A6F"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2024/25, 36602, nr. 130.</w:t>
      </w:r>
    </w:p>
  </w:footnote>
  <w:footnote w:id="4">
    <w:p w14:paraId="4A32FA74"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w:t>
      </w:r>
      <w:r w:rsidRPr="00E07B39">
        <w:rPr>
          <w:rFonts w:ascii="Verdana" w:hAnsi="Verdana"/>
          <w:color w:val="211D1F"/>
          <w:sz w:val="13"/>
          <w:szCs w:val="13"/>
        </w:rPr>
        <w:t>Artikel 4, vierde lid, sub b, Richtlijn (EU) 2016/1164.</w:t>
      </w:r>
    </w:p>
  </w:footnote>
  <w:footnote w:id="5">
    <w:p w14:paraId="20BEFDB9"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Artikel 4, derde lid, sub b, </w:t>
      </w:r>
      <w:r w:rsidRPr="00E07B39">
        <w:rPr>
          <w:rFonts w:ascii="Verdana" w:hAnsi="Verdana"/>
          <w:color w:val="211D1F"/>
          <w:sz w:val="13"/>
          <w:szCs w:val="13"/>
        </w:rPr>
        <w:t>Richtlijn (EU) 2016/1164.</w:t>
      </w:r>
    </w:p>
  </w:footnote>
  <w:footnote w:id="6">
    <w:p w14:paraId="5A1863EB" w14:textId="77777777" w:rsidR="00E15EA4" w:rsidRDefault="00E15EA4" w:rsidP="00E15EA4">
      <w:pPr>
        <w:pStyle w:val="Voetnoottekst"/>
      </w:pPr>
      <w:r w:rsidRPr="00E07B39">
        <w:rPr>
          <w:rStyle w:val="Voetnootmarkering"/>
          <w:rFonts w:ascii="Verdana" w:hAnsi="Verdana"/>
          <w:sz w:val="13"/>
          <w:szCs w:val="13"/>
        </w:rPr>
        <w:footnoteRef/>
      </w:r>
      <w:r w:rsidRPr="00E07B39">
        <w:rPr>
          <w:rFonts w:ascii="Verdana" w:hAnsi="Verdana"/>
          <w:sz w:val="13"/>
          <w:szCs w:val="13"/>
        </w:rPr>
        <w:t xml:space="preserve"> Artikel 4, vijfde lid, sub b, </w:t>
      </w:r>
      <w:r w:rsidRPr="00E07B39">
        <w:rPr>
          <w:rFonts w:ascii="Verdana" w:hAnsi="Verdana"/>
          <w:color w:val="211D1F"/>
          <w:sz w:val="13"/>
          <w:szCs w:val="13"/>
        </w:rPr>
        <w:t>Richtlijn (EU) 2016/1164.</w:t>
      </w:r>
    </w:p>
  </w:footnote>
  <w:footnote w:id="7">
    <w:p w14:paraId="74BE13AC" w14:textId="77777777" w:rsidR="00BE70DF" w:rsidRPr="00E07B39" w:rsidRDefault="00BE70DF" w:rsidP="00BE70DF">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 2017/18, 34785, J.</w:t>
      </w:r>
    </w:p>
  </w:footnote>
  <w:footnote w:id="8">
    <w:p w14:paraId="3B059D81" w14:textId="77777777" w:rsidR="00BE70DF" w:rsidRPr="00E07B39" w:rsidRDefault="00BE70DF" w:rsidP="00BE70DF">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2017/18, 32140, nr. 35.</w:t>
      </w:r>
    </w:p>
  </w:footnote>
  <w:footnote w:id="9">
    <w:p w14:paraId="6178269E" w14:textId="77777777" w:rsidR="00BE70DF" w:rsidRPr="00E07B39" w:rsidRDefault="00BE70DF" w:rsidP="00BE70DF">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3.</w:t>
      </w:r>
    </w:p>
  </w:footnote>
  <w:footnote w:id="10">
    <w:p w14:paraId="596E638C"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w:t>
      </w:r>
      <w:r w:rsidRPr="00610CA2">
        <w:rPr>
          <w:rFonts w:ascii="Verdana" w:hAnsi="Verdana"/>
          <w:sz w:val="13"/>
          <w:szCs w:val="13"/>
        </w:rPr>
        <w:t>Kamerstukken II, 2018/19, 35030, nr. 3.</w:t>
      </w:r>
    </w:p>
  </w:footnote>
  <w:footnote w:id="11">
    <w:p w14:paraId="7AEDDE21"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8.</w:t>
      </w:r>
    </w:p>
  </w:footnote>
  <w:footnote w:id="12">
    <w:p w14:paraId="126F83E3" w14:textId="77777777" w:rsidR="00E15EA4" w:rsidRPr="00C9620E" w:rsidRDefault="00E15EA4" w:rsidP="00E15EA4">
      <w:pPr>
        <w:pStyle w:val="Voetnoottekst"/>
        <w:rPr>
          <w:rFonts w:ascii="Verdana" w:hAnsi="Verdana"/>
          <w:sz w:val="16"/>
          <w:szCs w:val="16"/>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3, blz. 13.</w:t>
      </w:r>
    </w:p>
  </w:footnote>
  <w:footnote w:id="13">
    <w:p w14:paraId="5B236485" w14:textId="77777777" w:rsidR="00E15EA4" w:rsidRPr="00E07B39" w:rsidRDefault="00E15EA4" w:rsidP="00E15EA4">
      <w:pPr>
        <w:pStyle w:val="Voetnoottekst"/>
        <w:rPr>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3, blz. 14.</w:t>
      </w:r>
    </w:p>
  </w:footnote>
  <w:footnote w:id="14">
    <w:p w14:paraId="77D41FF9" w14:textId="77777777" w:rsidR="00E15EA4" w:rsidRPr="00EF6775" w:rsidRDefault="00E15EA4" w:rsidP="00E15EA4">
      <w:pPr>
        <w:pStyle w:val="Voetnoottekst"/>
        <w:rPr>
          <w:rFonts w:ascii="Verdana" w:hAnsi="Verdana"/>
          <w:sz w:val="13"/>
          <w:szCs w:val="13"/>
        </w:rPr>
      </w:pPr>
      <w:r w:rsidRPr="00EF6775">
        <w:rPr>
          <w:rStyle w:val="Voetnootmarkering"/>
          <w:rFonts w:ascii="Verdana" w:hAnsi="Verdana"/>
          <w:sz w:val="13"/>
          <w:szCs w:val="13"/>
        </w:rPr>
        <w:footnoteRef/>
      </w:r>
      <w:r w:rsidRPr="00EF6775">
        <w:rPr>
          <w:rFonts w:ascii="Verdana" w:hAnsi="Verdana"/>
          <w:sz w:val="13"/>
          <w:szCs w:val="13"/>
        </w:rPr>
        <w:t xml:space="preserve"> Kamerstukken II 2024/25, Aanhangsel, nr. 92.</w:t>
      </w:r>
    </w:p>
  </w:footnote>
  <w:footnote w:id="15">
    <w:p w14:paraId="1FDB959C" w14:textId="77777777" w:rsidR="00E15EA4" w:rsidRPr="00EF6775" w:rsidRDefault="00E15EA4" w:rsidP="00E15EA4">
      <w:pPr>
        <w:pStyle w:val="Voetnoottekst"/>
        <w:rPr>
          <w:rFonts w:ascii="Verdana" w:hAnsi="Verdana"/>
          <w:sz w:val="13"/>
          <w:szCs w:val="13"/>
        </w:rPr>
      </w:pPr>
      <w:r w:rsidRPr="00EF6775">
        <w:rPr>
          <w:rStyle w:val="Voetnootmarkering"/>
          <w:rFonts w:ascii="Verdana" w:hAnsi="Verdana"/>
          <w:sz w:val="13"/>
          <w:szCs w:val="13"/>
        </w:rPr>
        <w:footnoteRef/>
      </w:r>
      <w:r w:rsidRPr="00EF6775">
        <w:rPr>
          <w:rFonts w:ascii="Verdana" w:hAnsi="Verdana"/>
          <w:sz w:val="13"/>
          <w:szCs w:val="13"/>
        </w:rPr>
        <w:t xml:space="preserve"> Kamerstukken II 2022/23, 29 453, nr. 555.</w:t>
      </w:r>
    </w:p>
  </w:footnote>
  <w:footnote w:id="16">
    <w:p w14:paraId="460748C7"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Kamerstukken II, 2018/19, 35030, nr. 3.</w:t>
      </w:r>
    </w:p>
  </w:footnote>
  <w:footnote w:id="17">
    <w:p w14:paraId="207FE298" w14:textId="77777777" w:rsidR="00E15EA4" w:rsidRDefault="00E15EA4" w:rsidP="00E15EA4">
      <w:pPr>
        <w:pStyle w:val="Voetnoottekst"/>
      </w:pPr>
      <w:r>
        <w:rPr>
          <w:rStyle w:val="Voetnootmarkering"/>
        </w:rPr>
        <w:footnoteRef/>
      </w:r>
      <w:r>
        <w:t xml:space="preserve"> </w:t>
      </w:r>
      <w:r w:rsidRPr="00E07B39">
        <w:rPr>
          <w:rFonts w:ascii="Verdana" w:hAnsi="Verdana"/>
          <w:sz w:val="13"/>
          <w:szCs w:val="13"/>
        </w:rPr>
        <w:t>Kamerstukken II, 20</w:t>
      </w:r>
      <w:r>
        <w:rPr>
          <w:rFonts w:ascii="Verdana" w:hAnsi="Verdana"/>
          <w:sz w:val="13"/>
          <w:szCs w:val="13"/>
        </w:rPr>
        <w:t>24</w:t>
      </w:r>
      <w:r w:rsidRPr="00E07B39">
        <w:rPr>
          <w:rFonts w:ascii="Verdana" w:hAnsi="Verdana"/>
          <w:sz w:val="13"/>
          <w:szCs w:val="13"/>
        </w:rPr>
        <w:t>/</w:t>
      </w:r>
      <w:r>
        <w:rPr>
          <w:rFonts w:ascii="Verdana" w:hAnsi="Verdana"/>
          <w:sz w:val="13"/>
          <w:szCs w:val="13"/>
        </w:rPr>
        <w:t>25</w:t>
      </w:r>
      <w:r w:rsidRPr="00E07B39">
        <w:rPr>
          <w:rFonts w:ascii="Verdana" w:hAnsi="Verdana"/>
          <w:sz w:val="13"/>
          <w:szCs w:val="13"/>
        </w:rPr>
        <w:t xml:space="preserve">, </w:t>
      </w:r>
      <w:r>
        <w:rPr>
          <w:rFonts w:ascii="Verdana" w:hAnsi="Verdana"/>
          <w:sz w:val="13"/>
          <w:szCs w:val="13"/>
        </w:rPr>
        <w:t>25087</w:t>
      </w:r>
      <w:r w:rsidRPr="00E07B39">
        <w:rPr>
          <w:rFonts w:ascii="Verdana" w:hAnsi="Verdana"/>
          <w:sz w:val="13"/>
          <w:szCs w:val="13"/>
        </w:rPr>
        <w:t>, nr. 3</w:t>
      </w:r>
      <w:r>
        <w:rPr>
          <w:rFonts w:ascii="Verdana" w:hAnsi="Verdana"/>
          <w:sz w:val="13"/>
          <w:szCs w:val="13"/>
        </w:rPr>
        <w:t>43</w:t>
      </w:r>
      <w:r w:rsidRPr="00E07B39">
        <w:rPr>
          <w:rFonts w:ascii="Verdana" w:hAnsi="Verdana"/>
          <w:sz w:val="13"/>
          <w:szCs w:val="13"/>
        </w:rPr>
        <w:t>.</w:t>
      </w:r>
    </w:p>
  </w:footnote>
  <w:footnote w:id="18">
    <w:p w14:paraId="6524B510"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Richtlijn (EU) 2017/952 van de Raad van 29 mei 2017 tot wijziging van Richtlijn (EU) 2016/1164 (ATAD1) wat betreft hybride mismatches met derde landen (PbEU 2017, L 144/1).</w:t>
      </w:r>
    </w:p>
  </w:footnote>
  <w:footnote w:id="19">
    <w:p w14:paraId="4C430A77" w14:textId="77777777" w:rsidR="00E15EA4" w:rsidRPr="00BF11F6" w:rsidRDefault="00E15EA4" w:rsidP="00E15EA4">
      <w:pPr>
        <w:pStyle w:val="Voetnoottekst"/>
        <w:rPr>
          <w:sz w:val="16"/>
          <w:szCs w:val="16"/>
        </w:rPr>
      </w:pPr>
      <w:r w:rsidRPr="00E07B39">
        <w:rPr>
          <w:rStyle w:val="Voetnootmarkering"/>
          <w:rFonts w:ascii="Verdana" w:hAnsi="Verdana"/>
          <w:sz w:val="13"/>
          <w:szCs w:val="13"/>
        </w:rPr>
        <w:footnoteRef/>
      </w:r>
      <w:r w:rsidRPr="00E07B39">
        <w:rPr>
          <w:rFonts w:ascii="Verdana" w:hAnsi="Verdana"/>
          <w:sz w:val="13"/>
          <w:szCs w:val="13"/>
        </w:rPr>
        <w:t xml:space="preserve"> Verslag van de Commissie aan het Europees Parlement en de Raad over de uitvoering van Richtlijn 2016/1164 van de Raad van 12 juli 2016 tot vaststelling van regels ter bestrijding van belastingontwijkingspraktijken welke rechtstreeks van invloed zijn op de werking van de interne markt, zoals gewijzigd bij richtlijn (EU) 2017/952 van de Raad van 29 mei 2017 tot wijziging van Richtlijn (EU) 2016/1164 wat betreft hybridemismatches met derde landen, COM(2020) 382 final, (19 augustus 2020), </w:t>
      </w:r>
      <w:hyperlink r:id="rId1" w:history="1">
        <w:r w:rsidRPr="00E07B39">
          <w:rPr>
            <w:rFonts w:ascii="Verdana" w:hAnsi="Verdana"/>
            <w:sz w:val="13"/>
            <w:szCs w:val="13"/>
          </w:rPr>
          <w:t>eur-lex.europa.eu/legal-content/NL/TXT/PDF/?uri=CELEX:52020DC0383</w:t>
        </w:r>
      </w:hyperlink>
      <w:r w:rsidRPr="00E07B39">
        <w:rPr>
          <w:rFonts w:ascii="Verdana" w:hAnsi="Verdana"/>
          <w:sz w:val="13"/>
          <w:szCs w:val="13"/>
        </w:rPr>
        <w:t>.</w:t>
      </w:r>
    </w:p>
  </w:footnote>
  <w:footnote w:id="20">
    <w:p w14:paraId="42F56766" w14:textId="77777777" w:rsidR="00E15EA4" w:rsidRPr="00E07B39" w:rsidRDefault="00E15EA4" w:rsidP="00E15EA4">
      <w:pPr>
        <w:pStyle w:val="Voetnoottekst"/>
        <w:rPr>
          <w:rFonts w:ascii="Verdana" w:hAnsi="Verdana"/>
          <w:sz w:val="13"/>
          <w:szCs w:val="13"/>
        </w:rPr>
      </w:pPr>
      <w:r w:rsidRPr="00E07B39">
        <w:rPr>
          <w:rStyle w:val="Voetnootmarkering"/>
          <w:rFonts w:ascii="Verdana" w:hAnsi="Verdana"/>
          <w:sz w:val="13"/>
          <w:szCs w:val="13"/>
        </w:rPr>
        <w:footnoteRef/>
      </w:r>
      <w:r w:rsidRPr="00E07B39">
        <w:rPr>
          <w:rFonts w:ascii="Verdana" w:hAnsi="Verdana"/>
          <w:sz w:val="13"/>
          <w:szCs w:val="13"/>
        </w:rPr>
        <w:t xml:space="preserve"> Verslag van de Commissie aan het Europees Parlement en de Raad over de uitvoering van Richtlijn 2016/1164 van de Raad van 12 juli 2016 tot vaststelling van regels ter bestrijding van belastingontwijkingspraktijken welke rechtstreeks van invloed zijn op de werking van de interne markt, zoals gewijzigd bij richtlijn (EU) 2017/952 van de Raad van 29 mei 2017 tot wijziging van Richtlijn (EU) 2016/1164 wat betreft hybridemismatches met derde landen, COM(2020) 382 final, (19 augustus 2020), </w:t>
      </w:r>
      <w:hyperlink r:id="rId2" w:history="1">
        <w:r w:rsidRPr="00E07B39">
          <w:rPr>
            <w:rFonts w:ascii="Verdana" w:hAnsi="Verdana"/>
            <w:sz w:val="13"/>
            <w:szCs w:val="13"/>
          </w:rPr>
          <w:t>eur-lex.europa.eu/legal-content/NL/TXT/PDF/?uri=CELEX:52020DC0383</w:t>
        </w:r>
      </w:hyperlink>
      <w:r w:rsidRPr="00E07B39">
        <w:rPr>
          <w:rFonts w:ascii="Verdana" w:hAnsi="Verdana"/>
          <w:sz w:val="13"/>
          <w:szCs w:val="13"/>
        </w:rPr>
        <w:t>.</w:t>
      </w:r>
    </w:p>
  </w:footnote>
  <w:footnote w:id="21">
    <w:p w14:paraId="5B8C8AAC" w14:textId="77777777" w:rsidR="00E15EA4" w:rsidRPr="00F84731" w:rsidRDefault="00E15EA4" w:rsidP="00E15EA4">
      <w:pPr>
        <w:pStyle w:val="Voetnoottekst"/>
        <w:rPr>
          <w:rFonts w:ascii="Verdana" w:hAnsi="Verdana"/>
          <w:sz w:val="16"/>
          <w:szCs w:val="16"/>
          <w:lang w:val="en-US"/>
        </w:rPr>
      </w:pPr>
      <w:r w:rsidRPr="00E07B39">
        <w:rPr>
          <w:rStyle w:val="Voetnootmarkering"/>
          <w:rFonts w:ascii="Verdana" w:hAnsi="Verdana"/>
          <w:sz w:val="13"/>
          <w:szCs w:val="13"/>
        </w:rPr>
        <w:footnoteRef/>
      </w:r>
      <w:r w:rsidRPr="00E07B39">
        <w:rPr>
          <w:rFonts w:ascii="Verdana" w:hAnsi="Verdana"/>
          <w:sz w:val="13"/>
          <w:szCs w:val="13"/>
          <w:lang w:val="en-US"/>
        </w:rPr>
        <w:t xml:space="preserve"> European Commission, Public Consultations and Feedback - Anti-tax Avoidance Directive (ATAD), (31 July 2024 – 11 September 2024), </w:t>
      </w:r>
      <w:hyperlink r:id="rId3" w:history="1">
        <w:r w:rsidRPr="00E07B39">
          <w:rPr>
            <w:rStyle w:val="Hyperlink"/>
            <w:rFonts w:ascii="Verdana" w:hAnsi="Verdana"/>
            <w:sz w:val="13"/>
            <w:szCs w:val="13"/>
            <w:lang w:val="en-US"/>
          </w:rPr>
          <w:t>https://ec.europa.eu/info/law/better-regulation/have-your-say/initiatives/14287-Anti-tax-Avoidance-Directive-ATAD-evaluation_en</w:t>
        </w:r>
      </w:hyperlink>
      <w:r w:rsidRPr="00E07B39">
        <w:rPr>
          <w:rFonts w:ascii="Verdana" w:hAnsi="Verdana"/>
          <w:sz w:val="13"/>
          <w:szCs w:val="13"/>
          <w:lang w:val="en-US"/>
        </w:rPr>
        <w:t>.</w:t>
      </w:r>
    </w:p>
  </w:footnote>
  <w:footnote w:id="22">
    <w:p w14:paraId="39B0C16D" w14:textId="77777777" w:rsidR="00E15EA4" w:rsidRPr="00525B05" w:rsidRDefault="00E15EA4" w:rsidP="00E15EA4">
      <w:pPr>
        <w:pStyle w:val="Voetnoottekst"/>
        <w:rPr>
          <w:sz w:val="13"/>
          <w:szCs w:val="13"/>
        </w:rPr>
      </w:pPr>
      <w:r w:rsidRPr="00525B05">
        <w:rPr>
          <w:rStyle w:val="Voetnootmarkering"/>
          <w:sz w:val="13"/>
          <w:szCs w:val="13"/>
        </w:rPr>
        <w:footnoteRef/>
      </w:r>
      <w:r w:rsidRPr="00525B05">
        <w:rPr>
          <w:sz w:val="13"/>
          <w:szCs w:val="13"/>
        </w:rPr>
        <w:t xml:space="preserve"> Kamerstukken II, 2024/25, 29453, nr. 574.</w:t>
      </w:r>
    </w:p>
  </w:footnote>
  <w:footnote w:id="23">
    <w:p w14:paraId="4CF93D60" w14:textId="77777777" w:rsidR="00E15EA4" w:rsidRPr="00525B05" w:rsidRDefault="00E15EA4" w:rsidP="00E15EA4">
      <w:pPr>
        <w:pStyle w:val="Voetnoottekst"/>
        <w:rPr>
          <w:sz w:val="13"/>
          <w:szCs w:val="13"/>
        </w:rPr>
      </w:pPr>
      <w:r w:rsidRPr="00525B05">
        <w:rPr>
          <w:rStyle w:val="Voetnootmarkering"/>
          <w:sz w:val="13"/>
          <w:szCs w:val="13"/>
        </w:rPr>
        <w:footnoteRef/>
      </w:r>
      <w:r w:rsidRPr="00525B05">
        <w:rPr>
          <w:sz w:val="13"/>
          <w:szCs w:val="13"/>
        </w:rPr>
        <w:t xml:space="preserve"> Kamerstukken II, 2024/25, 29453,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9887" w14:textId="77777777" w:rsidR="008D39C6" w:rsidRDefault="008D39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2044" w14:textId="77777777" w:rsidR="00305D4F" w:rsidRDefault="008A5C75">
    <w:r>
      <w:rPr>
        <w:noProof/>
      </w:rPr>
      <mc:AlternateContent>
        <mc:Choice Requires="wps">
          <w:drawing>
            <wp:anchor distT="0" distB="0" distL="0" distR="0" simplePos="0" relativeHeight="251652096" behindDoc="0" locked="1" layoutInCell="1" allowOverlap="1" wp14:anchorId="195EEBF7" wp14:editId="698F19F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471CC9" w14:textId="184FF32A" w:rsidR="004975E2" w:rsidRDefault="002535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95EEBF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5471CC9" w14:textId="184FF32A" w:rsidR="004975E2" w:rsidRDefault="002535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1E37A76" wp14:editId="7EDDCC0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53AD0B" w14:textId="77777777" w:rsidR="00305D4F" w:rsidRDefault="008A5C75">
                          <w:pPr>
                            <w:pStyle w:val="Referentiegegevensbold"/>
                          </w:pPr>
                          <w:r>
                            <w:t>DG Volkshuisvesting en Bouwen</w:t>
                          </w:r>
                        </w:p>
                        <w:p w14:paraId="4022505E" w14:textId="77777777" w:rsidR="00305D4F" w:rsidRDefault="008A5C75">
                          <w:pPr>
                            <w:pStyle w:val="Referentiegegevens"/>
                          </w:pPr>
                          <w:r>
                            <w:t>DGVB-WN-Corporaties</w:t>
                          </w:r>
                        </w:p>
                        <w:p w14:paraId="7F720A06" w14:textId="77777777" w:rsidR="00305D4F" w:rsidRDefault="00305D4F">
                          <w:pPr>
                            <w:pStyle w:val="WitregelW2"/>
                          </w:pPr>
                        </w:p>
                        <w:p w14:paraId="76DDDEB6" w14:textId="77777777" w:rsidR="00305D4F" w:rsidRDefault="00305D4F">
                          <w:pPr>
                            <w:pStyle w:val="WitregelW1"/>
                          </w:pPr>
                        </w:p>
                        <w:p w14:paraId="38B5D2B2" w14:textId="77777777" w:rsidR="00305D4F" w:rsidRDefault="008A5C75">
                          <w:pPr>
                            <w:pStyle w:val="Referentiegegevensbold"/>
                          </w:pPr>
                          <w:r>
                            <w:t>Onze referentie</w:t>
                          </w:r>
                        </w:p>
                        <w:p w14:paraId="3260C3C4" w14:textId="311D5EDC" w:rsidR="004975E2" w:rsidRDefault="002535A8">
                          <w:pPr>
                            <w:pStyle w:val="Referentiegegevens"/>
                          </w:pPr>
                          <w:r>
                            <w:fldChar w:fldCharType="begin"/>
                          </w:r>
                          <w:r>
                            <w:instrText xml:space="preserve"> DOCPROPERTY  "Kenmerk"  \* MERGEFORMAT </w:instrText>
                          </w:r>
                          <w:r>
                            <w:fldChar w:fldCharType="separate"/>
                          </w:r>
                          <w:r>
                            <w:t>2025-0000036593</w:t>
                          </w:r>
                          <w:r>
                            <w:fldChar w:fldCharType="end"/>
                          </w:r>
                        </w:p>
                      </w:txbxContent>
                    </wps:txbx>
                    <wps:bodyPr vert="horz" wrap="square" lIns="0" tIns="0" rIns="0" bIns="0" anchor="t" anchorCtr="0"/>
                  </wps:wsp>
                </a:graphicData>
              </a:graphic>
            </wp:anchor>
          </w:drawing>
        </mc:Choice>
        <mc:Fallback>
          <w:pict>
            <v:shape w14:anchorId="31E37A7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753AD0B" w14:textId="77777777" w:rsidR="00305D4F" w:rsidRDefault="008A5C75">
                    <w:pPr>
                      <w:pStyle w:val="Referentiegegevensbold"/>
                    </w:pPr>
                    <w:r>
                      <w:t>DG Volkshuisvesting en Bouwen</w:t>
                    </w:r>
                  </w:p>
                  <w:p w14:paraId="4022505E" w14:textId="77777777" w:rsidR="00305D4F" w:rsidRDefault="008A5C75">
                    <w:pPr>
                      <w:pStyle w:val="Referentiegegevens"/>
                    </w:pPr>
                    <w:r>
                      <w:t>DGVB-WN-Corporaties</w:t>
                    </w:r>
                  </w:p>
                  <w:p w14:paraId="7F720A06" w14:textId="77777777" w:rsidR="00305D4F" w:rsidRDefault="00305D4F">
                    <w:pPr>
                      <w:pStyle w:val="WitregelW2"/>
                    </w:pPr>
                  </w:p>
                  <w:p w14:paraId="76DDDEB6" w14:textId="77777777" w:rsidR="00305D4F" w:rsidRDefault="00305D4F">
                    <w:pPr>
                      <w:pStyle w:val="WitregelW1"/>
                    </w:pPr>
                  </w:p>
                  <w:p w14:paraId="38B5D2B2" w14:textId="77777777" w:rsidR="00305D4F" w:rsidRDefault="008A5C75">
                    <w:pPr>
                      <w:pStyle w:val="Referentiegegevensbold"/>
                    </w:pPr>
                    <w:r>
                      <w:t>Onze referentie</w:t>
                    </w:r>
                  </w:p>
                  <w:p w14:paraId="3260C3C4" w14:textId="311D5EDC" w:rsidR="004975E2" w:rsidRDefault="002535A8">
                    <w:pPr>
                      <w:pStyle w:val="Referentiegegevens"/>
                    </w:pPr>
                    <w:r>
                      <w:fldChar w:fldCharType="begin"/>
                    </w:r>
                    <w:r>
                      <w:instrText xml:space="preserve"> DOCPROPERTY  "Kenmerk"  \* MERGEFORMAT </w:instrText>
                    </w:r>
                    <w:r>
                      <w:fldChar w:fldCharType="separate"/>
                    </w:r>
                    <w:r>
                      <w:t>2025-0000036593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DE8BCC7" wp14:editId="049ED39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442DBF" w14:textId="09A3CD40" w:rsidR="004975E2" w:rsidRDefault="002535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DE8BCC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8442DBF" w14:textId="09A3CD40" w:rsidR="004975E2" w:rsidRDefault="002535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274122" wp14:editId="68FA9EE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136A49" w14:textId="77777777" w:rsidR="004975E2" w:rsidRDefault="002535A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27412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136A49" w14:textId="77777777" w:rsidR="004975E2" w:rsidRDefault="002535A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9B16" w14:textId="77777777" w:rsidR="00305D4F" w:rsidRDefault="008A5C75">
    <w:pPr>
      <w:spacing w:after="6377" w:line="14" w:lineRule="exact"/>
    </w:pPr>
    <w:r>
      <w:rPr>
        <w:noProof/>
      </w:rPr>
      <mc:AlternateContent>
        <mc:Choice Requires="wps">
          <w:drawing>
            <wp:anchor distT="0" distB="0" distL="0" distR="0" simplePos="0" relativeHeight="251656192" behindDoc="0" locked="1" layoutInCell="1" allowOverlap="1" wp14:anchorId="71AFC150" wp14:editId="7E98046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3ED9A96" w14:textId="77777777" w:rsidR="00305D4F" w:rsidRDefault="008A5C75">
                          <w:pPr>
                            <w:spacing w:line="240" w:lineRule="auto"/>
                          </w:pPr>
                          <w:r>
                            <w:rPr>
                              <w:noProof/>
                            </w:rPr>
                            <w:drawing>
                              <wp:inline distT="0" distB="0" distL="0" distR="0" wp14:anchorId="0E4917CA" wp14:editId="252250A3">
                                <wp:extent cx="467995" cy="1583865"/>
                                <wp:effectExtent l="0" t="0" r="0" b="0"/>
                                <wp:docPr id="11903323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AFC15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3ED9A96" w14:textId="77777777" w:rsidR="00305D4F" w:rsidRDefault="008A5C75">
                    <w:pPr>
                      <w:spacing w:line="240" w:lineRule="auto"/>
                    </w:pPr>
                    <w:r>
                      <w:rPr>
                        <w:noProof/>
                      </w:rPr>
                      <w:drawing>
                        <wp:inline distT="0" distB="0" distL="0" distR="0" wp14:anchorId="0E4917CA" wp14:editId="252250A3">
                          <wp:extent cx="467995" cy="1583865"/>
                          <wp:effectExtent l="0" t="0" r="0" b="0"/>
                          <wp:docPr id="11903323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ED1A37" wp14:editId="2B13782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0603CB" w14:textId="77777777" w:rsidR="00305D4F" w:rsidRDefault="008A5C75">
                          <w:pPr>
                            <w:spacing w:line="240" w:lineRule="auto"/>
                          </w:pPr>
                          <w:r>
                            <w:rPr>
                              <w:noProof/>
                            </w:rPr>
                            <w:drawing>
                              <wp:inline distT="0" distB="0" distL="0" distR="0" wp14:anchorId="307C5628" wp14:editId="2D020750">
                                <wp:extent cx="2339975" cy="1582834"/>
                                <wp:effectExtent l="0" t="0" r="0" b="0"/>
                                <wp:docPr id="80759506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ED1A3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B0603CB" w14:textId="77777777" w:rsidR="00305D4F" w:rsidRDefault="008A5C75">
                    <w:pPr>
                      <w:spacing w:line="240" w:lineRule="auto"/>
                    </w:pPr>
                    <w:r>
                      <w:rPr>
                        <w:noProof/>
                      </w:rPr>
                      <w:drawing>
                        <wp:inline distT="0" distB="0" distL="0" distR="0" wp14:anchorId="307C5628" wp14:editId="2D020750">
                          <wp:extent cx="2339975" cy="1582834"/>
                          <wp:effectExtent l="0" t="0" r="0" b="0"/>
                          <wp:docPr id="80759506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F4AD7C" wp14:editId="59B02E8F">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1437A5" w14:textId="77777777" w:rsidR="00305D4F" w:rsidRDefault="008A5C75">
                          <w:pPr>
                            <w:pStyle w:val="Referentiegegevens"/>
                          </w:pPr>
                          <w:r>
                            <w:t xml:space="preserve">&gt; Retouradres    </w:t>
                          </w:r>
                        </w:p>
                      </w:txbxContent>
                    </wps:txbx>
                    <wps:bodyPr vert="horz" wrap="square" lIns="0" tIns="0" rIns="0" bIns="0" anchor="t" anchorCtr="0"/>
                  </wps:wsp>
                </a:graphicData>
              </a:graphic>
            </wp:anchor>
          </w:drawing>
        </mc:Choice>
        <mc:Fallback>
          <w:pict>
            <v:shape w14:anchorId="24F4AD7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B1437A5" w14:textId="77777777" w:rsidR="00305D4F" w:rsidRDefault="008A5C75">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6F70CD9" wp14:editId="5EB4C60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593B29" w14:textId="48912253" w:rsidR="004975E2" w:rsidRDefault="002535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53F5049" w14:textId="77777777" w:rsidR="00305D4F" w:rsidRDefault="008A5C75">
                          <w:r>
                            <w:t>Aan de Voorzitter van de Tweede Kamer  der Staten-Generaal</w:t>
                          </w:r>
                        </w:p>
                        <w:p w14:paraId="78F7F54B" w14:textId="77777777" w:rsidR="00305D4F" w:rsidRDefault="008A5C75">
                          <w:r>
                            <w:t xml:space="preserve">Postbus 20018 </w:t>
                          </w:r>
                        </w:p>
                        <w:p w14:paraId="5B8A2EA3" w14:textId="77777777" w:rsidR="00305D4F" w:rsidRDefault="008A5C75">
                          <w:r>
                            <w:t>2500 EA  DEN HAAG</w:t>
                          </w:r>
                        </w:p>
                      </w:txbxContent>
                    </wps:txbx>
                    <wps:bodyPr vert="horz" wrap="square" lIns="0" tIns="0" rIns="0" bIns="0" anchor="t" anchorCtr="0"/>
                  </wps:wsp>
                </a:graphicData>
              </a:graphic>
            </wp:anchor>
          </w:drawing>
        </mc:Choice>
        <mc:Fallback>
          <w:pict>
            <v:shape w14:anchorId="56F70CD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593B29" w14:textId="48912253" w:rsidR="004975E2" w:rsidRDefault="002535A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53F5049" w14:textId="77777777" w:rsidR="00305D4F" w:rsidRDefault="008A5C75">
                    <w:r>
                      <w:t>Aan de Voorzitter van de Tweede Kamer  der Staten-Generaal</w:t>
                    </w:r>
                  </w:p>
                  <w:p w14:paraId="78F7F54B" w14:textId="77777777" w:rsidR="00305D4F" w:rsidRDefault="008A5C75">
                    <w:r>
                      <w:t xml:space="preserve">Postbus 20018 </w:t>
                    </w:r>
                  </w:p>
                  <w:p w14:paraId="5B8A2EA3" w14:textId="77777777" w:rsidR="00305D4F" w:rsidRDefault="008A5C7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1F167F" wp14:editId="3BAEF94D">
              <wp:simplePos x="0" y="0"/>
              <wp:positionH relativeFrom="page">
                <wp:posOffset>1019175</wp:posOffset>
              </wp:positionH>
              <wp:positionV relativeFrom="page">
                <wp:posOffset>3343275</wp:posOffset>
              </wp:positionV>
              <wp:extent cx="4772025"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43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05D4F" w14:paraId="54A00CBA" w14:textId="77777777">
                            <w:trPr>
                              <w:trHeight w:val="240"/>
                            </w:trPr>
                            <w:tc>
                              <w:tcPr>
                                <w:tcW w:w="1140" w:type="dxa"/>
                              </w:tcPr>
                              <w:p w14:paraId="383E353D" w14:textId="77777777" w:rsidR="00305D4F" w:rsidRDefault="008A5C75">
                                <w:r>
                                  <w:t>Datum</w:t>
                                </w:r>
                              </w:p>
                            </w:tc>
                            <w:tc>
                              <w:tcPr>
                                <w:tcW w:w="5918" w:type="dxa"/>
                              </w:tcPr>
                              <w:p w14:paraId="458D3110" w14:textId="1B7C957E" w:rsidR="00305D4F" w:rsidRDefault="00992BD1">
                                <w:r>
                                  <w:t>3 februari 2025</w:t>
                                </w:r>
                              </w:p>
                            </w:tc>
                          </w:tr>
                          <w:tr w:rsidR="00305D4F" w14:paraId="4C214310" w14:textId="77777777">
                            <w:trPr>
                              <w:trHeight w:val="240"/>
                            </w:trPr>
                            <w:tc>
                              <w:tcPr>
                                <w:tcW w:w="1140" w:type="dxa"/>
                              </w:tcPr>
                              <w:p w14:paraId="1B151437" w14:textId="77777777" w:rsidR="00305D4F" w:rsidRDefault="008A5C75">
                                <w:r>
                                  <w:t>Betreft</w:t>
                                </w:r>
                              </w:p>
                            </w:tc>
                            <w:tc>
                              <w:tcPr>
                                <w:tcW w:w="5918" w:type="dxa"/>
                              </w:tcPr>
                              <w:p w14:paraId="12B530E4" w14:textId="33F5458C" w:rsidR="004975E2" w:rsidRDefault="002535A8">
                                <w:r>
                                  <w:fldChar w:fldCharType="begin"/>
                                </w:r>
                                <w:r>
                                  <w:instrText xml:space="preserve"> DOCPROPERTY  "Onderwerp"  \* MERGEFORMAT </w:instrText>
                                </w:r>
                                <w:r>
                                  <w:fldChar w:fldCharType="separate"/>
                                </w:r>
                                <w:r>
                                  <w:t>Beantwoording kamervragen over de evaluatie van de ATAD-richtlijn per 31 juli 2024</w:t>
                                </w:r>
                                <w:r>
                                  <w:fldChar w:fldCharType="end"/>
                                </w:r>
                              </w:p>
                            </w:tc>
                          </w:tr>
                        </w:tbl>
                        <w:p w14:paraId="3316AB68" w14:textId="77777777" w:rsidR="00C7362C" w:rsidRDefault="00C7362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81F167F" id="1670fa0c-13cb-45ec-92be-ef1f34d237c5" o:spid="_x0000_s1034" type="#_x0000_t202" style="position:absolute;margin-left:80.25pt;margin-top:263.25pt;width:375.75pt;height:4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305D4F" w14:paraId="54A00CBA" w14:textId="77777777">
                      <w:trPr>
                        <w:trHeight w:val="240"/>
                      </w:trPr>
                      <w:tc>
                        <w:tcPr>
                          <w:tcW w:w="1140" w:type="dxa"/>
                        </w:tcPr>
                        <w:p w14:paraId="383E353D" w14:textId="77777777" w:rsidR="00305D4F" w:rsidRDefault="008A5C75">
                          <w:r>
                            <w:t>Datum</w:t>
                          </w:r>
                        </w:p>
                      </w:tc>
                      <w:tc>
                        <w:tcPr>
                          <w:tcW w:w="5918" w:type="dxa"/>
                        </w:tcPr>
                        <w:p w14:paraId="458D3110" w14:textId="1B7C957E" w:rsidR="00305D4F" w:rsidRDefault="00992BD1">
                          <w:r>
                            <w:t>3 februari 2025</w:t>
                          </w:r>
                        </w:p>
                      </w:tc>
                    </w:tr>
                    <w:tr w:rsidR="00305D4F" w14:paraId="4C214310" w14:textId="77777777">
                      <w:trPr>
                        <w:trHeight w:val="240"/>
                      </w:trPr>
                      <w:tc>
                        <w:tcPr>
                          <w:tcW w:w="1140" w:type="dxa"/>
                        </w:tcPr>
                        <w:p w14:paraId="1B151437" w14:textId="77777777" w:rsidR="00305D4F" w:rsidRDefault="008A5C75">
                          <w:r>
                            <w:t>Betreft</w:t>
                          </w:r>
                        </w:p>
                      </w:tc>
                      <w:tc>
                        <w:tcPr>
                          <w:tcW w:w="5918" w:type="dxa"/>
                        </w:tcPr>
                        <w:p w14:paraId="12B530E4" w14:textId="33F5458C" w:rsidR="004975E2" w:rsidRDefault="002535A8">
                          <w:r>
                            <w:fldChar w:fldCharType="begin"/>
                          </w:r>
                          <w:r>
                            <w:instrText xml:space="preserve"> DOCPROPERTY  "Onderwerp"  \* MERGEFORMAT </w:instrText>
                          </w:r>
                          <w:r>
                            <w:fldChar w:fldCharType="separate"/>
                          </w:r>
                          <w:r>
                            <w:t>Beantwoording kamervragen over de evaluatie van de ATAD-richtlijn per 31 juli 2024</w:t>
                          </w:r>
                          <w:r>
                            <w:fldChar w:fldCharType="end"/>
                          </w:r>
                        </w:p>
                      </w:tc>
                    </w:tr>
                  </w:tbl>
                  <w:p w14:paraId="3316AB68" w14:textId="77777777" w:rsidR="00C7362C" w:rsidRDefault="00C7362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29EDFC8" wp14:editId="63FBC935">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93B4B6" w14:textId="77777777" w:rsidR="00305D4F" w:rsidRDefault="008A5C75">
                          <w:pPr>
                            <w:pStyle w:val="Referentiegegevensbold"/>
                          </w:pPr>
                          <w:r>
                            <w:t>DG Volkshuisvesting en Bouwen</w:t>
                          </w:r>
                        </w:p>
                        <w:p w14:paraId="0C886D08" w14:textId="77777777" w:rsidR="00305D4F" w:rsidRDefault="008A5C75">
                          <w:pPr>
                            <w:pStyle w:val="Referentiegegevens"/>
                          </w:pPr>
                          <w:r>
                            <w:t>DGVB-WN-Corporaties</w:t>
                          </w:r>
                        </w:p>
                        <w:p w14:paraId="68CB873F" w14:textId="77777777" w:rsidR="00305D4F" w:rsidRDefault="00305D4F">
                          <w:pPr>
                            <w:pStyle w:val="WitregelW1"/>
                          </w:pPr>
                        </w:p>
                        <w:p w14:paraId="631076B1" w14:textId="77777777" w:rsidR="00305D4F" w:rsidRDefault="008A5C75">
                          <w:pPr>
                            <w:pStyle w:val="Referentiegegevens"/>
                          </w:pPr>
                          <w:r>
                            <w:t>Turfmarkt 147</w:t>
                          </w:r>
                        </w:p>
                        <w:p w14:paraId="09A65958" w14:textId="77777777" w:rsidR="00305D4F" w:rsidRDefault="008A5C75">
                          <w:pPr>
                            <w:pStyle w:val="Referentiegegevens"/>
                          </w:pPr>
                          <w:r>
                            <w:t>2511 DP  Den Haag</w:t>
                          </w:r>
                        </w:p>
                        <w:p w14:paraId="4DBE2DCE" w14:textId="77777777" w:rsidR="00305D4F" w:rsidRDefault="00305D4F">
                          <w:pPr>
                            <w:pStyle w:val="WitregelW1"/>
                          </w:pPr>
                        </w:p>
                        <w:p w14:paraId="13F01174" w14:textId="77777777" w:rsidR="00305D4F" w:rsidRDefault="008A5C75">
                          <w:pPr>
                            <w:pStyle w:val="Referentiegegevensbold"/>
                          </w:pPr>
                          <w:r>
                            <w:t>Onze referentie</w:t>
                          </w:r>
                        </w:p>
                        <w:p w14:paraId="7BDA4BE7" w14:textId="55B5F4FA" w:rsidR="004975E2" w:rsidRDefault="002535A8">
                          <w:pPr>
                            <w:pStyle w:val="Referentiegegevens"/>
                          </w:pPr>
                          <w:r>
                            <w:fldChar w:fldCharType="begin"/>
                          </w:r>
                          <w:r>
                            <w:instrText xml:space="preserve"> DOCPROPERTY  "Kenmerk"  \* MERGEFORMAT </w:instrText>
                          </w:r>
                          <w:r>
                            <w:fldChar w:fldCharType="separate"/>
                          </w:r>
                          <w:r>
                            <w:t>2025-0000036593</w:t>
                          </w:r>
                          <w:r>
                            <w:fldChar w:fldCharType="end"/>
                          </w:r>
                        </w:p>
                        <w:p w14:paraId="009EE90A" w14:textId="77777777" w:rsidR="00305D4F" w:rsidRDefault="00305D4F">
                          <w:pPr>
                            <w:pStyle w:val="WitregelW1"/>
                          </w:pPr>
                        </w:p>
                        <w:p w14:paraId="6B5ECB85" w14:textId="77777777" w:rsidR="00305D4F" w:rsidRDefault="008A5C75">
                          <w:pPr>
                            <w:pStyle w:val="Referentiegegevensbold"/>
                          </w:pPr>
                          <w:r>
                            <w:t>Uw referentie</w:t>
                          </w:r>
                        </w:p>
                        <w:p w14:paraId="2EB29193" w14:textId="24E87F8E" w:rsidR="004975E2" w:rsidRDefault="002535A8">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29EDFC8"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B93B4B6" w14:textId="77777777" w:rsidR="00305D4F" w:rsidRDefault="008A5C75">
                    <w:pPr>
                      <w:pStyle w:val="Referentiegegevensbold"/>
                    </w:pPr>
                    <w:r>
                      <w:t>DG Volkshuisvesting en Bouwen</w:t>
                    </w:r>
                  </w:p>
                  <w:p w14:paraId="0C886D08" w14:textId="77777777" w:rsidR="00305D4F" w:rsidRDefault="008A5C75">
                    <w:pPr>
                      <w:pStyle w:val="Referentiegegevens"/>
                    </w:pPr>
                    <w:r>
                      <w:t>DGVB-WN-Corporaties</w:t>
                    </w:r>
                  </w:p>
                  <w:p w14:paraId="68CB873F" w14:textId="77777777" w:rsidR="00305D4F" w:rsidRDefault="00305D4F">
                    <w:pPr>
                      <w:pStyle w:val="WitregelW1"/>
                    </w:pPr>
                  </w:p>
                  <w:p w14:paraId="631076B1" w14:textId="77777777" w:rsidR="00305D4F" w:rsidRDefault="008A5C75">
                    <w:pPr>
                      <w:pStyle w:val="Referentiegegevens"/>
                    </w:pPr>
                    <w:r>
                      <w:t>Turfmarkt 147</w:t>
                    </w:r>
                  </w:p>
                  <w:p w14:paraId="09A65958" w14:textId="77777777" w:rsidR="00305D4F" w:rsidRDefault="008A5C75">
                    <w:pPr>
                      <w:pStyle w:val="Referentiegegevens"/>
                    </w:pPr>
                    <w:r>
                      <w:t>2511 DP  Den Haag</w:t>
                    </w:r>
                  </w:p>
                  <w:p w14:paraId="4DBE2DCE" w14:textId="77777777" w:rsidR="00305D4F" w:rsidRDefault="00305D4F">
                    <w:pPr>
                      <w:pStyle w:val="WitregelW1"/>
                    </w:pPr>
                  </w:p>
                  <w:p w14:paraId="13F01174" w14:textId="77777777" w:rsidR="00305D4F" w:rsidRDefault="008A5C75">
                    <w:pPr>
                      <w:pStyle w:val="Referentiegegevensbold"/>
                    </w:pPr>
                    <w:r>
                      <w:t>Onze referentie</w:t>
                    </w:r>
                  </w:p>
                  <w:p w14:paraId="7BDA4BE7" w14:textId="55B5F4FA" w:rsidR="004975E2" w:rsidRDefault="002535A8">
                    <w:pPr>
                      <w:pStyle w:val="Referentiegegevens"/>
                    </w:pPr>
                    <w:r>
                      <w:fldChar w:fldCharType="begin"/>
                    </w:r>
                    <w:r>
                      <w:instrText xml:space="preserve"> DOCPROPERTY  "Kenmerk"  \* MERGEFORMAT </w:instrText>
                    </w:r>
                    <w:r>
                      <w:fldChar w:fldCharType="separate"/>
                    </w:r>
                    <w:r>
                      <w:t>2025-0000036593</w:t>
                    </w:r>
                    <w:r>
                      <w:fldChar w:fldCharType="end"/>
                    </w:r>
                  </w:p>
                  <w:p w14:paraId="009EE90A" w14:textId="77777777" w:rsidR="00305D4F" w:rsidRDefault="00305D4F">
                    <w:pPr>
                      <w:pStyle w:val="WitregelW1"/>
                    </w:pPr>
                  </w:p>
                  <w:p w14:paraId="6B5ECB85" w14:textId="77777777" w:rsidR="00305D4F" w:rsidRDefault="008A5C75">
                    <w:pPr>
                      <w:pStyle w:val="Referentiegegevensbold"/>
                    </w:pPr>
                    <w:r>
                      <w:t>Uw referentie</w:t>
                    </w:r>
                  </w:p>
                  <w:p w14:paraId="2EB29193" w14:textId="24E87F8E" w:rsidR="004975E2" w:rsidRDefault="002535A8">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D62D004" wp14:editId="62D31A8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975E2A" w14:textId="77777777" w:rsidR="004975E2" w:rsidRDefault="002535A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62D00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E975E2A" w14:textId="77777777" w:rsidR="004975E2" w:rsidRDefault="002535A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7AD3DD3" wp14:editId="2C29BBD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B2EDDE" w14:textId="77777777" w:rsidR="00C7362C" w:rsidRDefault="00C7362C"/>
                      </w:txbxContent>
                    </wps:txbx>
                    <wps:bodyPr vert="horz" wrap="square" lIns="0" tIns="0" rIns="0" bIns="0" anchor="t" anchorCtr="0"/>
                  </wps:wsp>
                </a:graphicData>
              </a:graphic>
            </wp:anchor>
          </w:drawing>
        </mc:Choice>
        <mc:Fallback>
          <w:pict>
            <v:shape w14:anchorId="57AD3DD3"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2B2EDDE" w14:textId="77777777" w:rsidR="00C7362C" w:rsidRDefault="00C7362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AE3EDD"/>
    <w:multiLevelType w:val="multilevel"/>
    <w:tmpl w:val="F5BD75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5C6046F"/>
    <w:multiLevelType w:val="hybridMultilevel"/>
    <w:tmpl w:val="6E6EEA54"/>
    <w:lvl w:ilvl="0" w:tplc="917009E8">
      <w:numFmt w:val="bullet"/>
      <w:lvlText w:val="-"/>
      <w:lvlJc w:val="left"/>
      <w:pPr>
        <w:ind w:left="720" w:hanging="360"/>
      </w:pPr>
      <w:rPr>
        <w:rFonts w:ascii="Verdana" w:eastAsia="DejaVuSerifCondensed" w:hAnsi="Verdana" w:cs="DejaVuSerifCondensed"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3A4068"/>
    <w:multiLevelType w:val="multilevel"/>
    <w:tmpl w:val="11D112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812B062"/>
    <w:multiLevelType w:val="multilevel"/>
    <w:tmpl w:val="50E20F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85D9834"/>
    <w:multiLevelType w:val="multilevel"/>
    <w:tmpl w:val="A476CD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7F0EA82"/>
    <w:multiLevelType w:val="multilevel"/>
    <w:tmpl w:val="2CB1DB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31726694">
    <w:abstractNumId w:val="4"/>
  </w:num>
  <w:num w:numId="2" w16cid:durableId="388772813">
    <w:abstractNumId w:val="5"/>
  </w:num>
  <w:num w:numId="3" w16cid:durableId="555360793">
    <w:abstractNumId w:val="3"/>
  </w:num>
  <w:num w:numId="4" w16cid:durableId="310986683">
    <w:abstractNumId w:val="0"/>
  </w:num>
  <w:num w:numId="5" w16cid:durableId="15471146">
    <w:abstractNumId w:val="2"/>
  </w:num>
  <w:num w:numId="6" w16cid:durableId="39107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38"/>
    <w:rsid w:val="00096AC6"/>
    <w:rsid w:val="002535A8"/>
    <w:rsid w:val="00305D4F"/>
    <w:rsid w:val="003C3AB1"/>
    <w:rsid w:val="004975E2"/>
    <w:rsid w:val="004E29CD"/>
    <w:rsid w:val="004E6472"/>
    <w:rsid w:val="00552DDD"/>
    <w:rsid w:val="006F2A1D"/>
    <w:rsid w:val="00803E4F"/>
    <w:rsid w:val="00893092"/>
    <w:rsid w:val="008A21D8"/>
    <w:rsid w:val="008A5C75"/>
    <w:rsid w:val="008D39C6"/>
    <w:rsid w:val="009024C9"/>
    <w:rsid w:val="00946693"/>
    <w:rsid w:val="00992BD1"/>
    <w:rsid w:val="00A04F77"/>
    <w:rsid w:val="00A16324"/>
    <w:rsid w:val="00A25A38"/>
    <w:rsid w:val="00A3695A"/>
    <w:rsid w:val="00A4322E"/>
    <w:rsid w:val="00B53F4E"/>
    <w:rsid w:val="00BC5934"/>
    <w:rsid w:val="00BE70DF"/>
    <w:rsid w:val="00BF479B"/>
    <w:rsid w:val="00C7362C"/>
    <w:rsid w:val="00D02F5B"/>
    <w:rsid w:val="00DC0593"/>
    <w:rsid w:val="00E15EA4"/>
    <w:rsid w:val="00E3597E"/>
    <w:rsid w:val="00E466B5"/>
    <w:rsid w:val="00F56CDE"/>
    <w:rsid w:val="00FC2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EAB4"/>
  <w15:docId w15:val="{35038AD5-D829-4A22-A40A-17FEC4AF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5A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A38"/>
    <w:rPr>
      <w:rFonts w:ascii="Verdana" w:hAnsi="Verdana"/>
      <w:color w:val="000000"/>
      <w:sz w:val="18"/>
      <w:szCs w:val="18"/>
    </w:rPr>
  </w:style>
  <w:style w:type="paragraph" w:styleId="Voettekst">
    <w:name w:val="footer"/>
    <w:basedOn w:val="Standaard"/>
    <w:link w:val="VoettekstChar"/>
    <w:uiPriority w:val="99"/>
    <w:unhideWhenUsed/>
    <w:rsid w:val="00A25A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A38"/>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emiHidden/>
    <w:unhideWhenUsed/>
    <w:qFormat/>
    <w:rsid w:val="006F2A1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6F2A1D"/>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6F2A1D"/>
    <w:rPr>
      <w:vertAlign w:val="superscript"/>
    </w:rPr>
  </w:style>
  <w:style w:type="paragraph" w:styleId="Revisie">
    <w:name w:val="Revision"/>
    <w:hidden/>
    <w:uiPriority w:val="99"/>
    <w:semiHidden/>
    <w:rsid w:val="00BF47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4287-Anti-tax-Avoidance-Directive-ATAD-evaluation_en" TargetMode="External"/><Relationship Id="rId2" Type="http://schemas.openxmlformats.org/officeDocument/2006/relationships/hyperlink" Target="https://eur-lex.europa.eu/legal-content/NL/TXT/PDF/?uri=CELEX:52020DC0383" TargetMode="External"/><Relationship Id="rId1" Type="http://schemas.openxmlformats.org/officeDocument/2006/relationships/hyperlink" Target="https://eur-lex.europa.eu/legal-content/NL/TXT/PDF/?uri=CELEX:52020DC038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4847</ap:Words>
  <ap:Characters>26662</ap:Characters>
  <ap:DocSecurity>0</ap:DocSecurity>
  <ap:Lines>222</ap:Lines>
  <ap:Paragraphs>62</ap:Paragraphs>
  <ap:ScaleCrop>false</ap:ScaleCrop>
  <ap:HeadingPairs>
    <vt:vector baseType="variant" size="2">
      <vt:variant>
        <vt:lpstr>Titel</vt:lpstr>
      </vt:variant>
      <vt:variant>
        <vt:i4>1</vt:i4>
      </vt:variant>
    </vt:vector>
  </ap:HeadingPairs>
  <ap:TitlesOfParts>
    <vt:vector baseType="lpstr" size="1">
      <vt:lpstr>Brief - Beantwoording kamervragen over private equity die jaagd op corporatiemiljarden</vt:lpstr>
    </vt:vector>
  </ap:TitlesOfParts>
  <ap:LinksUpToDate>false</ap:LinksUpToDate>
  <ap:CharactersWithSpaces>31447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2025-01-14T15:29:00.0000000Z</dcterms:created>
  <dcterms:modified xsi:type="dcterms:W3CDTF">2025-02-03T16:08:00.0000000Z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de evaluatie van de ATAD1-richtijn van de EC</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2024Z17332 (ingezonden 4 november 2024) Vragen van het lid Welzijn (NSC) aan de ministers van VRO en Financiën over de evaluatie van de ATAD-richtlijn per 31 juli 2024</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2025-0000036593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over de evaluatie van de ATAD-richtlijn per 31 juli 2024</vt:lpwstr>
  </property>
  <property fmtid="{D5CDD505-2E9C-101B-9397-08002B2CF9AE}" pid="30" name="UwKenmerk">
    <vt:lpwstr/>
  </property>
</Properties>
</file>