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F06A5" w:rsidR="001F06A5" w:rsidP="001F06A5" w:rsidRDefault="008A34FC" w14:paraId="199EDC25" w14:textId="6E92AD09">
      <w:pPr>
        <w:ind w:left="1416" w:hanging="1416"/>
        <w:rPr>
          <w:rFonts w:ascii="Calibri" w:hAnsi="Calibri" w:cs="Calibri"/>
        </w:rPr>
      </w:pPr>
      <w:r w:rsidRPr="001F06A5">
        <w:rPr>
          <w:rFonts w:ascii="Calibri" w:hAnsi="Calibri" w:cs="Calibri"/>
        </w:rPr>
        <w:t>36</w:t>
      </w:r>
      <w:r w:rsidRPr="001F06A5" w:rsidR="001F06A5">
        <w:rPr>
          <w:rFonts w:ascii="Calibri" w:hAnsi="Calibri" w:cs="Calibri"/>
        </w:rPr>
        <w:t xml:space="preserve"> </w:t>
      </w:r>
      <w:r w:rsidRPr="001F06A5">
        <w:rPr>
          <w:rFonts w:ascii="Calibri" w:hAnsi="Calibri" w:cs="Calibri"/>
        </w:rPr>
        <w:t>566</w:t>
      </w:r>
      <w:r w:rsidRPr="001F06A5" w:rsidR="001F06A5">
        <w:rPr>
          <w:rFonts w:ascii="Calibri" w:hAnsi="Calibri" w:cs="Calibri"/>
        </w:rPr>
        <w:tab/>
      </w:r>
      <w:r w:rsidRPr="001F06A5" w:rsidR="001F06A5">
        <w:rPr>
          <w:rFonts w:ascii="Calibri" w:hAnsi="Calibri" w:cs="Calibri"/>
          <w:shd w:val="clear" w:color="auto" w:fill="FFFFFF"/>
        </w:rPr>
        <w:t>Wijziging van de Tijdelijke wet Groningen in verband met het herstel van omissies en het aanbrengen van verduidelijkingen</w:t>
      </w:r>
    </w:p>
    <w:p w:rsidRPr="001F06A5" w:rsidR="001F06A5" w:rsidP="001F06A5" w:rsidRDefault="001F06A5" w14:paraId="1597EFA5" w14:textId="38CD443C">
      <w:pPr>
        <w:ind w:left="1416" w:hanging="1416"/>
        <w:rPr>
          <w:rFonts w:ascii="Calibri" w:hAnsi="Calibri" w:cs="Calibri"/>
        </w:rPr>
      </w:pPr>
      <w:r w:rsidRPr="001F06A5">
        <w:rPr>
          <w:rFonts w:ascii="Calibri" w:hAnsi="Calibri" w:cs="Calibri"/>
        </w:rPr>
        <w:t xml:space="preserve">Nr. </w:t>
      </w:r>
      <w:r w:rsidRPr="001F06A5" w:rsidR="008A34FC">
        <w:rPr>
          <w:rFonts w:ascii="Calibri" w:hAnsi="Calibri" w:cs="Calibri"/>
        </w:rPr>
        <w:t>24</w:t>
      </w:r>
      <w:r w:rsidRPr="001F06A5">
        <w:rPr>
          <w:rFonts w:ascii="Calibri" w:hAnsi="Calibri" w:cs="Calibri"/>
        </w:rPr>
        <w:tab/>
        <w:t>Brief van de staatssecretaris van Binnenlandse Zaken en Koninkrijksrelaties</w:t>
      </w:r>
    </w:p>
    <w:p w:rsidRPr="001F06A5" w:rsidR="008A34FC" w:rsidP="008A34FC" w:rsidRDefault="001F06A5" w14:paraId="578C5F29" w14:textId="05F949EC">
      <w:pPr>
        <w:rPr>
          <w:rFonts w:ascii="Calibri" w:hAnsi="Calibri" w:cs="Calibri"/>
        </w:rPr>
      </w:pPr>
      <w:r w:rsidRPr="001F06A5">
        <w:rPr>
          <w:rFonts w:ascii="Calibri" w:hAnsi="Calibri" w:cs="Calibri"/>
        </w:rPr>
        <w:t>Aan de Voorzitter van de Tweede Kamer der Staten-Generaal</w:t>
      </w:r>
    </w:p>
    <w:p w:rsidRPr="001F06A5" w:rsidR="001F06A5" w:rsidP="008A34FC" w:rsidRDefault="001F06A5" w14:paraId="4DE1C79F" w14:textId="026D8B33">
      <w:pPr>
        <w:rPr>
          <w:rFonts w:ascii="Calibri" w:hAnsi="Calibri" w:cs="Calibri"/>
        </w:rPr>
      </w:pPr>
      <w:r w:rsidRPr="001F06A5">
        <w:rPr>
          <w:rFonts w:ascii="Calibri" w:hAnsi="Calibri" w:cs="Calibri"/>
        </w:rPr>
        <w:t>Den Haag, 4 februari 2025</w:t>
      </w:r>
    </w:p>
    <w:p w:rsidRPr="001F06A5" w:rsidR="008A34FC" w:rsidP="008A34FC" w:rsidRDefault="008A34FC" w14:paraId="21D559BC" w14:textId="77777777">
      <w:pPr>
        <w:rPr>
          <w:rFonts w:ascii="Calibri" w:hAnsi="Calibri" w:cs="Calibri"/>
        </w:rPr>
      </w:pPr>
    </w:p>
    <w:p w:rsidRPr="001F06A5" w:rsidR="008A34FC" w:rsidP="008A34FC" w:rsidRDefault="008A34FC" w14:paraId="486167FB" w14:textId="1EBBB32C">
      <w:pPr>
        <w:rPr>
          <w:rFonts w:ascii="Calibri" w:hAnsi="Calibri" w:cs="Calibri"/>
        </w:rPr>
      </w:pPr>
      <w:r w:rsidRPr="001F06A5">
        <w:rPr>
          <w:rFonts w:ascii="Calibri" w:hAnsi="Calibri" w:cs="Calibri"/>
        </w:rPr>
        <w:t>Tijdens de plenaire behandeling van het wetsvoorstel omissies</w:t>
      </w:r>
      <w:r w:rsidRPr="001F06A5">
        <w:rPr>
          <w:rFonts w:ascii="Calibri" w:hAnsi="Calibri" w:cs="Calibri"/>
          <w:vertAlign w:val="superscript"/>
        </w:rPr>
        <w:footnoteReference w:id="1"/>
      </w:r>
      <w:r w:rsidRPr="001F06A5">
        <w:rPr>
          <w:rFonts w:ascii="Calibri" w:hAnsi="Calibri" w:cs="Calibri"/>
        </w:rPr>
        <w:t xml:space="preserve"> op 29 januari jl. is door de leden Beckerman (SP) en Bushoff (Groenlinks-PvdA) een amendement ingediend (Kamerstuk 36566, nr. 10) over aanvullende juridische en technische bijstand voor complexe zaken en bouwfouten. Tijdens het debat heb ik aangegeven dat ik het ook van groot belang vind dat eigenaren over de juiste bijstand kunnen beschikken tijdens de schadeafhandeling en versterkingsoperatie, maar dat ik het amendement toch moet ontraden vanwege de onbepaaldheid ervan. </w:t>
      </w:r>
    </w:p>
    <w:p w:rsidRPr="001F06A5" w:rsidR="008A34FC" w:rsidP="008A34FC" w:rsidRDefault="008A34FC" w14:paraId="5BDEF6ED" w14:textId="77777777">
      <w:pPr>
        <w:rPr>
          <w:rFonts w:ascii="Calibri" w:hAnsi="Calibri" w:cs="Calibri"/>
        </w:rPr>
      </w:pPr>
    </w:p>
    <w:p w:rsidRPr="001F06A5" w:rsidR="008A34FC" w:rsidP="008A34FC" w:rsidRDefault="008A34FC" w14:paraId="13B3CDC6" w14:textId="77777777">
      <w:pPr>
        <w:rPr>
          <w:rFonts w:ascii="Calibri" w:hAnsi="Calibri" w:cs="Calibri"/>
        </w:rPr>
      </w:pPr>
      <w:r w:rsidRPr="001F06A5">
        <w:rPr>
          <w:rFonts w:ascii="Calibri" w:hAnsi="Calibri" w:cs="Calibri"/>
        </w:rPr>
        <w:t xml:space="preserve">Na het debat hebben bovengenoemde leden het amendement gewijzigd ingediend (Kamerstuk 36566, nr. 23). In dit gewijzigde amendement is nader gespecifieerd wat voor type deskundigen kunnen worden ingeschakeld. Ook is verduidelijkt wanneer in het schadeherstel of versterkingsproces gebruik kan worden gemaakt van deze bijstand. Tot slot is verduidelijkt in wat voor soort procedures een beroep kan worden gedaan op deze bijstand. </w:t>
      </w:r>
    </w:p>
    <w:p w:rsidRPr="001F06A5" w:rsidR="008A34FC" w:rsidP="008A34FC" w:rsidRDefault="008A34FC" w14:paraId="73E9D914" w14:textId="77777777">
      <w:pPr>
        <w:rPr>
          <w:rFonts w:ascii="Calibri" w:hAnsi="Calibri" w:cs="Calibri"/>
        </w:rPr>
      </w:pPr>
    </w:p>
    <w:p w:rsidRPr="001F06A5" w:rsidR="008A34FC" w:rsidP="008A34FC" w:rsidRDefault="008A34FC" w14:paraId="6D39BE49" w14:textId="77777777">
      <w:pPr>
        <w:rPr>
          <w:rFonts w:ascii="Calibri" w:hAnsi="Calibri" w:cs="Calibri"/>
        </w:rPr>
      </w:pPr>
      <w:r w:rsidRPr="001F06A5">
        <w:rPr>
          <w:rFonts w:ascii="Calibri" w:hAnsi="Calibri" w:cs="Calibri"/>
        </w:rPr>
        <w:t xml:space="preserve">Bovengenoemde aanpassingen dragen in belangrijke mate bij aan duidelijkheid voor alle betrokkenen over het doel en de reikwijdte van deze bijstand. Hierdoor kan ik dit gewijzigde amendement </w:t>
      </w:r>
      <w:r w:rsidRPr="001F06A5">
        <w:rPr>
          <w:rFonts w:ascii="Calibri" w:hAnsi="Calibri" w:cs="Calibri"/>
          <w:i/>
          <w:iCs/>
        </w:rPr>
        <w:t>oordeel Kamer</w:t>
      </w:r>
      <w:r w:rsidRPr="001F06A5">
        <w:rPr>
          <w:rFonts w:ascii="Calibri" w:hAnsi="Calibri" w:cs="Calibri"/>
        </w:rPr>
        <w:t xml:space="preserve"> geven. </w:t>
      </w:r>
    </w:p>
    <w:p w:rsidRPr="001F06A5" w:rsidR="008A34FC" w:rsidP="008A34FC" w:rsidRDefault="008A34FC" w14:paraId="5B45F79F" w14:textId="77777777">
      <w:pPr>
        <w:rPr>
          <w:rFonts w:ascii="Calibri" w:hAnsi="Calibri" w:cs="Calibri"/>
        </w:rPr>
      </w:pPr>
    </w:p>
    <w:p w:rsidRPr="001F06A5" w:rsidR="008A34FC" w:rsidP="001F06A5" w:rsidRDefault="008A34FC" w14:paraId="26396767" w14:textId="759C7170">
      <w:pPr>
        <w:pStyle w:val="Geenafstand"/>
        <w:rPr>
          <w:rFonts w:ascii="Calibri" w:hAnsi="Calibri" w:cs="Calibri"/>
        </w:rPr>
      </w:pPr>
      <w:r w:rsidRPr="001F06A5">
        <w:rPr>
          <w:rFonts w:ascii="Calibri" w:hAnsi="Calibri" w:cs="Calibri"/>
        </w:rPr>
        <w:t>De </w:t>
      </w:r>
      <w:r w:rsidRPr="001F06A5" w:rsidR="001F06A5">
        <w:rPr>
          <w:rFonts w:ascii="Calibri" w:hAnsi="Calibri" w:cs="Calibri"/>
        </w:rPr>
        <w:t>s</w:t>
      </w:r>
      <w:r w:rsidRPr="001F06A5">
        <w:rPr>
          <w:rFonts w:ascii="Calibri" w:hAnsi="Calibri" w:cs="Calibri"/>
        </w:rPr>
        <w:t>taatssecretaris van Binnenlandse Zaken en Koninkrijksrelaties</w:t>
      </w:r>
      <w:r w:rsidRPr="001F06A5" w:rsidR="001F06A5">
        <w:rPr>
          <w:rFonts w:ascii="Calibri" w:hAnsi="Calibri" w:cs="Calibri"/>
        </w:rPr>
        <w:t>,</w:t>
      </w:r>
    </w:p>
    <w:p w:rsidRPr="001F06A5" w:rsidR="008A34FC" w:rsidP="001F06A5" w:rsidRDefault="008A34FC" w14:paraId="190D2D5F" w14:textId="0E8DF2B6">
      <w:pPr>
        <w:pStyle w:val="Geenafstand"/>
        <w:rPr>
          <w:rFonts w:ascii="Calibri" w:hAnsi="Calibri" w:cs="Calibri"/>
        </w:rPr>
      </w:pPr>
      <w:r w:rsidRPr="001F06A5">
        <w:rPr>
          <w:rFonts w:ascii="Calibri" w:hAnsi="Calibri" w:cs="Calibri"/>
        </w:rPr>
        <w:t>E</w:t>
      </w:r>
      <w:r w:rsidRPr="001F06A5" w:rsidR="001F06A5">
        <w:rPr>
          <w:rFonts w:ascii="Calibri" w:hAnsi="Calibri" w:cs="Calibri"/>
        </w:rPr>
        <w:t>.</w:t>
      </w:r>
      <w:r w:rsidRPr="001F06A5">
        <w:rPr>
          <w:rFonts w:ascii="Calibri" w:hAnsi="Calibri" w:cs="Calibri"/>
        </w:rPr>
        <w:t xml:space="preserve"> van Marum</w:t>
      </w:r>
    </w:p>
    <w:p w:rsidRPr="001F06A5" w:rsidR="00FE0FA3" w:rsidP="001F06A5" w:rsidRDefault="00FE0FA3" w14:paraId="590566CB" w14:textId="02E4AC57">
      <w:pPr>
        <w:tabs>
          <w:tab w:val="left" w:pos="2224"/>
        </w:tabs>
        <w:rPr>
          <w:rFonts w:ascii="Calibri" w:hAnsi="Calibri" w:cs="Calibri"/>
        </w:rPr>
      </w:pPr>
    </w:p>
    <w:sectPr w:rsidRPr="001F06A5" w:rsidR="00FE0FA3" w:rsidSect="008C24CB">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02FB2" w14:textId="77777777" w:rsidR="008A34FC" w:rsidRDefault="008A34FC" w:rsidP="008A34FC">
      <w:pPr>
        <w:spacing w:after="0" w:line="240" w:lineRule="auto"/>
      </w:pPr>
      <w:r>
        <w:separator/>
      </w:r>
    </w:p>
  </w:endnote>
  <w:endnote w:type="continuationSeparator" w:id="0">
    <w:p w14:paraId="6872E3FF" w14:textId="77777777" w:rsidR="008A34FC" w:rsidRDefault="008A34FC" w:rsidP="008A3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A83FF" w14:textId="77777777" w:rsidR="008A34FC" w:rsidRPr="008A34FC" w:rsidRDefault="008A34FC" w:rsidP="008A34F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63F30" w14:textId="77777777" w:rsidR="008A34FC" w:rsidRPr="008A34FC" w:rsidRDefault="008A34FC" w:rsidP="008A34F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CFD0D" w14:textId="77777777" w:rsidR="008A34FC" w:rsidRPr="008A34FC" w:rsidRDefault="008A34FC" w:rsidP="008A34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20842" w14:textId="77777777" w:rsidR="008A34FC" w:rsidRDefault="008A34FC" w:rsidP="008A34FC">
      <w:pPr>
        <w:spacing w:after="0" w:line="240" w:lineRule="auto"/>
      </w:pPr>
      <w:r>
        <w:separator/>
      </w:r>
    </w:p>
  </w:footnote>
  <w:footnote w:type="continuationSeparator" w:id="0">
    <w:p w14:paraId="5C39C713" w14:textId="77777777" w:rsidR="008A34FC" w:rsidRDefault="008A34FC" w:rsidP="008A34FC">
      <w:pPr>
        <w:spacing w:after="0" w:line="240" w:lineRule="auto"/>
      </w:pPr>
      <w:r>
        <w:continuationSeparator/>
      </w:r>
    </w:p>
  </w:footnote>
  <w:footnote w:id="1">
    <w:p w14:paraId="29D71721" w14:textId="77777777" w:rsidR="008A34FC" w:rsidRPr="001F06A5" w:rsidRDefault="008A34FC" w:rsidP="008A34FC">
      <w:pPr>
        <w:rPr>
          <w:rFonts w:ascii="Calibri" w:hAnsi="Calibri" w:cs="Calibri"/>
          <w:sz w:val="20"/>
          <w:szCs w:val="20"/>
        </w:rPr>
      </w:pPr>
      <w:r w:rsidRPr="001F06A5">
        <w:rPr>
          <w:rStyle w:val="Voetnootmarkering"/>
          <w:rFonts w:ascii="Calibri" w:hAnsi="Calibri" w:cs="Calibri"/>
          <w:sz w:val="20"/>
          <w:szCs w:val="20"/>
        </w:rPr>
        <w:footnoteRef/>
      </w:r>
      <w:r w:rsidRPr="001F06A5">
        <w:rPr>
          <w:rFonts w:ascii="Calibri" w:hAnsi="Calibri" w:cs="Calibri"/>
          <w:sz w:val="20"/>
          <w:szCs w:val="20"/>
        </w:rPr>
        <w:t xml:space="preserve"> </w:t>
      </w:r>
      <w:r w:rsidRPr="001F06A5">
        <w:rPr>
          <w:rFonts w:ascii="Calibri" w:hAnsi="Calibri" w:cs="Calibri"/>
          <w:sz w:val="20"/>
          <w:szCs w:val="20"/>
          <w:shd w:val="clear" w:color="auto" w:fill="FFFFFF"/>
        </w:rPr>
        <w:t>Wijziging van de Tijdelijke wet Groningen in verband met het herstel van omissies en het aanbrengen van verduidelijkingen (36566).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B0806" w14:textId="77777777" w:rsidR="008A34FC" w:rsidRPr="008A34FC" w:rsidRDefault="008A34FC" w:rsidP="008A34F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05E67" w14:textId="77777777" w:rsidR="008A34FC" w:rsidRPr="008A34FC" w:rsidRDefault="008A34FC" w:rsidP="008A34F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ED5BE" w14:textId="77777777" w:rsidR="008A34FC" w:rsidRPr="008A34FC" w:rsidRDefault="008A34FC" w:rsidP="008A34F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4FC"/>
    <w:rsid w:val="001F06A5"/>
    <w:rsid w:val="002E3E61"/>
    <w:rsid w:val="00430D5A"/>
    <w:rsid w:val="008A34FC"/>
    <w:rsid w:val="008C24CB"/>
    <w:rsid w:val="00DC0A61"/>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736A1"/>
  <w15:chartTrackingRefBased/>
  <w15:docId w15:val="{F42ADEF6-E20F-4EBA-9D9E-106F8BA55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A34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A34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A34F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A34F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A34F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A34F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A34F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A34F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A34F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A34F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A34F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A34F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A34F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A34F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A34F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A34F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A34F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A34FC"/>
    <w:rPr>
      <w:rFonts w:eastAsiaTheme="majorEastAsia" w:cstheme="majorBidi"/>
      <w:color w:val="272727" w:themeColor="text1" w:themeTint="D8"/>
    </w:rPr>
  </w:style>
  <w:style w:type="paragraph" w:styleId="Titel">
    <w:name w:val="Title"/>
    <w:basedOn w:val="Standaard"/>
    <w:next w:val="Standaard"/>
    <w:link w:val="TitelChar"/>
    <w:uiPriority w:val="10"/>
    <w:qFormat/>
    <w:rsid w:val="008A34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A34F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A34F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A34F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A34F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A34FC"/>
    <w:rPr>
      <w:i/>
      <w:iCs/>
      <w:color w:val="404040" w:themeColor="text1" w:themeTint="BF"/>
    </w:rPr>
  </w:style>
  <w:style w:type="paragraph" w:styleId="Lijstalinea">
    <w:name w:val="List Paragraph"/>
    <w:basedOn w:val="Standaard"/>
    <w:uiPriority w:val="34"/>
    <w:qFormat/>
    <w:rsid w:val="008A34FC"/>
    <w:pPr>
      <w:ind w:left="720"/>
      <w:contextualSpacing/>
    </w:pPr>
  </w:style>
  <w:style w:type="character" w:styleId="Intensievebenadrukking">
    <w:name w:val="Intense Emphasis"/>
    <w:basedOn w:val="Standaardalinea-lettertype"/>
    <w:uiPriority w:val="21"/>
    <w:qFormat/>
    <w:rsid w:val="008A34FC"/>
    <w:rPr>
      <w:i/>
      <w:iCs/>
      <w:color w:val="0F4761" w:themeColor="accent1" w:themeShade="BF"/>
    </w:rPr>
  </w:style>
  <w:style w:type="paragraph" w:styleId="Duidelijkcitaat">
    <w:name w:val="Intense Quote"/>
    <w:basedOn w:val="Standaard"/>
    <w:next w:val="Standaard"/>
    <w:link w:val="DuidelijkcitaatChar"/>
    <w:uiPriority w:val="30"/>
    <w:qFormat/>
    <w:rsid w:val="008A34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A34FC"/>
    <w:rPr>
      <w:i/>
      <w:iCs/>
      <w:color w:val="0F4761" w:themeColor="accent1" w:themeShade="BF"/>
    </w:rPr>
  </w:style>
  <w:style w:type="character" w:styleId="Intensieveverwijzing">
    <w:name w:val="Intense Reference"/>
    <w:basedOn w:val="Standaardalinea-lettertype"/>
    <w:uiPriority w:val="32"/>
    <w:qFormat/>
    <w:rsid w:val="008A34FC"/>
    <w:rPr>
      <w:b/>
      <w:bCs/>
      <w:smallCaps/>
      <w:color w:val="0F4761" w:themeColor="accent1" w:themeShade="BF"/>
      <w:spacing w:val="5"/>
    </w:rPr>
  </w:style>
  <w:style w:type="paragraph" w:customStyle="1" w:styleId="Referentiegegevens">
    <w:name w:val="Referentiegegevens"/>
    <w:basedOn w:val="Standaard"/>
    <w:next w:val="Standaard"/>
    <w:rsid w:val="008A34F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8A34FC"/>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8A34FC"/>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8A34F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8A34F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tekst">
    <w:name w:val="footer"/>
    <w:basedOn w:val="Standaard"/>
    <w:link w:val="VoettekstChar"/>
    <w:uiPriority w:val="99"/>
    <w:unhideWhenUsed/>
    <w:rsid w:val="008A34F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A34FC"/>
    <w:rPr>
      <w:rFonts w:ascii="Verdana" w:eastAsia="DejaVu Sans" w:hAnsi="Verdana" w:cs="Lohit Hindi"/>
      <w:color w:val="000000"/>
      <w:kern w:val="0"/>
      <w:sz w:val="18"/>
      <w:szCs w:val="18"/>
      <w:lang w:eastAsia="nl-NL"/>
      <w14:ligatures w14:val="none"/>
    </w:rPr>
  </w:style>
  <w:style w:type="character" w:styleId="Voetnootmarkering">
    <w:name w:val="footnote reference"/>
    <w:basedOn w:val="Standaardalinea-lettertype"/>
    <w:uiPriority w:val="99"/>
    <w:semiHidden/>
    <w:unhideWhenUsed/>
    <w:rsid w:val="008A34FC"/>
    <w:rPr>
      <w:vertAlign w:val="superscript"/>
    </w:rPr>
  </w:style>
  <w:style w:type="paragraph" w:styleId="Koptekst">
    <w:name w:val="header"/>
    <w:basedOn w:val="Standaard"/>
    <w:link w:val="KoptekstChar"/>
    <w:uiPriority w:val="99"/>
    <w:unhideWhenUsed/>
    <w:rsid w:val="008A34F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A34FC"/>
  </w:style>
  <w:style w:type="paragraph" w:styleId="Geenafstand">
    <w:name w:val="No Spacing"/>
    <w:uiPriority w:val="1"/>
    <w:qFormat/>
    <w:rsid w:val="001F06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240</ap:Words>
  <ap:Characters>1323</ap:Characters>
  <ap:DocSecurity>0</ap:DocSecurity>
  <ap:Lines>11</ap:Lines>
  <ap:Paragraphs>3</ap:Paragraphs>
  <ap:ScaleCrop>false</ap:ScaleCrop>
  <ap:LinksUpToDate>false</ap:LinksUpToDate>
  <ap:CharactersWithSpaces>1560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2025-02-05T15:41:00.0000000Z</dcterms:created>
  <dcterms:modified xsi:type="dcterms:W3CDTF">2025-02-05T15:41:00.0000000Z</dcterms:modified>
  <version/>
  <category/>
</coreProperties>
</file>