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0C89" w:rsidR="0070524B" w:rsidP="001F1E89" w:rsidRDefault="001D3BE6" w14:paraId="0E702F0E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4"/>
          <w:szCs w:val="24"/>
          <w:u w:val="single"/>
          <w:lang w:val="en-GB"/>
        </w:rPr>
      </w:pPr>
      <w:r w:rsidRPr="00580C89">
        <w:rPr>
          <w:rFonts w:ascii="CIDFont+F1" w:hAnsi="CIDFont+F1" w:cs="CIDFont+F1"/>
          <w:b/>
          <w:color w:val="000000"/>
          <w:sz w:val="24"/>
          <w:szCs w:val="24"/>
          <w:u w:val="single"/>
          <w:lang w:val="en-GB"/>
        </w:rPr>
        <w:t>Tax De</w:t>
      </w:r>
      <w:r w:rsidR="008C1F92">
        <w:rPr>
          <w:rFonts w:ascii="CIDFont+F1" w:hAnsi="CIDFont+F1" w:cs="CIDFont+F1"/>
          <w:b/>
          <w:color w:val="000000"/>
          <w:sz w:val="24"/>
          <w:szCs w:val="24"/>
          <w:u w:val="single"/>
          <w:lang w:val="en-GB"/>
        </w:rPr>
        <w:t>c</w:t>
      </w:r>
      <w:r w:rsidRPr="00580C89">
        <w:rPr>
          <w:rFonts w:ascii="CIDFont+F1" w:hAnsi="CIDFont+F1" w:cs="CIDFont+F1"/>
          <w:b/>
          <w:color w:val="000000"/>
          <w:sz w:val="24"/>
          <w:szCs w:val="24"/>
          <w:u w:val="single"/>
          <w:lang w:val="en-GB"/>
        </w:rPr>
        <w:t xml:space="preserve">luttering in the </w:t>
      </w:r>
      <w:r w:rsidRPr="00580C89" w:rsidR="001F1E89">
        <w:rPr>
          <w:rFonts w:ascii="CIDFont+F1" w:hAnsi="CIDFont+F1" w:cs="CIDFont+F1"/>
          <w:b/>
          <w:color w:val="000000"/>
          <w:sz w:val="24"/>
          <w:szCs w:val="24"/>
          <w:u w:val="single"/>
          <w:lang w:val="en-GB"/>
        </w:rPr>
        <w:t xml:space="preserve">common </w:t>
      </w:r>
      <w:r w:rsidR="006303C8">
        <w:rPr>
          <w:rFonts w:ascii="CIDFont+F1" w:hAnsi="CIDFont+F1" w:cs="CIDFont+F1"/>
          <w:b/>
          <w:color w:val="000000"/>
          <w:sz w:val="24"/>
          <w:szCs w:val="24"/>
          <w:u w:val="single"/>
          <w:lang w:val="en-GB"/>
        </w:rPr>
        <w:t xml:space="preserve">European </w:t>
      </w:r>
      <w:r w:rsidRPr="00580C89" w:rsidR="001F1E89">
        <w:rPr>
          <w:rFonts w:ascii="CIDFont+F1" w:hAnsi="CIDFont+F1" w:cs="CIDFont+F1"/>
          <w:b/>
          <w:color w:val="000000"/>
          <w:sz w:val="24"/>
          <w:szCs w:val="24"/>
          <w:u w:val="single"/>
          <w:lang w:val="en-GB"/>
        </w:rPr>
        <w:t>market</w:t>
      </w:r>
    </w:p>
    <w:p w:rsidRPr="005B5641" w:rsidR="0070524B" w:rsidP="0070524B" w:rsidRDefault="005B5641" w14:paraId="00C9EA81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</w:pPr>
      <w:r w:rsidRPr="005B5641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Informal thoughts by Germany and the Netherlands</w:t>
      </w:r>
      <w:r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, 11 December 2024.</w:t>
      </w:r>
    </w:p>
    <w:p w:rsidR="005B5641" w:rsidP="0070524B" w:rsidRDefault="005B5641" w14:paraId="5D36161A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="001E7382" w:rsidP="00A213F8" w:rsidRDefault="001D3BE6" w14:paraId="7EFAC8F9" w14:textId="41FCCE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Over the </w:t>
      </w:r>
      <w:r w:rsidR="008C1F92">
        <w:rPr>
          <w:rFonts w:ascii="CIDFont+F2" w:hAnsi="CIDFont+F2" w:cs="CIDFont+F2"/>
          <w:color w:val="000000"/>
          <w:sz w:val="24"/>
          <w:szCs w:val="24"/>
          <w:lang w:val="en-GB"/>
        </w:rPr>
        <w:t>p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ast years and decades, </w:t>
      </w:r>
      <w:r w:rsidR="00ED162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we saw </w:t>
      </w:r>
      <w:r w:rsidRPr="0098752C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significant </w:t>
      </w:r>
      <w:r w:rsidRPr="0098752C" w:rsidR="00ED1628">
        <w:rPr>
          <w:rFonts w:ascii="CIDFont+F2" w:hAnsi="CIDFont+F2" w:cs="CIDFont+F2"/>
          <w:b/>
          <w:color w:val="000000"/>
          <w:sz w:val="24"/>
          <w:szCs w:val="24"/>
          <w:lang w:val="en-GB"/>
        </w:rPr>
        <w:t>progress</w:t>
      </w:r>
      <w:r w:rsidR="00ED162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proofErr w:type="gramStart"/>
      <w:r w:rsidRPr="0098752C">
        <w:rPr>
          <w:rFonts w:ascii="CIDFont+F2" w:hAnsi="CIDFont+F2" w:cs="CIDFont+F2"/>
          <w:b/>
          <w:color w:val="000000"/>
          <w:sz w:val="24"/>
          <w:szCs w:val="24"/>
          <w:lang w:val="en-GB"/>
        </w:rPr>
        <w:t>in the are</w:t>
      </w:r>
      <w:r w:rsidRPr="0098752C" w:rsidR="00ED1628">
        <w:rPr>
          <w:rFonts w:ascii="CIDFont+F2" w:hAnsi="CIDFont+F2" w:cs="CIDFont+F2"/>
          <w:b/>
          <w:color w:val="000000"/>
          <w:sz w:val="24"/>
          <w:szCs w:val="24"/>
          <w:lang w:val="en-GB"/>
        </w:rPr>
        <w:t>a</w:t>
      </w:r>
      <w:r w:rsidRPr="0098752C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of</w:t>
      </w:r>
      <w:proofErr w:type="gramEnd"/>
      <w:r w:rsidRPr="0098752C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international tax cooperation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especially with respect to </w:t>
      </w:r>
      <w:r w:rsidR="004E0D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Anti-BEPS-measures. The </w:t>
      </w:r>
      <w:r w:rsidR="00ED162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political agreement on the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two-pillar-solution is further </w:t>
      </w:r>
      <w:r w:rsidR="00ED162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proof that joint efforts at an international </w:t>
      </w:r>
      <w:r w:rsidR="001F1E8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level </w:t>
      </w:r>
      <w:r w:rsidR="00ED162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are possible and we can be proud of </w:t>
      </w:r>
      <w:r w:rsidR="00953079">
        <w:rPr>
          <w:rFonts w:ascii="CIDFont+F2" w:hAnsi="CIDFont+F2" w:cs="CIDFont+F2"/>
          <w:color w:val="000000"/>
          <w:sz w:val="24"/>
          <w:szCs w:val="24"/>
          <w:lang w:val="en-GB"/>
        </w:rPr>
        <w:t>these achievements</w:t>
      </w:r>
      <w:r w:rsidR="00ED162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</w:t>
      </w:r>
    </w:p>
    <w:p w:rsidR="001F1E89" w:rsidP="00A213F8" w:rsidRDefault="00ED1628" w14:paraId="75FCE27A" w14:textId="05C8170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At the same time, it is important to take stock and allow us to look at these achievements from a different </w:t>
      </w:r>
      <w:r w:rsidR="00224F6A">
        <w:rPr>
          <w:rFonts w:ascii="CIDFont+F2" w:hAnsi="CIDFont+F2" w:cs="CIDFont+F2"/>
          <w:color w:val="000000"/>
          <w:sz w:val="24"/>
          <w:szCs w:val="24"/>
          <w:lang w:val="en-GB"/>
        </w:rPr>
        <w:t>perspective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</w:t>
      </w:r>
      <w:r w:rsidR="00224F6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Even though </w:t>
      </w:r>
      <w:r w:rsidR="00C25B0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these measures made </w:t>
      </w:r>
      <w:r w:rsidR="00224F6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our respective tax laws more resilient and less vulnerable to tax fraud and aggressive tax planning, </w:t>
      </w:r>
      <w:r w:rsidR="00A02C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we </w:t>
      </w:r>
      <w:r w:rsidR="004E0D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have </w:t>
      </w:r>
      <w:r w:rsidR="00224F6A">
        <w:rPr>
          <w:rFonts w:ascii="CIDFont+F2" w:hAnsi="CIDFont+F2" w:cs="CIDFont+F2"/>
          <w:color w:val="000000"/>
          <w:sz w:val="24"/>
          <w:szCs w:val="24"/>
          <w:lang w:val="en-GB"/>
        </w:rPr>
        <w:t>create</w:t>
      </w:r>
      <w:r w:rsidR="001E7382">
        <w:rPr>
          <w:rFonts w:ascii="CIDFont+F2" w:hAnsi="CIDFont+F2" w:cs="CIDFont+F2"/>
          <w:color w:val="000000"/>
          <w:sz w:val="24"/>
          <w:szCs w:val="24"/>
          <w:lang w:val="en-GB"/>
        </w:rPr>
        <w:t>d</w:t>
      </w:r>
      <w:r w:rsidR="00224F6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8C1F92">
        <w:rPr>
          <w:rFonts w:ascii="CIDFont+F2" w:hAnsi="CIDFont+F2" w:cs="CIDFont+F2"/>
          <w:color w:val="000000"/>
          <w:sz w:val="24"/>
          <w:szCs w:val="24"/>
          <w:lang w:val="en-GB"/>
        </w:rPr>
        <w:t>increased</w:t>
      </w:r>
      <w:r w:rsidR="00224F6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98752C" w:rsidR="00224F6A">
        <w:rPr>
          <w:rFonts w:ascii="CIDFont+F2" w:hAnsi="CIDFont+F2" w:cs="CIDFont+F2"/>
          <w:b/>
          <w:color w:val="000000"/>
          <w:sz w:val="24"/>
          <w:szCs w:val="24"/>
          <w:lang w:val="en-GB"/>
        </w:rPr>
        <w:t>complexity and administrative burden for taxpayers and tax authorities</w:t>
      </w:r>
      <w:r w:rsidR="00224F6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1E7382">
        <w:rPr>
          <w:rFonts w:ascii="CIDFont+F2" w:hAnsi="CIDFont+F2" w:cs="CIDFont+F2"/>
          <w:color w:val="000000"/>
          <w:sz w:val="24"/>
          <w:szCs w:val="24"/>
          <w:lang w:val="en-GB"/>
        </w:rPr>
        <w:t>over the years</w:t>
      </w:r>
      <w:r w:rsidR="00224F6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</w:t>
      </w:r>
    </w:p>
    <w:p w:rsidR="001F1E89" w:rsidP="00A213F8" w:rsidRDefault="001F1E89" w14:paraId="0189636D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Pr="00785886" w:rsidR="001F1E89" w:rsidP="00515DDB" w:rsidRDefault="00C85F84" w14:paraId="0EB7FEE1" w14:textId="2EF1D77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 w:rsidRPr="00EE5913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 xml:space="preserve">We believe it is now time to act. </w:t>
      </w:r>
      <w:r w:rsidRPr="00EE5913" w:rsidR="00B55A8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In order to </w:t>
      </w:r>
      <w:r w:rsidRPr="00EE5913" w:rsidR="00B55A84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>increase EU competitiveness</w:t>
      </w:r>
      <w:r w:rsidRPr="00EE5913" w:rsidR="00C8418C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>,</w:t>
      </w:r>
      <w:r w:rsidRPr="00EE5913" w:rsidR="00B55A8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it is paramount </w:t>
      </w:r>
      <w:r w:rsidRPr="00EE5913" w:rsidR="002F01C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that </w:t>
      </w:r>
      <w:r w:rsidRPr="00EE5913" w:rsidR="00B55A8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 administrative </w:t>
      </w:r>
      <w:r w:rsidRPr="00EE5913" w:rsidR="00B55A84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 xml:space="preserve">burden </w:t>
      </w:r>
      <w:r w:rsidRPr="00EE5913" w:rsidR="002F01C6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 xml:space="preserve">is </w:t>
      </w:r>
      <w:proofErr w:type="gramStart"/>
      <w:r w:rsidRPr="00EE5913" w:rsidR="002F01C6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>reduced</w:t>
      </w:r>
      <w:proofErr w:type="gramEnd"/>
      <w:r w:rsidRPr="00EE5913" w:rsidR="002F01C6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 xml:space="preserve"> </w:t>
      </w:r>
      <w:r w:rsidRPr="00EE5913" w:rsidR="00B55A84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>and tax certainty</w:t>
      </w:r>
      <w:r w:rsidRPr="00EE5913" w:rsidR="002F01C6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 xml:space="preserve"> increased</w:t>
      </w:r>
      <w:r w:rsidRPr="00EE5913" w:rsidR="00B55A8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EE5913" w:rsidR="002F01C6">
        <w:rPr>
          <w:rFonts w:ascii="CIDFont+F2" w:hAnsi="CIDFont+F2" w:cs="CIDFont+F2"/>
          <w:color w:val="000000"/>
          <w:sz w:val="24"/>
          <w:szCs w:val="24"/>
          <w:lang w:val="en-GB"/>
        </w:rPr>
        <w:t>to foster growth and innovation of our businesses</w:t>
      </w:r>
      <w:r w:rsidRPr="00EE5913" w:rsidR="00AF60D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and make the environment for doing business in the internal market more attractive and more efficient. </w:t>
      </w:r>
      <w:r w:rsidRPr="00EE5913" w:rsidR="00B55A84">
        <w:rPr>
          <w:rFonts w:ascii="CIDFont+F2" w:hAnsi="CIDFont+F2" w:cs="CIDFont+F2"/>
          <w:color w:val="000000"/>
          <w:sz w:val="24"/>
          <w:szCs w:val="24"/>
          <w:lang w:val="en-GB"/>
        </w:rPr>
        <w:t>Therefore, w</w:t>
      </w:r>
      <w:r w:rsidRPr="00EE5913" w:rsidR="004E0D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e need to allow </w:t>
      </w:r>
      <w:r w:rsidRPr="00EE5913" w:rsidR="001F1E89">
        <w:rPr>
          <w:rFonts w:ascii="CIDFont+F2" w:hAnsi="CIDFont+F2" w:cs="CIDFont+F2"/>
          <w:color w:val="000000"/>
          <w:sz w:val="24"/>
          <w:szCs w:val="24"/>
          <w:lang w:val="en-GB"/>
        </w:rPr>
        <w:t>for adjustments</w:t>
      </w:r>
      <w:r w:rsidR="001F1E8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to our </w:t>
      </w:r>
      <w:r w:rsidR="00224F6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tax </w:t>
      </w:r>
      <w:r w:rsidR="00A213F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systems </w:t>
      </w:r>
      <w:r w:rsidR="00224F6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that </w:t>
      </w:r>
      <w:r w:rsidR="001F1E8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lead to more </w:t>
      </w:r>
      <w:r w:rsidR="00A213F8">
        <w:rPr>
          <w:rFonts w:ascii="CIDFont+F2" w:hAnsi="CIDFont+F2" w:cs="CIDFont+F2"/>
          <w:color w:val="000000"/>
          <w:sz w:val="24"/>
          <w:szCs w:val="24"/>
          <w:lang w:val="en-GB"/>
        </w:rPr>
        <w:t>effectiveness</w:t>
      </w:r>
      <w:r w:rsidR="001F1E8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through a significant reduction of complexity</w:t>
      </w:r>
      <w:r w:rsidR="003B56A2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4E0D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while </w:t>
      </w:r>
      <w:r w:rsidRPr="00580C89" w:rsidR="004E0DE0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preserving the integrity and overall level </w:t>
      </w:r>
      <w:r w:rsidR="008C1F92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of </w:t>
      </w:r>
      <w:r w:rsidRPr="00580C89" w:rsidR="004E0DE0">
        <w:rPr>
          <w:rFonts w:ascii="CIDFont+F2" w:hAnsi="CIDFont+F2" w:cs="CIDFont+F2"/>
          <w:b/>
          <w:color w:val="000000"/>
          <w:sz w:val="24"/>
          <w:szCs w:val="24"/>
          <w:lang w:val="en-GB"/>
        </w:rPr>
        <w:t>protection</w:t>
      </w:r>
      <w:r w:rsidR="008C1F92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</w:t>
      </w:r>
      <w:r w:rsidRPr="00E87F42" w:rsidR="008C1F92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against harmful tax </w:t>
      </w:r>
      <w:r w:rsidR="00B366D7">
        <w:rPr>
          <w:rFonts w:ascii="CIDFont+F2" w:hAnsi="CIDFont+F2" w:cs="CIDFont+F2"/>
          <w:color w:val="000000"/>
          <w:sz w:val="24"/>
          <w:szCs w:val="24"/>
          <w:lang w:val="en-GB"/>
        </w:rPr>
        <w:t>competition and avoidance</w:t>
      </w:r>
      <w:r w:rsidR="00B366D7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</w:t>
      </w:r>
      <w:r w:rsidRPr="00785886" w:rsidR="008C1F92">
        <w:rPr>
          <w:rFonts w:ascii="CIDFont+F2" w:hAnsi="CIDFont+F2" w:cs="CIDFont+F2"/>
          <w:color w:val="000000"/>
          <w:sz w:val="24"/>
          <w:szCs w:val="24"/>
          <w:lang w:val="en-GB"/>
        </w:rPr>
        <w:t>(“</w:t>
      </w:r>
      <w:r w:rsidRPr="00580C89" w:rsidR="008C1F92">
        <w:rPr>
          <w:rFonts w:ascii="CIDFont+F2" w:hAnsi="CIDFont+F2" w:cs="CIDFont+F2"/>
          <w:b/>
          <w:color w:val="000000"/>
          <w:sz w:val="24"/>
          <w:szCs w:val="24"/>
          <w:lang w:val="en-GB"/>
        </w:rPr>
        <w:t>tax decluttering</w:t>
      </w:r>
      <w:r w:rsidRPr="00785886" w:rsidR="008C1F92">
        <w:rPr>
          <w:rFonts w:ascii="CIDFont+F2" w:hAnsi="CIDFont+F2" w:cs="CIDFont+F2"/>
          <w:color w:val="000000"/>
          <w:sz w:val="24"/>
          <w:szCs w:val="24"/>
          <w:lang w:val="en-GB"/>
        </w:rPr>
        <w:t>”)</w:t>
      </w:r>
      <w:r w:rsidR="00A213F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</w:t>
      </w:r>
    </w:p>
    <w:p w:rsidR="001F1E89" w:rsidP="00A213F8" w:rsidRDefault="001F1E89" w14:paraId="2EC3D4C6" w14:textId="024C79C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="00785886" w:rsidP="00895C39" w:rsidRDefault="00C25B06" w14:paraId="29C66E1F" w14:textId="06AA7D9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 w:rsidRPr="00515DDB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 xml:space="preserve">Tax </w:t>
      </w:r>
      <w:r w:rsidRPr="00515DDB" w:rsidR="004E3AF7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>d</w:t>
      </w:r>
      <w:r w:rsidRPr="00515DDB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 xml:space="preserve">ecluttering </w:t>
      </w:r>
      <w:r w:rsidRPr="00515DDB" w:rsidR="00C85F84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 xml:space="preserve">should be </w:t>
      </w:r>
      <w:r w:rsidR="00C85F84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>explored</w:t>
      </w:r>
      <w:r w:rsidRPr="00515DDB" w:rsidR="00C85F84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 xml:space="preserve"> in close cooperation with Member States</w:t>
      </w:r>
      <w:r w:rsidR="00C85F8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Tax decluttering </w:t>
      </w:r>
      <w:proofErr w:type="gramStart"/>
      <w:r>
        <w:rPr>
          <w:rFonts w:ascii="CIDFont+F2" w:hAnsi="CIDFont+F2" w:cs="CIDFont+F2"/>
          <w:color w:val="000000"/>
          <w:sz w:val="24"/>
          <w:szCs w:val="24"/>
          <w:lang w:val="en-GB"/>
        </w:rPr>
        <w:t>can, and</w:t>
      </w:r>
      <w:proofErr w:type="gramEnd"/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should be explored on different levels and with different objectives in mind.</w:t>
      </w:r>
      <w:r w:rsidR="00CD327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FA2842">
        <w:rPr>
          <w:rFonts w:ascii="CIDFont+F2" w:hAnsi="CIDFont+F2" w:cs="CIDFont+F2"/>
          <w:color w:val="000000"/>
          <w:sz w:val="24"/>
          <w:szCs w:val="24"/>
          <w:lang w:val="en-GB"/>
        </w:rPr>
        <w:t>Seeing that</w:t>
      </w:r>
      <w:r w:rsidR="004E0D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>the EU transpose</w:t>
      </w:r>
      <w:r w:rsidR="00FA2842">
        <w:rPr>
          <w:rFonts w:ascii="CIDFont+F2" w:hAnsi="CIDFont+F2" w:cs="CIDFont+F2"/>
          <w:color w:val="000000"/>
          <w:sz w:val="24"/>
          <w:szCs w:val="24"/>
          <w:lang w:val="en-GB"/>
        </w:rPr>
        <w:t>d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various political achievements </w:t>
      </w:r>
      <w:proofErr w:type="gramStart"/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>in the area of</w:t>
      </w:r>
      <w:proofErr w:type="gramEnd"/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FA2842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direct 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>taxation in</w:t>
      </w:r>
      <w:r w:rsidR="00FA2842">
        <w:rPr>
          <w:rFonts w:ascii="CIDFont+F2" w:hAnsi="CIDFont+F2" w:cs="CIDFont+F2"/>
          <w:color w:val="000000"/>
          <w:sz w:val="24"/>
          <w:szCs w:val="24"/>
          <w:lang w:val="en-GB"/>
        </w:rPr>
        <w:t>to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binding European law (directives</w:t>
      </w:r>
      <w:r w:rsidR="00FA2842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mostly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>), we believe that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>, on an EU level,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a common </w:t>
      </w:r>
      <w:r w:rsidRPr="00EE5913" w:rsidR="00895C3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starting point for tax decluttering actions should focus on the EU </w:t>
      </w:r>
      <w:r w:rsidRPr="00EE5913">
        <w:rPr>
          <w:rFonts w:ascii="CIDFont+F2" w:hAnsi="CIDFont+F2" w:cs="CIDFont+F2"/>
          <w:color w:val="000000"/>
          <w:sz w:val="24"/>
          <w:szCs w:val="24"/>
          <w:lang w:val="en-GB"/>
        </w:rPr>
        <w:t>direct tax acquis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</w:t>
      </w:r>
      <w:r w:rsidRPr="00EE5913" w:rsidR="00895C39">
        <w:rPr>
          <w:rFonts w:ascii="CIDFont+F2" w:hAnsi="CIDFont+F2" w:cs="CIDFont+F2"/>
          <w:color w:val="000000"/>
          <w:sz w:val="24"/>
          <w:szCs w:val="24"/>
          <w:lang w:val="en-GB"/>
        </w:rPr>
        <w:t>first</w:t>
      </w:r>
      <w:r w:rsidRPr="00047A26" w:rsidR="004E0DE0">
        <w:rPr>
          <w:rFonts w:ascii="CIDFont+F2" w:hAnsi="CIDFont+F2" w:cs="CIDFont+F2"/>
          <w:color w:val="000000"/>
          <w:sz w:val="24"/>
          <w:szCs w:val="24"/>
          <w:lang w:val="en-GB"/>
        </w:rPr>
        <w:t>.</w:t>
      </w:r>
      <w:r w:rsidR="004E0D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CD327C">
        <w:rPr>
          <w:rFonts w:ascii="CIDFont+F2" w:hAnsi="CIDFont+F2" w:cs="CIDFont+F2"/>
          <w:color w:val="000000"/>
          <w:sz w:val="24"/>
          <w:szCs w:val="24"/>
          <w:lang w:val="en-GB"/>
        </w:rPr>
        <w:t>W</w:t>
      </w:r>
      <w:r w:rsidR="00AA686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ith the aim of 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swiftly </w:t>
      </w:r>
      <w:r w:rsidR="00AA686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initiating </w:t>
      </w:r>
      <w:r w:rsidR="00CD327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and streamlining 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>the process</w:t>
      </w:r>
      <w:r w:rsidR="00A02CE0">
        <w:rPr>
          <w:rFonts w:ascii="CIDFont+F2" w:hAnsi="CIDFont+F2" w:cs="CIDFont+F2"/>
          <w:color w:val="000000"/>
          <w:sz w:val="24"/>
          <w:szCs w:val="24"/>
          <w:lang w:val="en-GB"/>
        </w:rPr>
        <w:t>,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we propose </w:t>
      </w:r>
      <w:r w:rsidR="0078588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to adopt a </w:t>
      </w:r>
      <w:r w:rsidRPr="00580C89" w:rsidR="00785886">
        <w:rPr>
          <w:rFonts w:ascii="CIDFont+F2" w:hAnsi="CIDFont+F2" w:cs="CIDFont+F2"/>
          <w:b/>
          <w:color w:val="000000"/>
          <w:sz w:val="24"/>
          <w:szCs w:val="24"/>
          <w:lang w:val="en-GB"/>
        </w:rPr>
        <w:t>bottom-up approach</w:t>
      </w:r>
      <w:r w:rsidRPr="0070524B" w:rsidR="0078588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</w:t>
      </w:r>
      <w:r w:rsidR="0078588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where </w:t>
      </w:r>
      <w:r w:rsidR="005124DA">
        <w:rPr>
          <w:rFonts w:ascii="CIDFont+F2" w:hAnsi="CIDFont+F2" w:cs="CIDFont+F2"/>
          <w:color w:val="000000"/>
          <w:sz w:val="24"/>
          <w:szCs w:val="24"/>
          <w:lang w:val="en-GB"/>
        </w:rPr>
        <w:t>M</w:t>
      </w:r>
      <w:r w:rsidRPr="00EE5913" w:rsidR="005124D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ember </w:t>
      </w:r>
      <w:r w:rsidR="005124DA">
        <w:rPr>
          <w:rFonts w:ascii="CIDFont+F2" w:hAnsi="CIDFont+F2" w:cs="CIDFont+F2"/>
          <w:color w:val="000000"/>
          <w:sz w:val="24"/>
          <w:szCs w:val="24"/>
          <w:lang w:val="en-GB"/>
        </w:rPr>
        <w:t>S</w:t>
      </w:r>
      <w:r w:rsidRPr="00EE5913" w:rsidR="00785886">
        <w:rPr>
          <w:rFonts w:ascii="CIDFont+F2" w:hAnsi="CIDFont+F2" w:cs="CIDFont+F2"/>
          <w:color w:val="000000"/>
          <w:sz w:val="24"/>
          <w:szCs w:val="24"/>
          <w:lang w:val="en-GB"/>
        </w:rPr>
        <w:t>tates</w:t>
      </w:r>
      <w:r w:rsidRPr="0070524B" w:rsidR="0078588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can </w:t>
      </w:r>
      <w:r w:rsidR="00FA2842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provide technical input </w:t>
      </w:r>
      <w:r w:rsidR="0078588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with an emphasis on open discussions among </w:t>
      </w:r>
      <w:r w:rsidR="00AE489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respective </w:t>
      </w:r>
      <w:r w:rsidR="00CD327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technical </w:t>
      </w:r>
      <w:r w:rsidR="00785886">
        <w:rPr>
          <w:rFonts w:ascii="CIDFont+F2" w:hAnsi="CIDFont+F2" w:cs="CIDFont+F2"/>
          <w:color w:val="000000"/>
          <w:sz w:val="24"/>
          <w:szCs w:val="24"/>
          <w:lang w:val="en-GB"/>
        </w:rPr>
        <w:t>experts</w:t>
      </w:r>
      <w:r w:rsidRPr="0070524B" w:rsidR="00785886">
        <w:rPr>
          <w:rFonts w:ascii="CIDFont+F2" w:hAnsi="CIDFont+F2" w:cs="CIDFont+F2"/>
          <w:color w:val="000000"/>
          <w:sz w:val="24"/>
          <w:szCs w:val="24"/>
          <w:lang w:val="en-GB"/>
        </w:rPr>
        <w:t>.</w:t>
      </w:r>
      <w:r w:rsidR="00CD327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While fully appreciating the 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political dimension of the tax decluttering </w:t>
      </w:r>
      <w:r w:rsidR="00A02C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workstream 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in the overall decluttering framework, </w:t>
      </w:r>
      <w:r w:rsidR="00CD327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we </w:t>
      </w:r>
      <w:r w:rsidR="00895C3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view it as important </w:t>
      </w:r>
      <w:r w:rsidR="00CD327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that </w:t>
      </w:r>
      <w:r w:rsidRPr="00580C89" w:rsidR="00CD327C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adequate time </w:t>
      </w:r>
      <w:r w:rsidR="009D7DE1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for </w:t>
      </w:r>
      <w:r w:rsidRPr="00580C89" w:rsidR="00CD327C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broad </w:t>
      </w:r>
      <w:r w:rsidR="005124DA">
        <w:rPr>
          <w:rFonts w:ascii="CIDFont+F2" w:hAnsi="CIDFont+F2" w:cs="CIDFont+F2"/>
          <w:b/>
          <w:color w:val="000000"/>
          <w:sz w:val="24"/>
          <w:szCs w:val="24"/>
          <w:lang w:val="en-GB"/>
        </w:rPr>
        <w:t>M</w:t>
      </w:r>
      <w:r w:rsidRPr="00580C89" w:rsidR="00CD327C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ember </w:t>
      </w:r>
      <w:r w:rsidR="005124DA">
        <w:rPr>
          <w:rFonts w:ascii="CIDFont+F2" w:hAnsi="CIDFont+F2" w:cs="CIDFont+F2"/>
          <w:b/>
          <w:color w:val="000000"/>
          <w:sz w:val="24"/>
          <w:szCs w:val="24"/>
          <w:lang w:val="en-GB"/>
        </w:rPr>
        <w:t>S</w:t>
      </w:r>
      <w:r w:rsidRPr="00580C89" w:rsidR="00CD327C">
        <w:rPr>
          <w:rFonts w:ascii="CIDFont+F2" w:hAnsi="CIDFont+F2" w:cs="CIDFont+F2"/>
          <w:b/>
          <w:color w:val="000000"/>
          <w:sz w:val="24"/>
          <w:szCs w:val="24"/>
          <w:lang w:val="en-GB"/>
        </w:rPr>
        <w:t>tate engagement</w:t>
      </w:r>
      <w:r w:rsidR="00CD327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9D7DE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is provided </w:t>
      </w:r>
      <w:proofErr w:type="gramStart"/>
      <w:r w:rsidR="009D7DE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in order </w:t>
      </w:r>
      <w:r w:rsidR="00900391">
        <w:rPr>
          <w:rFonts w:ascii="CIDFont+F2" w:hAnsi="CIDFont+F2" w:cs="CIDFont+F2"/>
          <w:color w:val="000000"/>
          <w:sz w:val="24"/>
          <w:szCs w:val="24"/>
          <w:lang w:val="en-GB"/>
        </w:rPr>
        <w:t>to</w:t>
      </w:r>
      <w:proofErr w:type="gramEnd"/>
      <w:r w:rsidR="0090039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9D7DE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reach </w:t>
      </w:r>
      <w:r w:rsidR="00E072D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higher acceptance and </w:t>
      </w:r>
      <w:r w:rsidR="0090039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 best basis for </w:t>
      </w:r>
      <w:r w:rsidR="00A02CE0">
        <w:rPr>
          <w:rFonts w:ascii="CIDFont+F2" w:hAnsi="CIDFont+F2" w:cs="CIDFont+F2"/>
          <w:color w:val="000000"/>
          <w:sz w:val="24"/>
          <w:szCs w:val="24"/>
          <w:lang w:val="en-GB"/>
        </w:rPr>
        <w:t>these actions.</w:t>
      </w:r>
      <w:r w:rsidR="00D5008F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In our view, tax decluttering should</w:t>
      </w:r>
      <w:r w:rsidR="00C85F8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be a priority for the </w:t>
      </w:r>
      <w:r w:rsidR="00D5008F">
        <w:rPr>
          <w:rFonts w:ascii="CIDFont+F2" w:hAnsi="CIDFont+F2" w:cs="CIDFont+F2"/>
          <w:color w:val="000000"/>
          <w:sz w:val="24"/>
          <w:szCs w:val="24"/>
          <w:lang w:val="en-GB"/>
        </w:rPr>
        <w:t>other proposals which are currently in Council</w:t>
      </w:r>
      <w:r w:rsidR="006A33C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for some time now</w:t>
      </w:r>
      <w:r w:rsidR="00D5008F">
        <w:rPr>
          <w:rFonts w:ascii="CIDFont+F2" w:hAnsi="CIDFont+F2" w:cs="CIDFont+F2"/>
          <w:color w:val="000000"/>
          <w:sz w:val="24"/>
          <w:szCs w:val="24"/>
          <w:lang w:val="en-GB"/>
        </w:rPr>
        <w:t>.</w:t>
      </w:r>
    </w:p>
    <w:p w:rsidR="00C85F84" w:rsidP="00895C39" w:rsidRDefault="00C85F84" w14:paraId="3C7B6BF6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="004E3AF7" w:rsidP="00C85F84" w:rsidRDefault="00C85F84" w14:paraId="22229C5F" w14:textId="6F0AA0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 w:rsidRPr="00515DDB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>The Global Minimum Tax should be the starting point.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W</w:t>
      </w:r>
      <w:r w:rsidR="004E3AF7">
        <w:rPr>
          <w:rFonts w:ascii="CIDFont+F2" w:hAnsi="CIDFont+F2" w:cs="CIDFont+F2"/>
          <w:color w:val="000000"/>
          <w:sz w:val="24"/>
          <w:szCs w:val="24"/>
          <w:lang w:val="en-GB"/>
        </w:rPr>
        <w:t>e view</w:t>
      </w:r>
      <w:r w:rsidR="0078588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6001D3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 introduction of the </w:t>
      </w:r>
      <w:r w:rsidRPr="00326AA1" w:rsidR="006001D3">
        <w:rPr>
          <w:rFonts w:ascii="CIDFont+F2" w:hAnsi="CIDFont+F2" w:cs="CIDFont+F2"/>
          <w:color w:val="000000"/>
          <w:sz w:val="24"/>
          <w:szCs w:val="24"/>
          <w:lang w:val="en-GB"/>
        </w:rPr>
        <w:t>global effective minimum tax</w:t>
      </w:r>
      <w:r w:rsidRPr="00580C89" w:rsidR="006001D3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</w:t>
      </w:r>
      <w:r w:rsidRPr="00EE5913" w:rsidR="00580C8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(GMT) </w:t>
      </w:r>
      <w:r w:rsidRPr="00EE5913" w:rsidR="0078588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in the EU as a </w:t>
      </w:r>
      <w:r w:rsidRPr="00EE5913" w:rsidR="009D7DE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particularly </w:t>
      </w:r>
      <w:r w:rsidRPr="00EE5913" w:rsidR="0078588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good starting point for </w:t>
      </w:r>
      <w:r w:rsidRPr="00EE5913" w:rsidR="00AE489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 </w:t>
      </w:r>
      <w:r w:rsidRPr="00EE5913" w:rsidR="00A02C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technical </w:t>
      </w:r>
      <w:r w:rsidRPr="00EE5913" w:rsidR="00AE4894">
        <w:rPr>
          <w:rFonts w:ascii="CIDFont+F2" w:hAnsi="CIDFont+F2" w:cs="CIDFont+F2"/>
          <w:color w:val="000000"/>
          <w:sz w:val="24"/>
          <w:szCs w:val="24"/>
          <w:lang w:val="en-GB"/>
        </w:rPr>
        <w:t>analysis</w:t>
      </w:r>
      <w:r w:rsidRPr="00047A26" w:rsidR="00AE4894">
        <w:rPr>
          <w:rFonts w:ascii="CIDFont+F2" w:hAnsi="CIDFont+F2" w:cs="CIDFont+F2"/>
          <w:color w:val="000000"/>
          <w:sz w:val="24"/>
          <w:szCs w:val="24"/>
          <w:lang w:val="en-GB"/>
        </w:rPr>
        <w:t>.</w:t>
      </w:r>
      <w:r w:rsidR="00AE489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We agree</w:t>
      </w:r>
      <w:r w:rsidR="00A02C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that the new provisions will secure a broad level of protection against harmful tax competition and aggressive tax planning. At the same</w:t>
      </w:r>
      <w:r w:rsidR="009D7DE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time</w:t>
      </w:r>
      <w:r w:rsidR="00A02C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</w:t>
      </w:r>
      <w:r w:rsidR="009D7DE1">
        <w:rPr>
          <w:rFonts w:ascii="CIDFont+F2" w:hAnsi="CIDFont+F2" w:cs="CIDFont+F2"/>
          <w:color w:val="000000"/>
          <w:sz w:val="24"/>
          <w:szCs w:val="24"/>
          <w:lang w:val="en-GB"/>
        </w:rPr>
        <w:t>the GMT</w:t>
      </w:r>
      <w:r w:rsidR="00A02C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9D7DE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has certain </w:t>
      </w:r>
      <w:r w:rsidR="00A02CE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overlaps </w:t>
      </w:r>
      <w:r w:rsidR="009D7DE1">
        <w:rPr>
          <w:rFonts w:ascii="CIDFont+F2" w:hAnsi="CIDFont+F2" w:cs="CIDFont+F2"/>
          <w:color w:val="000000"/>
          <w:sz w:val="24"/>
          <w:szCs w:val="24"/>
          <w:lang w:val="en-GB"/>
        </w:rPr>
        <w:t>with existing provisions</w:t>
      </w:r>
      <w:r w:rsidR="00A02CE0">
        <w:rPr>
          <w:rFonts w:ascii="CIDFont+F2" w:hAnsi="CIDFont+F2" w:cs="CIDFont+F2"/>
          <w:color w:val="000000"/>
          <w:sz w:val="24"/>
          <w:szCs w:val="24"/>
          <w:lang w:val="en-GB"/>
        </w:rPr>
        <w:t>.</w:t>
      </w:r>
      <w:r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9265EB">
        <w:rPr>
          <w:rFonts w:ascii="CIDFont+F2" w:hAnsi="CIDFont+F2" w:cs="CIDFont+F2"/>
          <w:color w:val="000000"/>
          <w:sz w:val="24"/>
          <w:szCs w:val="24"/>
          <w:lang w:val="en-GB"/>
        </w:rPr>
        <w:t>Primarily</w:t>
      </w:r>
      <w:r w:rsidR="00780EA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we see </w:t>
      </w:r>
      <w:r w:rsidRPr="00326AA1" w:rsidR="00780EA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broad potential for </w:t>
      </w:r>
      <w:r w:rsidRPr="00EE5913" w:rsidR="00780EAD">
        <w:rPr>
          <w:rFonts w:ascii="CIDFont+F2" w:hAnsi="CIDFont+F2" w:cs="CIDFont+F2"/>
          <w:b/>
          <w:color w:val="000000"/>
          <w:sz w:val="24"/>
          <w:szCs w:val="24"/>
          <w:lang w:val="en-GB"/>
        </w:rPr>
        <w:t>simplification</w:t>
      </w:r>
      <w:r w:rsidRPr="00326AA1" w:rsidR="00780EA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E87F42" w:rsidR="00780EAD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within the system of the </w:t>
      </w:r>
      <w:r w:rsidRPr="00E87F42" w:rsid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>GMT</w:t>
      </w:r>
      <w:r w:rsidRPr="00326AA1" w:rsidR="00780EA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</w:t>
      </w:r>
      <w:r w:rsidR="009265EB">
        <w:rPr>
          <w:rFonts w:ascii="CIDFont+F2" w:hAnsi="CIDFont+F2" w:cs="CIDFont+F2"/>
          <w:color w:val="000000"/>
          <w:sz w:val="24"/>
          <w:szCs w:val="24"/>
          <w:lang w:val="en-GB"/>
        </w:rPr>
        <w:t>W</w:t>
      </w:r>
      <w:r w:rsidRPr="00326AA1" w:rsidR="00780EA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e support a collective engagement for </w:t>
      </w:r>
      <w:r w:rsidR="009265EB">
        <w:rPr>
          <w:rFonts w:ascii="CIDFont+F2" w:hAnsi="CIDFont+F2" w:cs="CIDFont+F2"/>
          <w:color w:val="000000"/>
          <w:sz w:val="24"/>
          <w:szCs w:val="24"/>
          <w:lang w:val="en-GB"/>
        </w:rPr>
        <w:t>p</w:t>
      </w:r>
      <w:r w:rsidRPr="00326AA1" w:rsidR="00780EA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ermanent </w:t>
      </w:r>
      <w:r w:rsidR="009265EB">
        <w:rPr>
          <w:rFonts w:ascii="CIDFont+F2" w:hAnsi="CIDFont+F2" w:cs="CIDFont+F2"/>
          <w:color w:val="000000"/>
          <w:sz w:val="24"/>
          <w:szCs w:val="24"/>
          <w:lang w:val="en-GB"/>
        </w:rPr>
        <w:t>s</w:t>
      </w:r>
      <w:r w:rsidRPr="00326AA1" w:rsidR="00780EA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implification beyond the transitional phase as well as the continuous work on interpretative </w:t>
      </w:r>
      <w:r w:rsidRPr="00326AA1" w:rsidR="009265EB">
        <w:rPr>
          <w:rFonts w:ascii="CIDFont+F2" w:hAnsi="CIDFont+F2" w:cs="CIDFont+F2"/>
          <w:color w:val="000000"/>
          <w:sz w:val="24"/>
          <w:szCs w:val="24"/>
          <w:lang w:val="en-GB"/>
        </w:rPr>
        <w:t>guidance</w:t>
      </w:r>
      <w:r w:rsidRPr="00326AA1" w:rsidR="00780EA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that add more clarity</w:t>
      </w:r>
      <w:r w:rsidRPr="00326AA1" w:rsidR="00DA3CB9">
        <w:rPr>
          <w:rFonts w:ascii="CIDFont+F2" w:hAnsi="CIDFont+F2" w:cs="CIDFont+F2"/>
          <w:color w:val="000000"/>
          <w:sz w:val="24"/>
          <w:szCs w:val="24"/>
          <w:lang w:val="en-GB"/>
        </w:rPr>
        <w:t>.</w:t>
      </w:r>
      <w:r w:rsidRPr="00326AA1" w:rsidR="00780EA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>This simplification should (first) also take place at the level of the IF/OECD.</w:t>
      </w:r>
      <w:r w:rsidR="00F0349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We see merit in collectively advocating for simplification.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Secondly, we see the need to </w:t>
      </w:r>
      <w:r w:rsidRPr="00EE5913">
        <w:rPr>
          <w:rFonts w:ascii="CIDFont+F2" w:hAnsi="CIDFont+F2" w:cs="CIDFont+F2"/>
          <w:b/>
          <w:color w:val="000000"/>
          <w:sz w:val="24"/>
          <w:szCs w:val="24"/>
          <w:lang w:val="en-GB"/>
        </w:rPr>
        <w:t>simplify rules that overlap with the GMT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>.</w:t>
      </w:r>
    </w:p>
    <w:p w:rsidR="00C85F84" w:rsidP="00C85F84" w:rsidRDefault="00C85F84" w14:paraId="24D5BBE9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Pr="00A40092" w:rsidR="004E3AF7" w:rsidP="00515DDB" w:rsidRDefault="00A40092" w14:paraId="3696937D" w14:textId="05C475B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For reducing the administrative burden in </w:t>
      </w:r>
      <w:r w:rsidRPr="00A40092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relation to </w:t>
      </w:r>
      <w:r w:rsidRPr="00515DDB">
        <w:rPr>
          <w:rFonts w:ascii="CIDFont+F2" w:hAnsi="CIDFont+F2" w:cs="CIDFont+F2"/>
          <w:color w:val="000000"/>
          <w:sz w:val="24"/>
          <w:szCs w:val="24"/>
          <w:lang w:val="en-GB"/>
        </w:rPr>
        <w:t>the EU direct tax acquis,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</w:t>
      </w:r>
      <w:r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we need to take a critical look at our tax systems and make an honest attempt to declutter by </w:t>
      </w:r>
    </w:p>
    <w:p w:rsidR="004E3AF7" w:rsidP="004E3AF7" w:rsidRDefault="00EB6AB1" w14:paraId="49A504F1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lastRenderedPageBreak/>
        <w:t>S</w:t>
      </w:r>
      <w:r w:rsidRPr="00785886" w:rsidR="004E3AF7">
        <w:rPr>
          <w:rFonts w:ascii="CIDFont+F2" w:hAnsi="CIDFont+F2" w:cs="CIDFont+F2"/>
          <w:color w:val="000000"/>
          <w:sz w:val="24"/>
          <w:szCs w:val="24"/>
          <w:lang w:val="en-GB"/>
        </w:rPr>
        <w:t>treamlining overly broad provisions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and procedures</w:t>
      </w:r>
      <w:r w:rsidRPr="00785886"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</w:t>
      </w:r>
    </w:p>
    <w:p w:rsidRPr="0082528E" w:rsidR="004E3AF7" w:rsidP="004E3AF7" w:rsidRDefault="00EB6AB1" w14:paraId="5ABB65EB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>C</w:t>
      </w:r>
      <w:r w:rsidRPr="003B56A2" w:rsidR="004E3AF7">
        <w:rPr>
          <w:rFonts w:ascii="CIDFont+F2" w:hAnsi="CIDFont+F2" w:cs="CIDFont+F2"/>
          <w:color w:val="000000"/>
          <w:sz w:val="24"/>
          <w:szCs w:val="24"/>
          <w:lang w:val="en-GB"/>
        </w:rPr>
        <w:t>ontribut</w:t>
      </w:r>
      <w:r w:rsidR="004E3AF7">
        <w:rPr>
          <w:rFonts w:ascii="CIDFont+F2" w:hAnsi="CIDFont+F2" w:cs="CIDFont+F2"/>
          <w:color w:val="000000"/>
          <w:sz w:val="24"/>
          <w:szCs w:val="24"/>
          <w:lang w:val="en-GB"/>
        </w:rPr>
        <w:t>ing</w:t>
      </w:r>
      <w:r w:rsidRPr="003B56A2"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to more clarity by creating targeted and coordinated interpretative </w:t>
      </w:r>
      <w:r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and explanatory </w:t>
      </w:r>
      <w:r w:rsidRPr="003B56A2" w:rsidR="004E3AF7">
        <w:rPr>
          <w:rFonts w:ascii="CIDFont+F2" w:hAnsi="CIDFont+F2" w:cs="CIDFont+F2"/>
          <w:color w:val="000000"/>
          <w:sz w:val="24"/>
          <w:szCs w:val="24"/>
          <w:lang w:val="en-GB"/>
        </w:rPr>
        <w:t>guidance</w:t>
      </w:r>
      <w:r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3B56A2" w:rsidR="004E3AF7">
        <w:rPr>
          <w:rFonts w:ascii="CIDFont+F2" w:hAnsi="CIDFont+F2" w:cs="CIDFont+F2"/>
          <w:color w:val="000000"/>
          <w:sz w:val="24"/>
          <w:szCs w:val="24"/>
          <w:lang w:val="en-GB"/>
        </w:rPr>
        <w:t>on existing provision</w:t>
      </w:r>
      <w:r w:rsidR="004E3AF7">
        <w:rPr>
          <w:rFonts w:ascii="CIDFont+F2" w:hAnsi="CIDFont+F2" w:cs="CIDFont+F2"/>
          <w:color w:val="000000"/>
          <w:sz w:val="24"/>
          <w:szCs w:val="24"/>
          <w:lang w:val="en-GB"/>
        </w:rPr>
        <w:t>s,</w:t>
      </w:r>
    </w:p>
    <w:p w:rsidR="004E3AF7" w:rsidP="004E3AF7" w:rsidRDefault="00AF04CD" w14:paraId="6241D670" w14:textId="51BAD68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>Identify and a</w:t>
      </w:r>
      <w:r w:rsidR="007D4E94">
        <w:rPr>
          <w:rFonts w:ascii="CIDFont+F2" w:hAnsi="CIDFont+F2" w:cs="CIDFont+F2"/>
          <w:color w:val="000000"/>
          <w:sz w:val="24"/>
          <w:szCs w:val="24"/>
          <w:lang w:val="en-GB"/>
        </w:rPr>
        <w:t>bolish</w:t>
      </w:r>
      <w:r w:rsidR="00995A3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A31B87">
        <w:rPr>
          <w:rFonts w:ascii="CIDFont+F2" w:hAnsi="CIDFont+F2" w:cs="CIDFont+F2"/>
          <w:color w:val="000000"/>
          <w:sz w:val="24"/>
          <w:szCs w:val="24"/>
          <w:lang w:val="en-GB"/>
        </w:rPr>
        <w:t>overlapping</w:t>
      </w:r>
      <w:r w:rsidRPr="003B56A2" w:rsidR="00A31B8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3B56A2" w:rsidR="004E3AF7">
        <w:rPr>
          <w:rFonts w:ascii="CIDFont+F2" w:hAnsi="CIDFont+F2" w:cs="CIDFont+F2"/>
          <w:color w:val="000000"/>
          <w:sz w:val="24"/>
          <w:szCs w:val="24"/>
          <w:lang w:val="en-GB"/>
        </w:rPr>
        <w:t>standards,</w:t>
      </w:r>
    </w:p>
    <w:p w:rsidR="004E3AF7" w:rsidP="004E3AF7" w:rsidRDefault="00EB6AB1" w14:paraId="12CC8060" w14:textId="07C4943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Coordinating </w:t>
      </w:r>
      <w:r w:rsidR="00CB11D9">
        <w:rPr>
          <w:rFonts w:ascii="CIDFont+F2" w:hAnsi="CIDFont+F2" w:cs="CIDFont+F2"/>
          <w:color w:val="000000"/>
          <w:sz w:val="24"/>
          <w:szCs w:val="24"/>
          <w:lang w:val="en-GB"/>
        </w:rPr>
        <w:t>and improv</w:t>
      </w:r>
      <w:r w:rsidR="00A31B87">
        <w:rPr>
          <w:rFonts w:ascii="CIDFont+F2" w:hAnsi="CIDFont+F2" w:cs="CIDFont+F2"/>
          <w:color w:val="000000"/>
          <w:sz w:val="24"/>
          <w:szCs w:val="24"/>
          <w:lang w:val="en-GB"/>
        </w:rPr>
        <w:t>ing</w:t>
      </w:r>
      <w:r w:rsidR="00CB11D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effectiveness of</w:t>
      </w:r>
      <w:r w:rsidRPr="00785886"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existing regulations</w:t>
      </w:r>
      <w:r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and procedures</w:t>
      </w:r>
      <w:r w:rsidRPr="00785886"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>and</w:t>
      </w:r>
    </w:p>
    <w:p w:rsidRPr="00785886" w:rsidR="004E3AF7" w:rsidP="004E3AF7" w:rsidRDefault="00EB6AB1" w14:paraId="4A6595C0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>E</w:t>
      </w:r>
      <w:r w:rsidRPr="00785886" w:rsidR="004E3AF7">
        <w:rPr>
          <w:rFonts w:ascii="CIDFont+F2" w:hAnsi="CIDFont+F2" w:cs="CIDFont+F2"/>
          <w:color w:val="000000"/>
          <w:sz w:val="24"/>
          <w:szCs w:val="24"/>
          <w:lang w:val="en-GB"/>
        </w:rPr>
        <w:t>valuat</w:t>
      </w:r>
      <w:r w:rsidR="004E3AF7">
        <w:rPr>
          <w:rFonts w:ascii="CIDFont+F2" w:hAnsi="CIDFont+F2" w:cs="CIDFont+F2"/>
          <w:color w:val="000000"/>
          <w:sz w:val="24"/>
          <w:szCs w:val="24"/>
          <w:lang w:val="en-GB"/>
        </w:rPr>
        <w:t>ing</w:t>
      </w:r>
      <w:r w:rsidRPr="00785886"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prospective legislative </w:t>
      </w:r>
      <w:r w:rsidR="004E3AF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proposals </w:t>
      </w:r>
    </w:p>
    <w:p w:rsidR="00BE0FAF" w:rsidP="003B543D" w:rsidRDefault="00BE0FAF" w14:paraId="362ECD67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Pr="00515DDB" w:rsidR="00BE0FAF" w:rsidP="00515DDB" w:rsidRDefault="00BE0FAF" w14:paraId="3C8ABC6A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</w:pPr>
      <w:r w:rsidRPr="00515DDB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Streamline overly broad provisions</w:t>
      </w:r>
      <w:r w:rsidRPr="00515DDB" w:rsidR="008F13AF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 xml:space="preserve"> and </w:t>
      </w:r>
      <w:r w:rsidRPr="00515DDB" w:rsidR="004E3AF7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procedures</w:t>
      </w:r>
    </w:p>
    <w:p w:rsidRPr="00515DDB" w:rsidR="00BE0FAF" w:rsidP="00515DDB" w:rsidRDefault="00BE0FAF" w14:paraId="316AF9BD" w14:textId="65445F4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  <w:lang w:val="en-GB"/>
        </w:rPr>
      </w:pPr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As an overall point, we observe that the agreed text of some directives may allow for diverging interpretations and procedural transpositions in different member states. </w:t>
      </w:r>
      <w:proofErr w:type="gramStart"/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>In light of</w:t>
      </w:r>
      <w:proofErr w:type="gramEnd"/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tax decluttering, we would like to </w:t>
      </w:r>
      <w:r w:rsidRPr="00515DDB">
        <w:rPr>
          <w:rFonts w:ascii="CIDFont+F1" w:hAnsi="CIDFont+F1" w:cs="CIDFont+F1"/>
          <w:b/>
          <w:color w:val="000000"/>
          <w:sz w:val="24"/>
          <w:szCs w:val="24"/>
          <w:lang w:val="en-GB"/>
        </w:rPr>
        <w:t xml:space="preserve">encourage </w:t>
      </w:r>
      <w:r w:rsidR="00B31402">
        <w:rPr>
          <w:rFonts w:ascii="CIDFont+F1" w:hAnsi="CIDFont+F1" w:cs="CIDFont+F1"/>
          <w:b/>
          <w:color w:val="000000"/>
          <w:sz w:val="24"/>
          <w:szCs w:val="24"/>
          <w:lang w:val="en-GB"/>
        </w:rPr>
        <w:t>a discussion platform</w:t>
      </w:r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that </w:t>
      </w:r>
      <w:r w:rsidR="00B31402">
        <w:rPr>
          <w:rFonts w:ascii="CIDFont+F1" w:hAnsi="CIDFont+F1" w:cs="CIDFont+F1"/>
          <w:color w:val="000000"/>
          <w:sz w:val="24"/>
          <w:szCs w:val="24"/>
          <w:lang w:val="en-GB"/>
        </w:rPr>
        <w:t>allow</w:t>
      </w:r>
      <w:r w:rsidR="00AF04CD">
        <w:rPr>
          <w:rFonts w:ascii="CIDFont+F1" w:hAnsi="CIDFont+F1" w:cs="CIDFont+F1"/>
          <w:color w:val="000000"/>
          <w:sz w:val="24"/>
          <w:szCs w:val="24"/>
          <w:lang w:val="en-GB"/>
        </w:rPr>
        <w:t>s</w:t>
      </w:r>
      <w:r w:rsidR="00B31402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for providing further guidance </w:t>
      </w:r>
      <w:r w:rsidRPr="00515DDB">
        <w:rPr>
          <w:rFonts w:ascii="CIDFont+F1" w:hAnsi="CIDFont+F1" w:cs="CIDFont+F1"/>
          <w:b/>
          <w:color w:val="000000"/>
          <w:sz w:val="24"/>
          <w:szCs w:val="24"/>
          <w:lang w:val="en-GB"/>
        </w:rPr>
        <w:t>beyond the pure agreement of material provisions</w:t>
      </w:r>
      <w:r w:rsidR="00B31402">
        <w:rPr>
          <w:rFonts w:ascii="CIDFont+F1" w:hAnsi="CIDFont+F1" w:cs="CIDFont+F1"/>
          <w:b/>
          <w:color w:val="000000"/>
          <w:sz w:val="24"/>
          <w:szCs w:val="24"/>
          <w:lang w:val="en-GB"/>
        </w:rPr>
        <w:t xml:space="preserve">. </w:t>
      </w:r>
      <w:r w:rsidRPr="00515DDB" w:rsidR="00B31402">
        <w:rPr>
          <w:rFonts w:ascii="CIDFont+F1" w:hAnsi="CIDFont+F1" w:cs="CIDFont+F1"/>
          <w:bCs/>
          <w:color w:val="000000"/>
          <w:sz w:val="24"/>
          <w:szCs w:val="24"/>
          <w:lang w:val="en-GB"/>
        </w:rPr>
        <w:t>This could include</w:t>
      </w:r>
      <w:r w:rsidR="00B31402">
        <w:rPr>
          <w:rFonts w:ascii="CIDFont+F1" w:hAnsi="CIDFont+F1" w:cs="CIDFont+F1"/>
          <w:b/>
          <w:color w:val="000000"/>
          <w:sz w:val="24"/>
          <w:szCs w:val="24"/>
          <w:lang w:val="en-GB"/>
        </w:rPr>
        <w:t xml:space="preserve"> </w:t>
      </w:r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common procedural and interpretative assistance </w:t>
      </w:r>
      <w:r w:rsidR="00B31402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and guidance </w:t>
      </w:r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>through a common forum</w:t>
      </w:r>
      <w:r w:rsidR="00B31402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(e.g. </w:t>
      </w:r>
      <w:r w:rsidR="00B31402">
        <w:rPr>
          <w:rFonts w:ascii="CIDFont+F2" w:hAnsi="CIDFont+F2" w:cs="CIDFont+F2"/>
          <w:color w:val="000000"/>
          <w:sz w:val="24"/>
          <w:szCs w:val="24"/>
          <w:lang w:val="en-GB"/>
        </w:rPr>
        <w:t>a</w:t>
      </w:r>
      <w:r w:rsidRPr="00C145BA" w:rsidR="00B31402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Council Working Group</w:t>
      </w:r>
      <w:r w:rsidR="00B31402">
        <w:rPr>
          <w:rFonts w:ascii="CIDFont+F2" w:hAnsi="CIDFont+F2" w:cs="CIDFont+F2"/>
          <w:color w:val="000000"/>
          <w:sz w:val="24"/>
          <w:szCs w:val="24"/>
          <w:lang w:val="en-GB"/>
        </w:rPr>
        <w:t>)</w:t>
      </w:r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for </w:t>
      </w:r>
      <w:r w:rsidR="005124DA">
        <w:rPr>
          <w:rFonts w:ascii="CIDFont+F1" w:hAnsi="CIDFont+F1" w:cs="CIDFont+F1"/>
          <w:color w:val="000000"/>
          <w:sz w:val="24"/>
          <w:szCs w:val="24"/>
          <w:lang w:val="en-GB"/>
        </w:rPr>
        <w:t>M</w:t>
      </w:r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ember </w:t>
      </w:r>
      <w:r w:rsidR="005124DA">
        <w:rPr>
          <w:rFonts w:ascii="CIDFont+F1" w:hAnsi="CIDFont+F1" w:cs="CIDFont+F1"/>
          <w:color w:val="000000"/>
          <w:sz w:val="24"/>
          <w:szCs w:val="24"/>
          <w:lang w:val="en-GB"/>
        </w:rPr>
        <w:t>S</w:t>
      </w:r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>tates to discuss and exchange views on interpretati</w:t>
      </w:r>
      <w:r w:rsidR="00285CFD">
        <w:rPr>
          <w:rFonts w:ascii="CIDFont+F1" w:hAnsi="CIDFont+F1" w:cs="CIDFont+F1"/>
          <w:color w:val="000000"/>
          <w:sz w:val="24"/>
          <w:szCs w:val="24"/>
          <w:lang w:val="en-GB"/>
        </w:rPr>
        <w:t>ve</w:t>
      </w:r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questions </w:t>
      </w:r>
      <w:r w:rsidR="00B366D7">
        <w:rPr>
          <w:rFonts w:ascii="CIDFont+F1" w:hAnsi="CIDFont+F1" w:cs="CIDFont+F1"/>
          <w:color w:val="000000"/>
          <w:sz w:val="24"/>
          <w:szCs w:val="24"/>
          <w:lang w:val="en-GB"/>
        </w:rPr>
        <w:t>during and especially</w:t>
      </w:r>
      <w:r w:rsidRPr="00515DDB" w:rsidR="00B366D7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</w:t>
      </w:r>
      <w:r w:rsidRPr="00515DDB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after the implementation phase of a direct tax directive. </w:t>
      </w:r>
    </w:p>
    <w:p w:rsidR="00BE0FAF" w:rsidP="003B543D" w:rsidRDefault="00BE0FAF" w14:paraId="6FFB8938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Pr="00515DDB" w:rsidR="00712CC9" w:rsidP="00515DDB" w:rsidRDefault="00712CC9" w14:paraId="1FCC2713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</w:pPr>
      <w:r w:rsidRPr="00515DDB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Contribute to more clarity</w:t>
      </w:r>
    </w:p>
    <w:p w:rsidRPr="0070524B" w:rsidR="00BE0FAF" w:rsidP="00BE0FAF" w:rsidRDefault="00BE0FAF" w14:paraId="33B9E893" w14:textId="5EBDFCD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Looking at the </w:t>
      </w:r>
      <w:r w:rsidRPr="00580C89">
        <w:rPr>
          <w:rFonts w:ascii="CIDFont+F1" w:hAnsi="CIDFont+F1" w:cs="CIDFont+F1"/>
          <w:b/>
          <w:color w:val="000000"/>
          <w:sz w:val="24"/>
          <w:szCs w:val="24"/>
          <w:lang w:val="en-GB"/>
        </w:rPr>
        <w:t>Anti-Tax-Avoidance-Di</w:t>
      </w:r>
      <w:r>
        <w:rPr>
          <w:rFonts w:ascii="CIDFont+F1" w:hAnsi="CIDFont+F1" w:cs="CIDFont+F1"/>
          <w:b/>
          <w:color w:val="000000"/>
          <w:sz w:val="24"/>
          <w:szCs w:val="24"/>
          <w:lang w:val="en-GB"/>
        </w:rPr>
        <w:t>r</w:t>
      </w:r>
      <w:r w:rsidRPr="00580C89">
        <w:rPr>
          <w:rFonts w:ascii="CIDFont+F1" w:hAnsi="CIDFont+F1" w:cs="CIDFont+F1"/>
          <w:b/>
          <w:color w:val="000000"/>
          <w:sz w:val="24"/>
          <w:szCs w:val="24"/>
          <w:lang w:val="en-GB"/>
        </w:rPr>
        <w:t>ective</w:t>
      </w:r>
      <w:r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(ATAD1 and ATAD2, herein referred to as ATAD), we have identified a broad potential for tax decluttering action. We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agree that there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are several ways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to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>accommodat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e both frameworks. On the 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>CFC rules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it appears reasonable to discuss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an alignment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on a 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>(common)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>level of taxation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first</w:t>
      </w:r>
      <w:r w:rsidR="00E2259E">
        <w:rPr>
          <w:rFonts w:ascii="CIDFont+F2" w:hAnsi="CIDFont+F2" w:cs="CIDFont+F2"/>
          <w:color w:val="000000"/>
          <w:sz w:val="24"/>
          <w:szCs w:val="24"/>
          <w:lang w:val="en-GB"/>
        </w:rPr>
        <w:t>, keeping in mind the level of protection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Secondly, </w:t>
      </w:r>
      <w:r w:rsidR="00175EB1">
        <w:rPr>
          <w:rFonts w:ascii="CIDFont+F2" w:hAnsi="CIDFont+F2" w:cs="CIDFont+F2"/>
          <w:color w:val="000000"/>
          <w:sz w:val="24"/>
          <w:szCs w:val="24"/>
          <w:lang w:val="en-GB"/>
        </w:rPr>
        <w:t>the scope</w:t>
      </w:r>
      <w:r w:rsidR="00EE5913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75653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of CFC </w:t>
      </w:r>
      <w:r w:rsidR="00EE5913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and the determination </w:t>
      </w:r>
      <w:r w:rsidR="00175EB1">
        <w:rPr>
          <w:rFonts w:ascii="CIDFont+F2" w:hAnsi="CIDFont+F2" w:cs="CIDFont+F2"/>
          <w:color w:val="000000"/>
          <w:sz w:val="24"/>
          <w:szCs w:val="24"/>
          <w:lang w:val="en-GB"/>
        </w:rPr>
        <w:t>of the CFC tax base</w:t>
      </w:r>
      <w:r w:rsidR="009F0C6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75653D">
        <w:rPr>
          <w:rFonts w:ascii="CIDFont+F2" w:hAnsi="CIDFont+F2" w:cs="CIDFont+F2"/>
          <w:color w:val="000000"/>
          <w:sz w:val="24"/>
          <w:szCs w:val="24"/>
          <w:lang w:val="en-GB"/>
        </w:rPr>
        <w:t>should form a central part of the discussion</w:t>
      </w:r>
      <w:r w:rsidR="009F0C6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A tax base </w:t>
      </w:r>
      <w:r w:rsidR="0075653D">
        <w:rPr>
          <w:rFonts w:ascii="CIDFont+F2" w:hAnsi="CIDFont+F2" w:cs="CIDFont+F2"/>
          <w:color w:val="000000"/>
          <w:sz w:val="24"/>
          <w:szCs w:val="24"/>
          <w:lang w:val="en-GB"/>
        </w:rPr>
        <w:t>that</w:t>
      </w:r>
      <w:r w:rsidR="00C3243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targets abuse more effectively </w:t>
      </w:r>
      <w:r w:rsidR="009F0C6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may then merit discussions on </w:t>
      </w:r>
      <w:r w:rsidR="00C32437">
        <w:rPr>
          <w:rFonts w:ascii="CIDFont+F2" w:hAnsi="CIDFont+F2" w:cs="CIDFont+F2"/>
          <w:color w:val="000000"/>
          <w:sz w:val="24"/>
          <w:szCs w:val="24"/>
          <w:lang w:val="en-GB"/>
        </w:rPr>
        <w:t>open</w:t>
      </w:r>
      <w:r w:rsidRPr="009F0C68" w:rsidR="009F0C6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2E718C">
        <w:rPr>
          <w:rFonts w:ascii="CIDFont+F2" w:hAnsi="CIDFont+F2" w:cs="CIDFont+F2"/>
          <w:color w:val="000000"/>
          <w:sz w:val="24"/>
          <w:szCs w:val="24"/>
          <w:lang w:val="en-GB"/>
        </w:rPr>
        <w:t>a</w:t>
      </w:r>
      <w:r w:rsidR="0075653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nd unprecise </w:t>
      </w:r>
      <w:r w:rsidR="009F0C68">
        <w:rPr>
          <w:rFonts w:ascii="CIDFont+F2" w:hAnsi="CIDFont+F2" w:cs="CIDFont+F2"/>
          <w:color w:val="000000"/>
          <w:sz w:val="24"/>
          <w:szCs w:val="24"/>
          <w:lang w:val="en-GB"/>
        </w:rPr>
        <w:t>norms</w:t>
      </w:r>
      <w:r w:rsidR="002E718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that leave broad room for interpretation and diverging application among member states</w:t>
      </w:r>
      <w:r w:rsidR="00C32437">
        <w:rPr>
          <w:rFonts w:ascii="CIDFont+F2" w:hAnsi="CIDFont+F2" w:cs="CIDFont+F2"/>
          <w:color w:val="000000"/>
          <w:sz w:val="24"/>
          <w:szCs w:val="24"/>
          <w:lang w:val="en-GB"/>
        </w:rPr>
        <w:t>. These norms de</w:t>
      </w:r>
      <w:r w:rsidR="009F0C68">
        <w:rPr>
          <w:rFonts w:ascii="CIDFont+F2" w:hAnsi="CIDFont+F2" w:cs="CIDFont+F2"/>
          <w:color w:val="000000"/>
          <w:sz w:val="24"/>
          <w:szCs w:val="24"/>
          <w:lang w:val="en-GB"/>
        </w:rPr>
        <w:t>crease certainty</w:t>
      </w:r>
      <w:r w:rsidR="00D9738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for both taxpayers </w:t>
      </w:r>
      <w:r w:rsidR="0075653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and </w:t>
      </w:r>
      <w:r w:rsidR="00D9738C">
        <w:rPr>
          <w:rFonts w:ascii="CIDFont+F2" w:hAnsi="CIDFont+F2" w:cs="CIDFont+F2"/>
          <w:color w:val="000000"/>
          <w:sz w:val="24"/>
          <w:szCs w:val="24"/>
          <w:lang w:val="en-GB"/>
        </w:rPr>
        <w:t>tax authorities</w:t>
      </w:r>
      <w:r w:rsidR="002E718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and </w:t>
      </w:r>
      <w:r w:rsidR="00C32437">
        <w:rPr>
          <w:rFonts w:ascii="CIDFont+F2" w:hAnsi="CIDFont+F2" w:cs="CIDFont+F2"/>
          <w:color w:val="000000"/>
          <w:sz w:val="24"/>
          <w:szCs w:val="24"/>
          <w:lang w:val="en-GB"/>
        </w:rPr>
        <w:t>may lead to an unlevel playing field</w:t>
      </w:r>
      <w:r w:rsidR="00175EB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Thirdly, </w:t>
      </w:r>
      <w:r w:rsidR="00561B4F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we believe that </w:t>
      </w:r>
      <w:r w:rsidR="00EE5913">
        <w:rPr>
          <w:rFonts w:ascii="CIDFont+F2" w:hAnsi="CIDFont+F2" w:cs="CIDFont+F2"/>
          <w:color w:val="000000"/>
          <w:sz w:val="24"/>
          <w:szCs w:val="24"/>
          <w:lang w:val="en-GB"/>
        </w:rPr>
        <w:t>overlaps</w:t>
      </w:r>
      <w:r w:rsidR="00175EB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between </w:t>
      </w:r>
      <w:r w:rsidR="00296D6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CFC rules </w:t>
      </w:r>
      <w:r w:rsidR="00175EB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and </w:t>
      </w:r>
      <w:r w:rsidR="00561B4F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 GMT </w:t>
      </w:r>
      <w:r w:rsidR="00EE5913">
        <w:rPr>
          <w:rFonts w:ascii="CIDFont+F2" w:hAnsi="CIDFont+F2" w:cs="CIDFont+F2"/>
          <w:color w:val="000000"/>
          <w:sz w:val="24"/>
          <w:szCs w:val="24"/>
          <w:lang w:val="en-GB"/>
        </w:rPr>
        <w:t>could also</w:t>
      </w:r>
      <w:r w:rsidR="00175EB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be </w:t>
      </w:r>
      <w:r w:rsidR="00EE5913">
        <w:rPr>
          <w:rFonts w:ascii="CIDFont+F2" w:hAnsi="CIDFont+F2" w:cs="CIDFont+F2"/>
          <w:color w:val="000000"/>
          <w:sz w:val="24"/>
          <w:szCs w:val="24"/>
          <w:lang w:val="en-GB"/>
        </w:rPr>
        <w:t>explored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</w:t>
      </w:r>
      <w:r w:rsidR="00561B4F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As there is interaction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with the GMT and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against the backdrop of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>decreasing administrative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burden,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this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>step appears significant.</w:t>
      </w:r>
      <w:r w:rsidRPr="00DC4B34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</w:p>
    <w:p w:rsidR="00BE0FAF" w:rsidP="00BE0FAF" w:rsidRDefault="00BE0FAF" w14:paraId="7E1C2AF6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  <w:lang w:val="en-GB"/>
        </w:rPr>
      </w:pPr>
    </w:p>
    <w:p w:rsidRPr="0070524B" w:rsidR="00BE0FAF" w:rsidP="00BE0FAF" w:rsidRDefault="00BE0FAF" w14:paraId="19A91E39" w14:textId="673906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 w:rsidRPr="00C22669">
        <w:rPr>
          <w:rFonts w:ascii="CIDFont+F1" w:hAnsi="CIDFont+F1" w:cs="CIDFont+F1"/>
          <w:color w:val="000000"/>
          <w:sz w:val="24"/>
          <w:szCs w:val="24"/>
          <w:lang w:val="en-GB"/>
        </w:rPr>
        <w:t>Further</w:t>
      </w:r>
      <w:r>
        <w:rPr>
          <w:rFonts w:ascii="CIDFont+F1" w:hAnsi="CIDFont+F1" w:cs="CIDFont+F1"/>
          <w:color w:val="000000"/>
          <w:sz w:val="24"/>
          <w:szCs w:val="24"/>
          <w:lang w:val="en-GB"/>
        </w:rPr>
        <w:t>more</w:t>
      </w:r>
      <w:r w:rsidRPr="00C22669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, </w:t>
      </w:r>
      <w:r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the tax decluttering initiative should include the 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>Interest Limitation Rule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under the ATAD. As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>part of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current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evaluation,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we would advocate for more 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clarity </w:t>
      </w:r>
      <w:r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when it comes to 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>interpretative question</w:t>
      </w:r>
      <w:r>
        <w:rPr>
          <w:rFonts w:ascii="CIDFont+F2" w:hAnsi="CIDFont+F2" w:cs="CIDFont+F2"/>
          <w:b/>
          <w:color w:val="000000"/>
          <w:sz w:val="24"/>
          <w:szCs w:val="24"/>
          <w:lang w:val="en-GB"/>
        </w:rPr>
        <w:t>s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A consistent application would level the playing field and decrease diverging interpretation. </w:t>
      </w:r>
    </w:p>
    <w:p w:rsidR="00BE0FAF" w:rsidP="00BE0FAF" w:rsidRDefault="00BE0FAF" w14:paraId="07F9381E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  <w:lang w:val="en-GB"/>
        </w:rPr>
      </w:pPr>
    </w:p>
    <w:p w:rsidR="00BE0FAF" w:rsidP="00BE0FAF" w:rsidRDefault="00BE0FAF" w14:paraId="0763AFB2" w14:textId="020503A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1" w:hAnsi="CIDFont+F1" w:cs="CIDFont+F1"/>
          <w:color w:val="000000"/>
          <w:sz w:val="24"/>
          <w:szCs w:val="24"/>
          <w:lang w:val="en-GB"/>
        </w:rPr>
        <w:t>Moreover, t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he interaction between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GMT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and the 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>anti-hybrid mismatch rules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requires detailed consideration.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We identified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potential for </w:t>
      </w:r>
      <w:r w:rsidR="00561B4F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>clarification and</w:t>
      </w:r>
      <w:r w:rsidR="002C39A1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 xml:space="preserve"> consolidation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particularly </w:t>
      </w:r>
      <w:proofErr w:type="gramStart"/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>with regard to</w:t>
      </w:r>
      <w:proofErr w:type="gramEnd"/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the relevant definitions and application of hybrid</w:t>
      </w:r>
      <w:r w:rsidR="005124DA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mismatch rules both under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 GMT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and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>ATAD.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Besides, there might be some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tax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>decluttering potential regarding the rules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against imported mismatches. </w:t>
      </w:r>
      <w:r w:rsidR="006A79B3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Also, within the overall ATAD framework, </w:t>
      </w:r>
      <w:r w:rsidRPr="0070524B" w:rsidR="0070524B">
        <w:rPr>
          <w:rFonts w:ascii="CIDFont+F2" w:hAnsi="CIDFont+F2" w:cs="CIDFont+F2"/>
          <w:color w:val="000000"/>
          <w:sz w:val="24"/>
          <w:szCs w:val="24"/>
          <w:lang w:val="en-GB"/>
        </w:rPr>
        <w:t>the effects of CFC rules on hybrid mismatch</w:t>
      </w:r>
      <w:r w:rsidR="00EE7F3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70524B" w:rsidR="0070524B">
        <w:rPr>
          <w:rFonts w:ascii="CIDFont+F2" w:hAnsi="CIDFont+F2" w:cs="CIDFont+F2"/>
          <w:color w:val="000000"/>
          <w:sz w:val="24"/>
          <w:szCs w:val="24"/>
          <w:lang w:val="en-GB"/>
        </w:rPr>
        <w:t>arrangements</w:t>
      </w:r>
      <w:r w:rsidR="006A79B3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should be examined and clarified</w:t>
      </w:r>
      <w:r w:rsidRPr="0070524B" w:rsid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We would propose to </w:t>
      </w:r>
      <w:r w:rsidRPr="00326AA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address these aspects at EU level </w:t>
      </w:r>
      <w:proofErr w:type="gramStart"/>
      <w:r w:rsidRPr="00326AA1">
        <w:rPr>
          <w:rFonts w:ascii="CIDFont+F2" w:hAnsi="CIDFont+F2" w:cs="CIDFont+F2"/>
          <w:color w:val="000000"/>
          <w:sz w:val="24"/>
          <w:szCs w:val="24"/>
          <w:lang w:val="en-GB"/>
        </w:rPr>
        <w:t>in order to</w:t>
      </w:r>
      <w:proofErr w:type="gramEnd"/>
      <w:r w:rsidRPr="00326AA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give consistent answers and contribute to more aligned procedures among Member States. </w:t>
      </w:r>
    </w:p>
    <w:p w:rsidRPr="00EE5913" w:rsidR="008101B0" w:rsidP="00BE0FAF" w:rsidRDefault="008101B0" w14:paraId="1657FE88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/>
          <w:color w:val="000000"/>
          <w:sz w:val="24"/>
          <w:lang w:val="en-GB"/>
        </w:rPr>
      </w:pPr>
    </w:p>
    <w:p w:rsidRPr="00515DDB" w:rsidR="00712CC9" w:rsidP="00515DDB" w:rsidRDefault="005124DA" w14:paraId="48CC6A18" w14:textId="1B77E5E4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Identify and a</w:t>
      </w:r>
      <w:r w:rsidR="007D4E94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bolish</w:t>
      </w:r>
      <w:r w:rsidRPr="00515DDB" w:rsidR="00995A38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 xml:space="preserve"> </w:t>
      </w:r>
      <w:r w:rsidR="00A31B87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overlapping</w:t>
      </w:r>
      <w:r w:rsidRPr="00515DDB" w:rsidR="00A31B87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 xml:space="preserve"> </w:t>
      </w:r>
      <w:r w:rsidRPr="00515DDB" w:rsidR="00712CC9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standards</w:t>
      </w:r>
    </w:p>
    <w:p w:rsidRPr="005206B1" w:rsidR="008101B0" w:rsidP="00BE0FAF" w:rsidRDefault="005124DA" w14:paraId="650EE785" w14:textId="4F63F47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1" w:hAnsi="CIDFont+F1" w:cs="CIDFont+F1"/>
          <w:color w:val="000000"/>
          <w:sz w:val="24"/>
          <w:szCs w:val="24"/>
          <w:lang w:val="en-GB"/>
        </w:rPr>
        <w:t>Aside from ATAD, w</w:t>
      </w:r>
      <w:r w:rsidR="00CB11D9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e see merit in decluttering </w:t>
      </w:r>
      <w:r w:rsidRPr="00580C89" w:rsidR="00B07270">
        <w:rPr>
          <w:rFonts w:ascii="CIDFont+F1" w:hAnsi="CIDFont+F1" w:cs="CIDFont+F1"/>
          <w:b/>
          <w:color w:val="000000"/>
          <w:sz w:val="24"/>
          <w:szCs w:val="24"/>
          <w:lang w:val="en-GB"/>
        </w:rPr>
        <w:t xml:space="preserve">all directives </w:t>
      </w:r>
      <w:proofErr w:type="gramStart"/>
      <w:r w:rsidRPr="00580C89" w:rsidR="00B07270">
        <w:rPr>
          <w:rFonts w:ascii="CIDFont+F1" w:hAnsi="CIDFont+F1" w:cs="CIDFont+F1"/>
          <w:b/>
          <w:color w:val="000000"/>
          <w:sz w:val="24"/>
          <w:szCs w:val="24"/>
          <w:lang w:val="en-GB"/>
        </w:rPr>
        <w:t>in the area of</w:t>
      </w:r>
      <w:proofErr w:type="gramEnd"/>
      <w:r w:rsidRPr="00580C89" w:rsidR="00B07270">
        <w:rPr>
          <w:rFonts w:ascii="CIDFont+F1" w:hAnsi="CIDFont+F1" w:cs="CIDFont+F1"/>
          <w:b/>
          <w:color w:val="000000"/>
          <w:sz w:val="24"/>
          <w:szCs w:val="24"/>
          <w:lang w:val="en-GB"/>
        </w:rPr>
        <w:t xml:space="preserve"> direct taxation</w:t>
      </w:r>
      <w:r w:rsidR="00B07270">
        <w:rPr>
          <w:rFonts w:ascii="CIDFont+F1" w:hAnsi="CIDFont+F1" w:cs="CIDFont+F1"/>
          <w:bCs/>
          <w:color w:val="000000"/>
          <w:sz w:val="24"/>
          <w:szCs w:val="24"/>
          <w:lang w:val="en-GB"/>
        </w:rPr>
        <w:t xml:space="preserve">, such as </w:t>
      </w:r>
      <w:r w:rsidR="00B07270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the </w:t>
      </w:r>
      <w:r w:rsidRPr="00326AA1" w:rsidR="00B07270">
        <w:rPr>
          <w:rFonts w:ascii="CIDFont+F1" w:hAnsi="CIDFont+F1" w:cs="CIDFont+F1"/>
          <w:b/>
          <w:color w:val="000000"/>
          <w:sz w:val="24"/>
          <w:szCs w:val="24"/>
          <w:lang w:val="en-GB"/>
        </w:rPr>
        <w:t>Parent Subsidiary Directive, Interest Royalty Directive, Merger Directive</w:t>
      </w:r>
      <w:r w:rsidR="00B07270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. </w:t>
      </w:r>
      <w:r w:rsidR="00CB11D9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Even </w:t>
      </w:r>
      <w:r w:rsidR="00CB11D9">
        <w:rPr>
          <w:rFonts w:ascii="CIDFont+F1" w:hAnsi="CIDFont+F1" w:cs="CIDFont+F1"/>
          <w:color w:val="000000"/>
          <w:sz w:val="24"/>
          <w:szCs w:val="24"/>
          <w:lang w:val="en-GB"/>
        </w:rPr>
        <w:lastRenderedPageBreak/>
        <w:t xml:space="preserve">though these directives have different objectives, </w:t>
      </w:r>
      <w:r w:rsidR="00B07270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we observe that for example </w:t>
      </w:r>
      <w:r w:rsidR="00995A38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various directives provide for </w:t>
      </w:r>
      <w:r w:rsidR="00B07270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specific anti-abuse </w:t>
      </w:r>
      <w:r w:rsidR="00995A38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rules </w:t>
      </w:r>
      <w:r w:rsidR="00B07270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or exemption </w:t>
      </w:r>
      <w:proofErr w:type="gramStart"/>
      <w:r w:rsidR="00B07270">
        <w:rPr>
          <w:rFonts w:ascii="CIDFont+F1" w:hAnsi="CIDFont+F1" w:cs="CIDFont+F1"/>
          <w:color w:val="000000"/>
          <w:sz w:val="24"/>
          <w:szCs w:val="24"/>
          <w:lang w:val="en-GB"/>
        </w:rPr>
        <w:t>mechanisms</w:t>
      </w:r>
      <w:proofErr w:type="gramEnd"/>
      <w:r w:rsidR="00B07270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</w:t>
      </w:r>
      <w:r w:rsidR="00995A38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and these may interact </w:t>
      </w:r>
      <w:r w:rsidR="00B07270">
        <w:rPr>
          <w:rFonts w:ascii="CIDFont+F1" w:hAnsi="CIDFont+F1" w:cs="CIDFont+F1"/>
          <w:color w:val="000000"/>
          <w:sz w:val="24"/>
          <w:szCs w:val="24"/>
          <w:lang w:val="en-GB"/>
        </w:rPr>
        <w:t>with the GMT</w:t>
      </w:r>
      <w:r w:rsidR="00B07270">
        <w:rPr>
          <w:rFonts w:ascii="CIDFont+F2" w:hAnsi="CIDFont+F2" w:cs="CIDFont+F2"/>
          <w:color w:val="000000"/>
          <w:sz w:val="24"/>
          <w:szCs w:val="24"/>
          <w:lang w:val="en-GB"/>
        </w:rPr>
        <w:t>. It might be worth exploring where and to which extent these questions allow for a collective rather than a directive-specific answer.</w:t>
      </w:r>
    </w:p>
    <w:p w:rsidR="00BE0FAF" w:rsidP="003B543D" w:rsidRDefault="00BE0FAF" w14:paraId="07D4BA21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="004E3AF7" w:rsidP="003B543D" w:rsidRDefault="004E3AF7" w14:paraId="06F52B2E" w14:textId="61BB2D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In </w:t>
      </w:r>
      <w:r w:rsidR="00EB6AB1">
        <w:rPr>
          <w:rFonts w:ascii="CIDFont+F2" w:hAnsi="CIDFont+F2" w:cs="CIDFont+F2"/>
          <w:color w:val="000000"/>
          <w:sz w:val="24"/>
          <w:szCs w:val="24"/>
          <w:lang w:val="en-GB"/>
        </w:rPr>
        <w:t>addition, we would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suggest </w:t>
      </w:r>
      <w:proofErr w:type="gramStart"/>
      <w:r>
        <w:rPr>
          <w:rFonts w:ascii="CIDFont+F2" w:hAnsi="CIDFont+F2" w:cs="CIDFont+F2"/>
          <w:color w:val="000000"/>
          <w:sz w:val="24"/>
          <w:szCs w:val="24"/>
          <w:lang w:val="en-GB"/>
        </w:rPr>
        <w:t>to analyse</w:t>
      </w:r>
      <w:proofErr w:type="gramEnd"/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the interactions between the </w:t>
      </w:r>
      <w:proofErr w:type="spellStart"/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>Glo</w:t>
      </w:r>
      <w:r>
        <w:rPr>
          <w:rFonts w:ascii="CIDFont+F2" w:hAnsi="CIDFont+F2" w:cs="CIDFont+F2"/>
          <w:b/>
          <w:color w:val="000000"/>
          <w:sz w:val="24"/>
          <w:szCs w:val="24"/>
          <w:lang w:val="en-GB"/>
        </w:rPr>
        <w:t>B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>E</w:t>
      </w:r>
      <w:proofErr w:type="spellEnd"/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Information Return </w:t>
      </w:r>
      <w:r w:rsidRPr="00326AA1">
        <w:rPr>
          <w:rFonts w:ascii="CIDFont+F2" w:hAnsi="CIDFont+F2" w:cs="CIDFont+F2"/>
          <w:color w:val="000000"/>
          <w:sz w:val="24"/>
          <w:szCs w:val="24"/>
          <w:lang w:val="en-GB"/>
        </w:rPr>
        <w:t>(GIR)</w:t>
      </w:r>
      <w:r w:rsidRPr="00580C8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under the GMT </w:t>
      </w:r>
      <w:r w:rsidRPr="00326AA1">
        <w:rPr>
          <w:rFonts w:ascii="CIDFont+F2" w:hAnsi="CIDFont+F2" w:cs="CIDFont+F2"/>
          <w:color w:val="000000"/>
          <w:sz w:val="24"/>
          <w:szCs w:val="24"/>
          <w:lang w:val="en-GB"/>
        </w:rPr>
        <w:t>and the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Country-by-Country</w:t>
      </w:r>
      <w:r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Reporting </w:t>
      </w:r>
      <w:r w:rsidRPr="00326AA1">
        <w:rPr>
          <w:rFonts w:ascii="CIDFont+F2" w:hAnsi="CIDFont+F2" w:cs="CIDFont+F2"/>
          <w:color w:val="000000"/>
          <w:sz w:val="24"/>
          <w:szCs w:val="24"/>
          <w:lang w:val="en-GB"/>
        </w:rPr>
        <w:t>(</w:t>
      </w:r>
      <w:proofErr w:type="spellStart"/>
      <w:r w:rsidRPr="00326AA1">
        <w:rPr>
          <w:rFonts w:ascii="CIDFont+F2" w:hAnsi="CIDFont+F2" w:cs="CIDFont+F2"/>
          <w:color w:val="000000"/>
          <w:sz w:val="24"/>
          <w:szCs w:val="24"/>
          <w:lang w:val="en-GB"/>
        </w:rPr>
        <w:t>CbCR</w:t>
      </w:r>
      <w:proofErr w:type="spellEnd"/>
      <w:r w:rsidRPr="00326AA1">
        <w:rPr>
          <w:rFonts w:ascii="CIDFont+F2" w:hAnsi="CIDFont+F2" w:cs="CIDFont+F2"/>
          <w:color w:val="000000"/>
          <w:sz w:val="24"/>
          <w:szCs w:val="24"/>
          <w:lang w:val="en-GB"/>
        </w:rPr>
        <w:t>)</w:t>
      </w:r>
      <w:r w:rsidRPr="00580C8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under DAC4, vis-à-vis OECD Action 13. While respecting that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the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quality and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>dissemination of the relevant information is not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>identical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we are open to 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explore potential reliefs </w:t>
      </w:r>
      <w:r w:rsidRPr="00326AA1">
        <w:rPr>
          <w:rFonts w:ascii="CIDFont+F2" w:hAnsi="CIDFont+F2" w:cs="CIDFont+F2"/>
          <w:color w:val="000000"/>
          <w:sz w:val="24"/>
          <w:szCs w:val="24"/>
          <w:lang w:val="en-GB"/>
        </w:rPr>
        <w:t>for in-scope MNE or the</w:t>
      </w:r>
      <w:r w:rsidRPr="00580C89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streamlining of data requirements</w:t>
      </w:r>
      <w:r w:rsidRPr="0070524B">
        <w:rPr>
          <w:rFonts w:ascii="CIDFont+F2" w:hAnsi="CIDFont+F2" w:cs="CIDFont+F2"/>
          <w:color w:val="000000"/>
          <w:sz w:val="24"/>
          <w:szCs w:val="24"/>
          <w:lang w:val="en-GB"/>
        </w:rPr>
        <w:t>.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With the aim of preserving the highest data standard, </w:t>
      </w:r>
      <w:r w:rsidR="00A31B8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overlapping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reporting and reporting of data with low additional informative value should be avoided. </w:t>
      </w:r>
    </w:p>
    <w:p w:rsidR="004E3AF7" w:rsidP="003B543D" w:rsidRDefault="004E3AF7" w14:paraId="0686371E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Pr="00515DDB" w:rsidR="00712CC9" w:rsidP="00B736E8" w:rsidRDefault="00EB6AB1" w14:paraId="65FD1E3D" w14:textId="64D6008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</w:pPr>
      <w:r w:rsidRPr="00515DDB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Co</w:t>
      </w:r>
      <w:r w:rsidRPr="00515DDB" w:rsidR="00BE0FAF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ordinat</w:t>
      </w:r>
      <w:r w:rsidR="006A33CD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e</w:t>
      </w:r>
      <w:r w:rsidRPr="00515DDB" w:rsidR="00BE0FAF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 xml:space="preserve"> </w:t>
      </w:r>
      <w:r w:rsidR="00CB11D9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and improv</w:t>
      </w:r>
      <w:r w:rsidR="00A31B87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ing</w:t>
      </w:r>
      <w:r w:rsidR="00CB11D9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 xml:space="preserve"> effectiveness of </w:t>
      </w:r>
      <w:r w:rsidRPr="00515DDB" w:rsidR="00BE0FAF">
        <w:rPr>
          <w:rFonts w:ascii="CIDFont+F2" w:hAnsi="CIDFont+F2" w:cs="CIDFont+F2"/>
          <w:i/>
          <w:iCs/>
          <w:color w:val="000000"/>
          <w:sz w:val="24"/>
          <w:szCs w:val="24"/>
          <w:lang w:val="en-GB"/>
        </w:rPr>
        <w:t>existing regulations and procedures</w:t>
      </w:r>
    </w:p>
    <w:p w:rsidRPr="00B366D7" w:rsidR="00B736E8" w:rsidP="00712CC9" w:rsidRDefault="003B543D" w14:paraId="3A7DE7AC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 w:rsidRPr="00515DD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In the area of transparency, we appreciate the evaluation of the </w:t>
      </w:r>
      <w:r w:rsidRPr="00515DDB">
        <w:rPr>
          <w:rFonts w:ascii="CIDFont+F2" w:hAnsi="CIDFont+F2" w:cs="CIDFont+F2"/>
          <w:b/>
          <w:color w:val="000000"/>
          <w:sz w:val="24"/>
          <w:szCs w:val="24"/>
          <w:lang w:val="en-GB"/>
        </w:rPr>
        <w:t>hallmarks under DAC 6</w:t>
      </w:r>
      <w:r w:rsidRPr="00515DDB">
        <w:rPr>
          <w:rFonts w:ascii="CIDFont+F2" w:hAnsi="CIDFont+F2" w:cs="CIDFont+F2"/>
          <w:color w:val="000000"/>
          <w:sz w:val="24"/>
          <w:szCs w:val="24"/>
          <w:lang w:val="en-GB"/>
        </w:rPr>
        <w:t>. We believe that it is in our common interest not to exten</w:t>
      </w:r>
      <w:r w:rsidRPr="00515DDB" w:rsidR="00C25B06">
        <w:rPr>
          <w:rFonts w:ascii="CIDFont+F2" w:hAnsi="CIDFont+F2" w:cs="CIDFont+F2"/>
          <w:color w:val="000000"/>
          <w:sz w:val="24"/>
          <w:szCs w:val="24"/>
          <w:lang w:val="en-GB"/>
        </w:rPr>
        <w:t>d</w:t>
      </w:r>
      <w:r w:rsidRPr="00515DD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F76133">
        <w:rPr>
          <w:rFonts w:ascii="CIDFont+F2" w:hAnsi="CIDFont+F2" w:cs="CIDFont+F2"/>
          <w:color w:val="000000"/>
          <w:sz w:val="24"/>
          <w:szCs w:val="24"/>
          <w:lang w:val="en-GB"/>
        </w:rPr>
        <w:t>DAC6</w:t>
      </w:r>
      <w:r w:rsidRPr="00515DD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but rather to focus on areas where we could streamline the procedure</w:t>
      </w:r>
      <w:r w:rsidRPr="00515DDB" w:rsidR="00B736E8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</w:t>
      </w:r>
      <w:r w:rsidR="006A33C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increase the </w:t>
      </w:r>
      <w:r w:rsidRPr="00515DDB" w:rsidR="00B736E8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>level the playing field</w:t>
      </w:r>
      <w:r w:rsidRPr="00515DDB" w:rsidR="00B736E8">
        <w:rPr>
          <w:rFonts w:ascii="CIDFont+F2" w:hAnsi="CIDFont+F2" w:cs="CIDFont+F2"/>
          <w:color w:val="000000"/>
          <w:sz w:val="24"/>
          <w:szCs w:val="24"/>
          <w:lang w:val="en-GB"/>
        </w:rPr>
        <w:t>,</w:t>
      </w:r>
      <w:r w:rsidRPr="00515DD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and limit the effort </w:t>
      </w:r>
      <w:r w:rsidR="00CB11D9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by </w:t>
      </w:r>
      <w:r w:rsidRPr="00515DDB" w:rsidR="00C25B06">
        <w:rPr>
          <w:rFonts w:ascii="CIDFont+F2" w:hAnsi="CIDFont+F2" w:cs="CIDFont+F2"/>
          <w:color w:val="000000"/>
          <w:sz w:val="24"/>
          <w:szCs w:val="24"/>
          <w:lang w:val="en-GB"/>
        </w:rPr>
        <w:t>phas</w:t>
      </w:r>
      <w:r w:rsidR="00CB11D9">
        <w:rPr>
          <w:rFonts w:ascii="CIDFont+F2" w:hAnsi="CIDFont+F2" w:cs="CIDFont+F2"/>
          <w:color w:val="000000"/>
          <w:sz w:val="24"/>
          <w:szCs w:val="24"/>
          <w:lang w:val="en-GB"/>
        </w:rPr>
        <w:t>ing</w:t>
      </w:r>
      <w:r w:rsidRPr="00515DDB" w:rsidR="00C25B0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out</w:t>
      </w:r>
      <w:r w:rsidRPr="00515DD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potentially non-effective hallmarks</w:t>
      </w:r>
      <w:r w:rsidRPr="00515DDB" w:rsidR="00C25B0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and, where needed</w:t>
      </w:r>
      <w:r w:rsidRPr="00515DDB" w:rsidR="00B736E8">
        <w:rPr>
          <w:rFonts w:ascii="CIDFont+F2" w:hAnsi="CIDFont+F2" w:cs="CIDFont+F2"/>
          <w:color w:val="000000"/>
          <w:sz w:val="24"/>
          <w:szCs w:val="24"/>
          <w:lang w:val="en-GB"/>
        </w:rPr>
        <w:t>,</w:t>
      </w:r>
      <w:r w:rsidRPr="00515DDB" w:rsidR="00C25B0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replace them</w:t>
      </w:r>
      <w:r w:rsidRPr="00515DDB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by new hallmarks (“</w:t>
      </w:r>
      <w:r w:rsidRPr="00515DDB">
        <w:rPr>
          <w:rFonts w:ascii="CIDFont+F2" w:hAnsi="CIDFont+F2" w:cs="CIDFont+F2"/>
          <w:b/>
          <w:color w:val="000000"/>
          <w:sz w:val="24"/>
          <w:szCs w:val="24"/>
          <w:lang w:val="en-GB"/>
        </w:rPr>
        <w:t>replacement only approach</w:t>
      </w:r>
      <w:r w:rsidRPr="00515DDB">
        <w:rPr>
          <w:rFonts w:ascii="CIDFont+F2" w:hAnsi="CIDFont+F2" w:cs="CIDFont+F2"/>
          <w:color w:val="000000"/>
          <w:sz w:val="24"/>
          <w:szCs w:val="24"/>
          <w:lang w:val="en-GB"/>
        </w:rPr>
        <w:t>”).</w:t>
      </w:r>
      <w:r w:rsidR="00B366D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A coordinated approach to DAC6 will also </w:t>
      </w:r>
      <w:r w:rsidR="00B366D7">
        <w:rPr>
          <w:rFonts w:ascii="CIDFont+F2" w:hAnsi="CIDFont+F2" w:cs="CIDFont+F2"/>
          <w:b/>
          <w:bCs/>
          <w:color w:val="000000"/>
          <w:sz w:val="24"/>
          <w:szCs w:val="24"/>
          <w:lang w:val="en-GB"/>
        </w:rPr>
        <w:t>increase its effectiveness</w:t>
      </w:r>
      <w:r w:rsidR="00B366D7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, safeguarding protection against harmful tax practices. </w:t>
      </w:r>
    </w:p>
    <w:p w:rsidR="0070524B" w:rsidP="00C25B06" w:rsidRDefault="0070524B" w14:paraId="0B2D7F57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GB"/>
        </w:rPr>
      </w:pPr>
    </w:p>
    <w:p w:rsidR="00217C62" w:rsidP="00217C62" w:rsidRDefault="00712CC9" w14:paraId="6B7AD584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Furthermore, formalistic, fragmented and time-consuming procedures lead to an increased administrative burden and decreased tax certainty. This may be mitigated by </w:t>
      </w:r>
      <w:r>
        <w:rPr>
          <w:rFonts w:ascii="CIDFont+F1" w:hAnsi="CIDFont+F1" w:cs="CIDFont+F1"/>
          <w:b/>
          <w:bCs/>
          <w:color w:val="000000"/>
          <w:sz w:val="24"/>
          <w:szCs w:val="24"/>
          <w:lang w:val="en-GB"/>
        </w:rPr>
        <w:t>coordination of procedures.</w:t>
      </w:r>
      <w:r w:rsidRPr="00EE5913" w:rsidR="000A0353">
        <w:rPr>
          <w:rFonts w:ascii="CIDFont+F1" w:hAnsi="CIDFont+F1"/>
          <w:color w:val="000000"/>
          <w:sz w:val="24"/>
          <w:lang w:val="en-GB"/>
        </w:rPr>
        <w:t xml:space="preserve"> </w:t>
      </w:r>
      <w:r w:rsidR="00BD7F4E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However, we view it as equally important to </w:t>
      </w:r>
      <w:r w:rsidRPr="0070524B" w:rsidR="00BD7F4E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strike the right balance between </w:t>
      </w:r>
      <w:r w:rsidRPr="00580C89" w:rsidR="00BD7F4E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acceleration of procedure </w:t>
      </w:r>
      <w:r w:rsidRPr="00580C89" w:rsidR="00BD7F4E">
        <w:rPr>
          <w:rFonts w:ascii="CIDFont+F2" w:hAnsi="CIDFont+F2" w:cs="CIDFont+F2"/>
          <w:color w:val="000000"/>
          <w:sz w:val="24"/>
          <w:szCs w:val="24"/>
          <w:lang w:val="en-GB"/>
        </w:rPr>
        <w:t>on one hand</w:t>
      </w:r>
      <w:r w:rsidRPr="00580C89" w:rsidR="00BD7F4E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and the increase in the level of protection</w:t>
      </w:r>
      <w:r w:rsidRPr="0070524B" w:rsidR="00BD7F4E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on</w:t>
      </w:r>
      <w:r w:rsidR="004D095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Pr="0070524B" w:rsidR="00BD7F4E">
        <w:rPr>
          <w:rFonts w:ascii="CIDFont+F2" w:hAnsi="CIDFont+F2" w:cs="CIDFont+F2"/>
          <w:color w:val="000000"/>
          <w:sz w:val="24"/>
          <w:szCs w:val="24"/>
          <w:lang w:val="en-GB"/>
        </w:rPr>
        <w:t>the other.</w:t>
      </w:r>
      <w:r w:rsidR="00BD7F4E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The recently </w:t>
      </w:r>
      <w:r w:rsidR="00217C62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agreed </w:t>
      </w:r>
      <w:r w:rsidRPr="00E87F42" w:rsidR="00BD7F4E">
        <w:rPr>
          <w:rFonts w:ascii="CIDFont+F2" w:hAnsi="CIDFont+F2" w:cs="CIDFont+F2"/>
          <w:b/>
          <w:color w:val="000000"/>
          <w:sz w:val="24"/>
          <w:szCs w:val="24"/>
          <w:lang w:val="en-GB"/>
        </w:rPr>
        <w:t>FASTER</w:t>
      </w:r>
      <w:r w:rsidR="00BD7F4E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directive </w:t>
      </w:r>
      <w:r w:rsidR="004D095D">
        <w:rPr>
          <w:rFonts w:ascii="CIDFont+F2" w:hAnsi="CIDFont+F2" w:cs="CIDFont+F2"/>
          <w:color w:val="000000"/>
          <w:sz w:val="24"/>
          <w:szCs w:val="24"/>
          <w:lang w:val="en-GB"/>
        </w:rPr>
        <w:t>c</w:t>
      </w:r>
      <w:r w:rsidR="00217C62">
        <w:rPr>
          <w:rFonts w:ascii="CIDFont+F2" w:hAnsi="CIDFont+F2" w:cs="CIDFont+F2"/>
          <w:color w:val="000000"/>
          <w:sz w:val="24"/>
          <w:szCs w:val="24"/>
          <w:lang w:val="en-GB"/>
        </w:rPr>
        <w:t>ould serve as a good discussion</w:t>
      </w:r>
      <w:r w:rsidR="004D095D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basis</w:t>
      </w:r>
      <w:r w:rsidR="00217C62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Among others, </w:t>
      </w:r>
      <w:r w:rsidRPr="00EE5913">
        <w:rPr>
          <w:rFonts w:ascii="CIDFont+F2" w:hAnsi="CIDFont+F2"/>
          <w:color w:val="000000"/>
          <w:sz w:val="24"/>
          <w:lang w:val="en-GB"/>
        </w:rPr>
        <w:t xml:space="preserve">the </w:t>
      </w:r>
      <w:r w:rsidRPr="00326AA1">
        <w:rPr>
          <w:rFonts w:ascii="CIDFont+F1" w:hAnsi="CIDFont+F1" w:cs="CIDFont+F1"/>
          <w:b/>
          <w:color w:val="000000"/>
          <w:sz w:val="24"/>
          <w:szCs w:val="24"/>
          <w:lang w:val="en-GB"/>
        </w:rPr>
        <w:t>Parent Subsidiary Directive, Interest Royalty Directive, Merger Directive</w:t>
      </w:r>
      <w:r w:rsidRPr="00EE5913" w:rsidDel="00B07270">
        <w:rPr>
          <w:rFonts w:ascii="CIDFont+F1" w:hAnsi="CIDFont+F1"/>
          <w:color w:val="000000"/>
          <w:sz w:val="24"/>
          <w:lang w:val="en-GB"/>
        </w:rPr>
        <w:t xml:space="preserve"> </w:t>
      </w:r>
      <w:r w:rsidRPr="00326AA1" w:rsidR="00411B15">
        <w:rPr>
          <w:rFonts w:ascii="CIDFont+F2" w:hAnsi="CIDFont+F2" w:cs="CIDFont+F2"/>
          <w:color w:val="000000"/>
          <w:sz w:val="24"/>
          <w:szCs w:val="24"/>
          <w:lang w:val="en-GB"/>
        </w:rPr>
        <w:t>should form</w:t>
      </w:r>
      <w:r w:rsidRPr="00326AA1" w:rsidR="00411B15">
        <w:rPr>
          <w:rFonts w:ascii="CIDFont+F2" w:hAnsi="CIDFont+F2" w:cs="CIDFont+F2"/>
          <w:b/>
          <w:color w:val="000000"/>
          <w:sz w:val="24"/>
          <w:szCs w:val="24"/>
          <w:lang w:val="en-GB"/>
        </w:rPr>
        <w:t xml:space="preserve"> part of this broader analysis.</w:t>
      </w:r>
      <w:r w:rsidR="00411B15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  <w:r w:rsidR="00217C62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</w:p>
    <w:p w:rsidRPr="0070524B" w:rsidR="00686E6C" w:rsidP="00217C62" w:rsidRDefault="00686E6C" w14:paraId="625E0989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Pr="00515DDB" w:rsidR="00BD7F4E" w:rsidP="00515DDB" w:rsidRDefault="00EB6AB1" w14:paraId="4CA0ABDA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>E</w:t>
      </w:r>
      <w:r w:rsidRPr="00785886" w:rsidR="00686E6C">
        <w:rPr>
          <w:rFonts w:ascii="CIDFont+F2" w:hAnsi="CIDFont+F2" w:cs="CIDFont+F2"/>
          <w:color w:val="000000"/>
          <w:sz w:val="24"/>
          <w:szCs w:val="24"/>
          <w:lang w:val="en-GB"/>
        </w:rPr>
        <w:t>valuat</w:t>
      </w:r>
      <w:r w:rsidR="006A33CD">
        <w:rPr>
          <w:rFonts w:ascii="CIDFont+F2" w:hAnsi="CIDFont+F2" w:cs="CIDFont+F2"/>
          <w:color w:val="000000"/>
          <w:sz w:val="24"/>
          <w:szCs w:val="24"/>
          <w:lang w:val="en-GB"/>
        </w:rPr>
        <w:t>e</w:t>
      </w:r>
      <w:r w:rsidRPr="00785886" w:rsidR="00686E6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prospective legislative </w:t>
      </w:r>
      <w:r w:rsidR="00686E6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proposals </w:t>
      </w:r>
    </w:p>
    <w:p w:rsidR="004D095D" w:rsidP="004D095D" w:rsidRDefault="004D095D" w14:paraId="4AEDB74A" w14:textId="3B0A2E5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1" w:hAnsi="CIDFont+F1" w:cs="CIDFont+F1"/>
          <w:color w:val="000000"/>
          <w:sz w:val="24"/>
          <w:szCs w:val="24"/>
          <w:lang w:val="en-GB"/>
        </w:rPr>
        <w:t>W</w:t>
      </w:r>
      <w:r w:rsidR="0098752C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e are convinced that prospective directives in the field of direct taxation should have a </w:t>
      </w:r>
      <w:r w:rsidRPr="00580C89" w:rsidR="0098752C">
        <w:rPr>
          <w:rFonts w:ascii="CIDFont+F1" w:hAnsi="CIDFont+F1" w:cs="CIDFont+F1"/>
          <w:b/>
          <w:color w:val="000000"/>
          <w:sz w:val="24"/>
          <w:szCs w:val="24"/>
          <w:lang w:val="en-GB"/>
        </w:rPr>
        <w:t>great</w:t>
      </w:r>
      <w:r w:rsidRPr="00580C89" w:rsidR="00580C89">
        <w:rPr>
          <w:rFonts w:ascii="CIDFont+F1" w:hAnsi="CIDFont+F1" w:cs="CIDFont+F1"/>
          <w:b/>
          <w:color w:val="000000"/>
          <w:sz w:val="24"/>
          <w:szCs w:val="24"/>
          <w:lang w:val="en-GB"/>
        </w:rPr>
        <w:t>er</w:t>
      </w:r>
      <w:r w:rsidRPr="00580C89" w:rsidR="0098752C">
        <w:rPr>
          <w:rFonts w:ascii="CIDFont+F1" w:hAnsi="CIDFont+F1" w:cs="CIDFont+F1"/>
          <w:b/>
          <w:color w:val="000000"/>
          <w:sz w:val="24"/>
          <w:szCs w:val="24"/>
          <w:lang w:val="en-GB"/>
        </w:rPr>
        <w:t xml:space="preserve"> impetus on administrative aspects</w:t>
      </w:r>
      <w:r w:rsidR="0098752C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</w:t>
      </w:r>
      <w:r w:rsidR="00F76133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for both taxpayers and tax authorities </w:t>
      </w:r>
      <w:r w:rsidR="0098752C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and should feed into the tax decluttering narrative. </w:t>
      </w:r>
      <w:r w:rsidR="00EB6AB1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It is therefore important that </w:t>
      </w:r>
      <w:r w:rsidR="00A02FF0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for </w:t>
      </w:r>
      <w:r w:rsidR="00EB6AB1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each </w:t>
      </w:r>
      <w:r w:rsidRPr="00785886" w:rsidR="00EB6AB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prospective legislative </w:t>
      </w:r>
      <w:r w:rsidR="00EB6AB1">
        <w:rPr>
          <w:rFonts w:ascii="CIDFont+F2" w:hAnsi="CIDFont+F2" w:cs="CIDFont+F2"/>
          <w:color w:val="000000"/>
          <w:sz w:val="24"/>
          <w:szCs w:val="24"/>
          <w:lang w:val="en-GB"/>
        </w:rPr>
        <w:t>proposal in the EU the above guiding principles of tax decluttering</w:t>
      </w:r>
      <w:r w:rsidR="00A02FF0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are </w:t>
      </w:r>
      <w:proofErr w:type="gramStart"/>
      <w:r w:rsidR="00A02FF0">
        <w:rPr>
          <w:rFonts w:ascii="CIDFont+F2" w:hAnsi="CIDFont+F2" w:cs="CIDFont+F2"/>
          <w:color w:val="000000"/>
          <w:sz w:val="24"/>
          <w:szCs w:val="24"/>
          <w:lang w:val="en-GB"/>
        </w:rPr>
        <w:t>taken</w:t>
      </w:r>
      <w:r w:rsidR="00EB6AB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into account</w:t>
      </w:r>
      <w:proofErr w:type="gramEnd"/>
      <w:r w:rsidR="00EB6AB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. </w:t>
      </w:r>
      <w:r w:rsidR="0098752C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Against this background, we think that </w:t>
      </w:r>
      <w:r w:rsidRPr="00EE5913" w:rsidR="00F76133">
        <w:rPr>
          <w:rFonts w:ascii="CIDFont+F1" w:hAnsi="CIDFont+F1"/>
          <w:color w:val="000000"/>
          <w:sz w:val="24"/>
          <w:lang w:val="en-GB"/>
        </w:rPr>
        <w:t>(</w:t>
      </w:r>
      <w:r w:rsidRPr="00326AA1" w:rsidR="00151281">
        <w:rPr>
          <w:rFonts w:ascii="CIDFont+F2" w:hAnsi="CIDFont+F2" w:cs="CIDFont+F2"/>
          <w:color w:val="000000"/>
          <w:sz w:val="24"/>
          <w:szCs w:val="24"/>
          <w:lang w:val="en-GB"/>
        </w:rPr>
        <w:t>re-</w:t>
      </w:r>
      <w:r w:rsidR="00F76133">
        <w:rPr>
          <w:rFonts w:ascii="CIDFont+F2" w:hAnsi="CIDFont+F2" w:cs="CIDFont+F2"/>
          <w:color w:val="000000"/>
          <w:sz w:val="24"/>
          <w:szCs w:val="24"/>
          <w:lang w:val="en-GB"/>
        </w:rPr>
        <w:t>)</w:t>
      </w:r>
      <w:r w:rsidRPr="00326AA1" w:rsidR="00151281">
        <w:rPr>
          <w:rFonts w:ascii="CIDFont+F2" w:hAnsi="CIDFont+F2" w:cs="CIDFont+F2"/>
          <w:color w:val="000000"/>
          <w:sz w:val="24"/>
          <w:szCs w:val="24"/>
          <w:lang w:val="en-GB"/>
        </w:rPr>
        <w:t>establishing a platform to discuss transfer pricing matters</w:t>
      </w:r>
      <w:r w:rsidR="00151281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should be the topic which is discussed in relation to the </w:t>
      </w:r>
      <w:r w:rsidRPr="00E87F42" w:rsidR="0098752C">
        <w:rPr>
          <w:rFonts w:ascii="CIDFont+F1" w:hAnsi="CIDFont+F1" w:cs="CIDFont+F1"/>
          <w:b/>
          <w:color w:val="000000"/>
          <w:sz w:val="24"/>
          <w:szCs w:val="24"/>
          <w:lang w:val="en-GB"/>
        </w:rPr>
        <w:t>Transfer Pricing Directive</w:t>
      </w:r>
      <w:r w:rsidRPr="00EE5913" w:rsidR="00151281">
        <w:rPr>
          <w:rFonts w:ascii="CIDFont+F1" w:hAnsi="CIDFont+F1"/>
          <w:color w:val="000000"/>
          <w:sz w:val="24"/>
          <w:lang w:val="en-GB"/>
        </w:rPr>
        <w:t xml:space="preserve">. 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>Additionally, w</w:t>
      </w:r>
      <w:r w:rsidRPr="00326AA1" w:rsidR="0098752C">
        <w:rPr>
          <w:rFonts w:ascii="CIDFont+F2" w:hAnsi="CIDFont+F2" w:cs="CIDFont+F2"/>
          <w:color w:val="000000"/>
          <w:sz w:val="24"/>
          <w:szCs w:val="24"/>
          <w:lang w:val="en-GB"/>
        </w:rPr>
        <w:t>e would welcome discussions on procedural aspects from the resolution of tax disputes</w:t>
      </w:r>
      <w:r>
        <w:rPr>
          <w:rFonts w:ascii="CIDFont+F2" w:hAnsi="CIDFont+F2" w:cs="CIDFont+F2"/>
          <w:color w:val="000000"/>
          <w:sz w:val="24"/>
          <w:szCs w:val="24"/>
          <w:lang w:val="en-GB"/>
        </w:rPr>
        <w:t>.</w:t>
      </w:r>
      <w:r w:rsidR="00686E6C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 </w:t>
      </w:r>
    </w:p>
    <w:p w:rsidR="00FF28FC" w:rsidP="004D095D" w:rsidRDefault="00FF28FC" w14:paraId="1C9D7DB5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</w:p>
    <w:p w:rsidRPr="00167E94" w:rsidR="004D095D" w:rsidP="004D095D" w:rsidRDefault="00FF28FC" w14:paraId="63FFFBE3" w14:textId="10A14F0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  <w:lang w:val="en-GB"/>
        </w:rPr>
      </w:pPr>
      <w:r w:rsidRPr="00167E94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Furthermore, we would advocate to put more emphasis on the empirical analysis </w:t>
      </w:r>
      <w:proofErr w:type="gramStart"/>
      <w:r w:rsidRPr="00167E94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in order </w:t>
      </w:r>
      <w:r w:rsidRPr="00167E94" w:rsidR="00167E94">
        <w:rPr>
          <w:rFonts w:ascii="CIDFont+F1" w:hAnsi="CIDFont+F1" w:cs="CIDFont+F1"/>
          <w:color w:val="000000"/>
          <w:sz w:val="24"/>
          <w:szCs w:val="24"/>
          <w:lang w:val="en-GB"/>
        </w:rPr>
        <w:t>to</w:t>
      </w:r>
      <w:proofErr w:type="gramEnd"/>
      <w:r w:rsidRPr="00167E94" w:rsidR="00167E94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 </w:t>
      </w:r>
      <w:r w:rsidRPr="00167E94">
        <w:rPr>
          <w:rFonts w:ascii="CIDFont+F1" w:hAnsi="CIDFont+F1" w:cs="CIDFont+F1"/>
          <w:color w:val="000000"/>
          <w:sz w:val="24"/>
          <w:szCs w:val="24"/>
          <w:lang w:val="en-GB"/>
        </w:rPr>
        <w:t xml:space="preserve">better assess the tax effects of legislative proposals as well as existing legislation. </w:t>
      </w:r>
    </w:p>
    <w:p w:rsidRPr="0070524B" w:rsidR="002A02EC" w:rsidP="00E87F42" w:rsidRDefault="00580C89" w14:paraId="359A984B" w14:textId="77777777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326AA1">
        <w:rPr>
          <w:rFonts w:ascii="CIDFont+F2" w:hAnsi="CIDFont+F2" w:cs="CIDFont+F2"/>
          <w:color w:val="000000"/>
          <w:sz w:val="24"/>
          <w:szCs w:val="24"/>
          <w:lang w:val="en-GB"/>
        </w:rPr>
        <w:br/>
      </w:r>
    </w:p>
    <w:sectPr w:rsidRPr="0070524B" w:rsidR="002A02EC">
      <w:pgSz w:w="11906" w:h="16838"/>
      <w:pgMar w:top="1417" w:right="1417" w:bottom="1134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1F58" w14:textId="77777777" w:rsidR="00035FED" w:rsidRDefault="00035FED" w:rsidP="00CB11D9">
      <w:pPr>
        <w:spacing w:after="0" w:line="240" w:lineRule="auto"/>
      </w:pPr>
      <w:r>
        <w:separator/>
      </w:r>
    </w:p>
  </w:endnote>
  <w:endnote w:type="continuationSeparator" w:id="0">
    <w:p w14:paraId="22D255CB" w14:textId="77777777" w:rsidR="00035FED" w:rsidRDefault="00035FED" w:rsidP="00CB11D9">
      <w:pPr>
        <w:spacing w:after="0" w:line="240" w:lineRule="auto"/>
      </w:pPr>
      <w:r>
        <w:continuationSeparator/>
      </w:r>
    </w:p>
  </w:endnote>
  <w:endnote w:type="continuationNotice" w:id="1">
    <w:p w14:paraId="6B33DCE5" w14:textId="77777777" w:rsidR="00035FED" w:rsidRDefault="00035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63C2" w14:textId="77777777" w:rsidR="00035FED" w:rsidRDefault="00035FED" w:rsidP="00CB11D9">
      <w:pPr>
        <w:spacing w:after="0" w:line="240" w:lineRule="auto"/>
      </w:pPr>
      <w:r>
        <w:separator/>
      </w:r>
    </w:p>
  </w:footnote>
  <w:footnote w:type="continuationSeparator" w:id="0">
    <w:p w14:paraId="7B01704A" w14:textId="77777777" w:rsidR="00035FED" w:rsidRDefault="00035FED" w:rsidP="00CB11D9">
      <w:pPr>
        <w:spacing w:after="0" w:line="240" w:lineRule="auto"/>
      </w:pPr>
      <w:r>
        <w:continuationSeparator/>
      </w:r>
    </w:p>
  </w:footnote>
  <w:footnote w:type="continuationNotice" w:id="1">
    <w:p w14:paraId="396D4FC7" w14:textId="77777777" w:rsidR="00035FED" w:rsidRDefault="00035F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E15"/>
    <w:multiLevelType w:val="hybridMultilevel"/>
    <w:tmpl w:val="08B44872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9C4"/>
    <w:multiLevelType w:val="hybridMultilevel"/>
    <w:tmpl w:val="F0D855FC"/>
    <w:lvl w:ilvl="0" w:tplc="2D462D70">
      <w:start w:val="1"/>
      <w:numFmt w:val="decimal"/>
      <w:lvlText w:val="%1."/>
      <w:lvlJc w:val="left"/>
      <w:pPr>
        <w:ind w:left="1020" w:hanging="360"/>
      </w:pPr>
    </w:lvl>
    <w:lvl w:ilvl="1" w:tplc="6AAC9EDC">
      <w:start w:val="1"/>
      <w:numFmt w:val="decimal"/>
      <w:lvlText w:val="%2."/>
      <w:lvlJc w:val="left"/>
      <w:pPr>
        <w:ind w:left="1020" w:hanging="360"/>
      </w:pPr>
    </w:lvl>
    <w:lvl w:ilvl="2" w:tplc="FFE24EB2">
      <w:start w:val="1"/>
      <w:numFmt w:val="decimal"/>
      <w:lvlText w:val="%3."/>
      <w:lvlJc w:val="left"/>
      <w:pPr>
        <w:ind w:left="1020" w:hanging="360"/>
      </w:pPr>
    </w:lvl>
    <w:lvl w:ilvl="3" w:tplc="8E3073CC">
      <w:start w:val="1"/>
      <w:numFmt w:val="decimal"/>
      <w:lvlText w:val="%4."/>
      <w:lvlJc w:val="left"/>
      <w:pPr>
        <w:ind w:left="1020" w:hanging="360"/>
      </w:pPr>
    </w:lvl>
    <w:lvl w:ilvl="4" w:tplc="FC1ED282">
      <w:start w:val="1"/>
      <w:numFmt w:val="decimal"/>
      <w:lvlText w:val="%5."/>
      <w:lvlJc w:val="left"/>
      <w:pPr>
        <w:ind w:left="1020" w:hanging="360"/>
      </w:pPr>
    </w:lvl>
    <w:lvl w:ilvl="5" w:tplc="58867AAC">
      <w:start w:val="1"/>
      <w:numFmt w:val="decimal"/>
      <w:lvlText w:val="%6."/>
      <w:lvlJc w:val="left"/>
      <w:pPr>
        <w:ind w:left="1020" w:hanging="360"/>
      </w:pPr>
    </w:lvl>
    <w:lvl w:ilvl="6" w:tplc="9808DF8A">
      <w:start w:val="1"/>
      <w:numFmt w:val="decimal"/>
      <w:lvlText w:val="%7."/>
      <w:lvlJc w:val="left"/>
      <w:pPr>
        <w:ind w:left="1020" w:hanging="360"/>
      </w:pPr>
    </w:lvl>
    <w:lvl w:ilvl="7" w:tplc="2A4C0AB8">
      <w:start w:val="1"/>
      <w:numFmt w:val="decimal"/>
      <w:lvlText w:val="%8."/>
      <w:lvlJc w:val="left"/>
      <w:pPr>
        <w:ind w:left="1020" w:hanging="360"/>
      </w:pPr>
    </w:lvl>
    <w:lvl w:ilvl="8" w:tplc="738666A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9531A00"/>
    <w:multiLevelType w:val="hybridMultilevel"/>
    <w:tmpl w:val="6FCA1D74"/>
    <w:lvl w:ilvl="0" w:tplc="151642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33269"/>
    <w:multiLevelType w:val="hybridMultilevel"/>
    <w:tmpl w:val="5EFAF842"/>
    <w:lvl w:ilvl="0" w:tplc="88909CB6">
      <w:start w:val="1"/>
      <w:numFmt w:val="decimal"/>
      <w:lvlText w:val="%1."/>
      <w:lvlJc w:val="left"/>
      <w:pPr>
        <w:ind w:left="1020" w:hanging="360"/>
      </w:pPr>
    </w:lvl>
    <w:lvl w:ilvl="1" w:tplc="8E200548">
      <w:start w:val="1"/>
      <w:numFmt w:val="decimal"/>
      <w:lvlText w:val="%2."/>
      <w:lvlJc w:val="left"/>
      <w:pPr>
        <w:ind w:left="1020" w:hanging="360"/>
      </w:pPr>
    </w:lvl>
    <w:lvl w:ilvl="2" w:tplc="1592C700">
      <w:start w:val="1"/>
      <w:numFmt w:val="decimal"/>
      <w:lvlText w:val="%3."/>
      <w:lvlJc w:val="left"/>
      <w:pPr>
        <w:ind w:left="1020" w:hanging="360"/>
      </w:pPr>
    </w:lvl>
    <w:lvl w:ilvl="3" w:tplc="F80A4EEC">
      <w:start w:val="1"/>
      <w:numFmt w:val="decimal"/>
      <w:lvlText w:val="%4."/>
      <w:lvlJc w:val="left"/>
      <w:pPr>
        <w:ind w:left="1020" w:hanging="360"/>
      </w:pPr>
    </w:lvl>
    <w:lvl w:ilvl="4" w:tplc="139CA354">
      <w:start w:val="1"/>
      <w:numFmt w:val="decimal"/>
      <w:lvlText w:val="%5."/>
      <w:lvlJc w:val="left"/>
      <w:pPr>
        <w:ind w:left="1020" w:hanging="360"/>
      </w:pPr>
    </w:lvl>
    <w:lvl w:ilvl="5" w:tplc="4670AFEC">
      <w:start w:val="1"/>
      <w:numFmt w:val="decimal"/>
      <w:lvlText w:val="%6."/>
      <w:lvlJc w:val="left"/>
      <w:pPr>
        <w:ind w:left="1020" w:hanging="360"/>
      </w:pPr>
    </w:lvl>
    <w:lvl w:ilvl="6" w:tplc="935CB882">
      <w:start w:val="1"/>
      <w:numFmt w:val="decimal"/>
      <w:lvlText w:val="%7."/>
      <w:lvlJc w:val="left"/>
      <w:pPr>
        <w:ind w:left="1020" w:hanging="360"/>
      </w:pPr>
    </w:lvl>
    <w:lvl w:ilvl="7" w:tplc="F9E8EAEC">
      <w:start w:val="1"/>
      <w:numFmt w:val="decimal"/>
      <w:lvlText w:val="%8."/>
      <w:lvlJc w:val="left"/>
      <w:pPr>
        <w:ind w:left="1020" w:hanging="360"/>
      </w:pPr>
    </w:lvl>
    <w:lvl w:ilvl="8" w:tplc="083C5578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4415CDF"/>
    <w:multiLevelType w:val="hybridMultilevel"/>
    <w:tmpl w:val="3968B9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55E21"/>
    <w:multiLevelType w:val="hybridMultilevel"/>
    <w:tmpl w:val="A2C25590"/>
    <w:lvl w:ilvl="0" w:tplc="0E04FC82">
      <w:start w:val="1"/>
      <w:numFmt w:val="decimal"/>
      <w:lvlText w:val="%1."/>
      <w:lvlJc w:val="left"/>
      <w:pPr>
        <w:ind w:left="720" w:hanging="360"/>
      </w:pPr>
    </w:lvl>
    <w:lvl w:ilvl="1" w:tplc="BE8EE22A">
      <w:start w:val="1"/>
      <w:numFmt w:val="decimal"/>
      <w:lvlText w:val="%2."/>
      <w:lvlJc w:val="left"/>
      <w:pPr>
        <w:ind w:left="720" w:hanging="360"/>
      </w:pPr>
    </w:lvl>
    <w:lvl w:ilvl="2" w:tplc="E24891A0">
      <w:start w:val="1"/>
      <w:numFmt w:val="decimal"/>
      <w:lvlText w:val="%3."/>
      <w:lvlJc w:val="left"/>
      <w:pPr>
        <w:ind w:left="720" w:hanging="360"/>
      </w:pPr>
    </w:lvl>
    <w:lvl w:ilvl="3" w:tplc="277659AC">
      <w:start w:val="1"/>
      <w:numFmt w:val="decimal"/>
      <w:lvlText w:val="%4."/>
      <w:lvlJc w:val="left"/>
      <w:pPr>
        <w:ind w:left="720" w:hanging="360"/>
      </w:pPr>
    </w:lvl>
    <w:lvl w:ilvl="4" w:tplc="7B92264E">
      <w:start w:val="1"/>
      <w:numFmt w:val="decimal"/>
      <w:lvlText w:val="%5."/>
      <w:lvlJc w:val="left"/>
      <w:pPr>
        <w:ind w:left="720" w:hanging="360"/>
      </w:pPr>
    </w:lvl>
    <w:lvl w:ilvl="5" w:tplc="EA30DCC8">
      <w:start w:val="1"/>
      <w:numFmt w:val="decimal"/>
      <w:lvlText w:val="%6."/>
      <w:lvlJc w:val="left"/>
      <w:pPr>
        <w:ind w:left="720" w:hanging="360"/>
      </w:pPr>
    </w:lvl>
    <w:lvl w:ilvl="6" w:tplc="9B126CF6">
      <w:start w:val="1"/>
      <w:numFmt w:val="decimal"/>
      <w:lvlText w:val="%7."/>
      <w:lvlJc w:val="left"/>
      <w:pPr>
        <w:ind w:left="720" w:hanging="360"/>
      </w:pPr>
    </w:lvl>
    <w:lvl w:ilvl="7" w:tplc="829AD42C">
      <w:start w:val="1"/>
      <w:numFmt w:val="decimal"/>
      <w:lvlText w:val="%8."/>
      <w:lvlJc w:val="left"/>
      <w:pPr>
        <w:ind w:left="720" w:hanging="360"/>
      </w:pPr>
    </w:lvl>
    <w:lvl w:ilvl="8" w:tplc="3582311A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3D150E7E"/>
    <w:multiLevelType w:val="hybridMultilevel"/>
    <w:tmpl w:val="08B44872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305DE"/>
    <w:multiLevelType w:val="hybridMultilevel"/>
    <w:tmpl w:val="71A8BD0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77E1A"/>
    <w:multiLevelType w:val="hybridMultilevel"/>
    <w:tmpl w:val="08B4487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847926">
    <w:abstractNumId w:val="4"/>
  </w:num>
  <w:num w:numId="2" w16cid:durableId="1335065533">
    <w:abstractNumId w:val="8"/>
  </w:num>
  <w:num w:numId="3" w16cid:durableId="350378622">
    <w:abstractNumId w:val="7"/>
  </w:num>
  <w:num w:numId="4" w16cid:durableId="399865064">
    <w:abstractNumId w:val="0"/>
  </w:num>
  <w:num w:numId="5" w16cid:durableId="927424840">
    <w:abstractNumId w:val="6"/>
  </w:num>
  <w:num w:numId="6" w16cid:durableId="1379864007">
    <w:abstractNumId w:val="5"/>
  </w:num>
  <w:num w:numId="7" w16cid:durableId="1835028570">
    <w:abstractNumId w:val="1"/>
  </w:num>
  <w:num w:numId="8" w16cid:durableId="1942832992">
    <w:abstractNumId w:val="3"/>
  </w:num>
  <w:num w:numId="9" w16cid:durableId="1708677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4B"/>
    <w:rsid w:val="00035FED"/>
    <w:rsid w:val="00047A26"/>
    <w:rsid w:val="000A0353"/>
    <w:rsid w:val="000A1AFB"/>
    <w:rsid w:val="000E055C"/>
    <w:rsid w:val="00151281"/>
    <w:rsid w:val="00167E94"/>
    <w:rsid w:val="00175EB1"/>
    <w:rsid w:val="00180C29"/>
    <w:rsid w:val="00186C90"/>
    <w:rsid w:val="001B6C6F"/>
    <w:rsid w:val="001B7571"/>
    <w:rsid w:val="001D3BE6"/>
    <w:rsid w:val="001E7382"/>
    <w:rsid w:val="001F1E89"/>
    <w:rsid w:val="002179C3"/>
    <w:rsid w:val="00217C62"/>
    <w:rsid w:val="00224F6A"/>
    <w:rsid w:val="0023649B"/>
    <w:rsid w:val="002421C3"/>
    <w:rsid w:val="00256417"/>
    <w:rsid w:val="00282C0F"/>
    <w:rsid w:val="00285CFD"/>
    <w:rsid w:val="00296D6A"/>
    <w:rsid w:val="002A02EC"/>
    <w:rsid w:val="002A0590"/>
    <w:rsid w:val="002C39A1"/>
    <w:rsid w:val="002E61D5"/>
    <w:rsid w:val="002E718C"/>
    <w:rsid w:val="002F01C6"/>
    <w:rsid w:val="00326AA1"/>
    <w:rsid w:val="003612A4"/>
    <w:rsid w:val="003B543D"/>
    <w:rsid w:val="003B56A2"/>
    <w:rsid w:val="003B574C"/>
    <w:rsid w:val="003F1E87"/>
    <w:rsid w:val="00401462"/>
    <w:rsid w:val="004073DF"/>
    <w:rsid w:val="00411B15"/>
    <w:rsid w:val="00455418"/>
    <w:rsid w:val="004D095D"/>
    <w:rsid w:val="004E0DE0"/>
    <w:rsid w:val="004E3AF7"/>
    <w:rsid w:val="005124DA"/>
    <w:rsid w:val="00515DDB"/>
    <w:rsid w:val="005206B1"/>
    <w:rsid w:val="00561B4F"/>
    <w:rsid w:val="005648AA"/>
    <w:rsid w:val="00580C89"/>
    <w:rsid w:val="00591F39"/>
    <w:rsid w:val="00596218"/>
    <w:rsid w:val="005B053A"/>
    <w:rsid w:val="005B0BDB"/>
    <w:rsid w:val="005B5641"/>
    <w:rsid w:val="005F16E5"/>
    <w:rsid w:val="006001D3"/>
    <w:rsid w:val="006303C8"/>
    <w:rsid w:val="00686E6C"/>
    <w:rsid w:val="006A33CD"/>
    <w:rsid w:val="006A79B3"/>
    <w:rsid w:val="0070524B"/>
    <w:rsid w:val="00712CC9"/>
    <w:rsid w:val="007147C1"/>
    <w:rsid w:val="00735A40"/>
    <w:rsid w:val="007443AE"/>
    <w:rsid w:val="0075653D"/>
    <w:rsid w:val="00780EAD"/>
    <w:rsid w:val="00785886"/>
    <w:rsid w:val="007B0CDE"/>
    <w:rsid w:val="007C2E33"/>
    <w:rsid w:val="007D4E94"/>
    <w:rsid w:val="008101B0"/>
    <w:rsid w:val="00817C92"/>
    <w:rsid w:val="008869EC"/>
    <w:rsid w:val="00895C39"/>
    <w:rsid w:val="008B3F6D"/>
    <w:rsid w:val="008C1F92"/>
    <w:rsid w:val="008F13AF"/>
    <w:rsid w:val="00900391"/>
    <w:rsid w:val="00903098"/>
    <w:rsid w:val="00910B67"/>
    <w:rsid w:val="009265EB"/>
    <w:rsid w:val="00953079"/>
    <w:rsid w:val="009647E2"/>
    <w:rsid w:val="00966923"/>
    <w:rsid w:val="0098752C"/>
    <w:rsid w:val="00995A38"/>
    <w:rsid w:val="00997F73"/>
    <w:rsid w:val="009D537B"/>
    <w:rsid w:val="009D7DE1"/>
    <w:rsid w:val="009F0C68"/>
    <w:rsid w:val="00A02CE0"/>
    <w:rsid w:val="00A02FF0"/>
    <w:rsid w:val="00A213F8"/>
    <w:rsid w:val="00A31B87"/>
    <w:rsid w:val="00A33B4D"/>
    <w:rsid w:val="00A40092"/>
    <w:rsid w:val="00A914E6"/>
    <w:rsid w:val="00AA6864"/>
    <w:rsid w:val="00AB69DD"/>
    <w:rsid w:val="00AC417B"/>
    <w:rsid w:val="00AE4894"/>
    <w:rsid w:val="00AF04CD"/>
    <w:rsid w:val="00AF60D1"/>
    <w:rsid w:val="00AF6814"/>
    <w:rsid w:val="00B07270"/>
    <w:rsid w:val="00B23691"/>
    <w:rsid w:val="00B31402"/>
    <w:rsid w:val="00B366D7"/>
    <w:rsid w:val="00B377DC"/>
    <w:rsid w:val="00B523B2"/>
    <w:rsid w:val="00B55A84"/>
    <w:rsid w:val="00B736E8"/>
    <w:rsid w:val="00BB4AC2"/>
    <w:rsid w:val="00BB56B8"/>
    <w:rsid w:val="00BD7F4E"/>
    <w:rsid w:val="00BE0FAF"/>
    <w:rsid w:val="00C22669"/>
    <w:rsid w:val="00C247AF"/>
    <w:rsid w:val="00C25B06"/>
    <w:rsid w:val="00C32437"/>
    <w:rsid w:val="00C70425"/>
    <w:rsid w:val="00C7526B"/>
    <w:rsid w:val="00C8418C"/>
    <w:rsid w:val="00C85F84"/>
    <w:rsid w:val="00CA40DE"/>
    <w:rsid w:val="00CB11D9"/>
    <w:rsid w:val="00CB63D0"/>
    <w:rsid w:val="00CD327C"/>
    <w:rsid w:val="00CF0B3A"/>
    <w:rsid w:val="00CF567A"/>
    <w:rsid w:val="00D13487"/>
    <w:rsid w:val="00D1737B"/>
    <w:rsid w:val="00D4119D"/>
    <w:rsid w:val="00D5008F"/>
    <w:rsid w:val="00D94A7C"/>
    <w:rsid w:val="00D9678F"/>
    <w:rsid w:val="00D9738C"/>
    <w:rsid w:val="00DA3CB9"/>
    <w:rsid w:val="00DC165F"/>
    <w:rsid w:val="00DC20D5"/>
    <w:rsid w:val="00DD0E48"/>
    <w:rsid w:val="00DE6319"/>
    <w:rsid w:val="00E06340"/>
    <w:rsid w:val="00E072D9"/>
    <w:rsid w:val="00E2259E"/>
    <w:rsid w:val="00E541DA"/>
    <w:rsid w:val="00E76761"/>
    <w:rsid w:val="00E8313B"/>
    <w:rsid w:val="00E86F55"/>
    <w:rsid w:val="00E87F42"/>
    <w:rsid w:val="00EB6AB1"/>
    <w:rsid w:val="00ED1628"/>
    <w:rsid w:val="00EE5913"/>
    <w:rsid w:val="00EE7F36"/>
    <w:rsid w:val="00F03496"/>
    <w:rsid w:val="00F24C9A"/>
    <w:rsid w:val="00F3520A"/>
    <w:rsid w:val="00F636CF"/>
    <w:rsid w:val="00F647E6"/>
    <w:rsid w:val="00F76133"/>
    <w:rsid w:val="00F84BF8"/>
    <w:rsid w:val="00FA2842"/>
    <w:rsid w:val="00FD7806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7E475"/>
  <w15:chartTrackingRefBased/>
  <w15:docId w15:val="{55FF3722-4A2B-4273-91EA-CCA16AE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588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2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65EB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BB4AC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752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52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52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52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526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736E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36E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6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47E2"/>
  </w:style>
  <w:style w:type="paragraph" w:styleId="Voettekst">
    <w:name w:val="footer"/>
    <w:basedOn w:val="Standaard"/>
    <w:link w:val="VoettekstChar"/>
    <w:uiPriority w:val="99"/>
    <w:unhideWhenUsed/>
    <w:rsid w:val="0096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1512</ap:Words>
  <ap:Characters>8317</ap:Characters>
  <ap:DocSecurity>0</ap:DocSecurity>
  <ap:Lines>69</ap:Lines>
  <ap:Paragraphs>19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2025-02-06T13:21:00.0000000Z</dcterms:created>
  <dcterms:modified xsi:type="dcterms:W3CDTF">2025-02-06T13:21:00.0000000Z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F_DOMEA_PROD">
    <vt:lpwstr>5109F8D0-B0B2-11EF-B60A-802C461440EF</vt:lpwstr>
  </property>
  <property fmtid="{D5CDD505-2E9C-101B-9397-08002B2CF9AE}" pid="3" name="MSIP_Label_b2aa6e22-2c82-48c6-bf24-1790f4b9c128_Enabled">
    <vt:lpwstr>true</vt:lpwstr>
  </property>
  <property fmtid="{D5CDD505-2E9C-101B-9397-08002B2CF9AE}" pid="4" name="MSIP_Label_b2aa6e22-2c82-48c6-bf24-1790f4b9c128_SetDate">
    <vt:lpwstr>2024-12-04T11:15:42Z</vt:lpwstr>
  </property>
  <property fmtid="{D5CDD505-2E9C-101B-9397-08002B2CF9AE}" pid="5" name="MSIP_Label_b2aa6e22-2c82-48c6-bf24-1790f4b9c128_Method">
    <vt:lpwstr>Standard</vt:lpwstr>
  </property>
  <property fmtid="{D5CDD505-2E9C-101B-9397-08002B2CF9AE}" pid="6" name="MSIP_Label_b2aa6e22-2c82-48c6-bf24-1790f4b9c128_Name">
    <vt:lpwstr>FIN-DGFZ-Rijksoverheid</vt:lpwstr>
  </property>
  <property fmtid="{D5CDD505-2E9C-101B-9397-08002B2CF9AE}" pid="7" name="MSIP_Label_b2aa6e22-2c82-48c6-bf24-1790f4b9c128_SiteId">
    <vt:lpwstr>84712536-f524-40a0-913b-5d25ba502732</vt:lpwstr>
  </property>
  <property fmtid="{D5CDD505-2E9C-101B-9397-08002B2CF9AE}" pid="8" name="MSIP_Label_b2aa6e22-2c82-48c6-bf24-1790f4b9c128_ActionId">
    <vt:lpwstr>cfe72ae4-015e-467f-9945-dc6068b8a07d</vt:lpwstr>
  </property>
  <property fmtid="{D5CDD505-2E9C-101B-9397-08002B2CF9AE}" pid="9" name="MSIP_Label_b2aa6e22-2c82-48c6-bf24-1790f4b9c128_ContentBits">
    <vt:lpwstr>0</vt:lpwstr>
  </property>
</Properties>
</file>