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04EF" w:rsidR="005F04EF" w:rsidP="005F04EF" w:rsidRDefault="00E444D0" w14:paraId="5777C555" w14:textId="1330FE5E">
      <w:pPr>
        <w:rPr>
          <w:b/>
          <w:bCs/>
          <w:sz w:val="48"/>
          <w:szCs w:val="48"/>
        </w:rPr>
      </w:pPr>
      <w:r w:rsidRPr="005F04EF">
        <w:rPr>
          <w:b/>
          <w:bCs/>
          <w:sz w:val="48"/>
          <w:szCs w:val="48"/>
        </w:rPr>
        <w:t>Sta</w:t>
      </w:r>
      <w:r w:rsidRPr="005F04EF" w:rsidR="005F04EF">
        <w:rPr>
          <w:b/>
          <w:bCs/>
          <w:sz w:val="48"/>
          <w:szCs w:val="48"/>
        </w:rPr>
        <w:t>ten-Generaal</w:t>
      </w:r>
      <w:r w:rsidRPr="005F04EF" w:rsidR="005F04EF">
        <w:rPr>
          <w:b/>
          <w:bCs/>
          <w:sz w:val="48"/>
          <w:szCs w:val="48"/>
        </w:rPr>
        <w:tab/>
      </w:r>
      <w:r w:rsidRPr="005F04EF" w:rsidR="005F04EF">
        <w:rPr>
          <w:b/>
          <w:bCs/>
          <w:sz w:val="48"/>
          <w:szCs w:val="48"/>
        </w:rPr>
        <w:tab/>
      </w:r>
      <w:r w:rsidRPr="005F04EF" w:rsidR="005F04EF">
        <w:rPr>
          <w:b/>
          <w:bCs/>
          <w:sz w:val="48"/>
          <w:szCs w:val="48"/>
        </w:rPr>
        <w:tab/>
      </w:r>
      <w:r w:rsidRPr="005F04EF" w:rsidR="005F04EF">
        <w:rPr>
          <w:b/>
          <w:bCs/>
          <w:sz w:val="48"/>
          <w:szCs w:val="48"/>
        </w:rPr>
        <w:tab/>
      </w:r>
      <w:r w:rsidRPr="005F04EF" w:rsidR="005F04EF">
        <w:rPr>
          <w:b/>
          <w:bCs/>
          <w:sz w:val="48"/>
          <w:szCs w:val="48"/>
        </w:rPr>
        <w:t>A</w:t>
      </w:r>
      <w:r w:rsidRPr="005F04EF" w:rsidR="005F04EF">
        <w:rPr>
          <w:b/>
          <w:bCs/>
          <w:sz w:val="48"/>
          <w:szCs w:val="48"/>
        </w:rPr>
        <w:tab/>
      </w:r>
      <w:r w:rsidRPr="005F04EF" w:rsidR="005F04EF">
        <w:rPr>
          <w:b/>
          <w:bCs/>
          <w:sz w:val="48"/>
          <w:szCs w:val="48"/>
        </w:rPr>
        <w:tab/>
      </w:r>
      <w:r w:rsidR="005F04EF">
        <w:rPr>
          <w:b/>
          <w:bCs/>
          <w:sz w:val="48"/>
          <w:szCs w:val="48"/>
        </w:rPr>
        <w:t xml:space="preserve">    </w:t>
      </w:r>
      <w:r w:rsidRPr="005F04EF" w:rsidR="005F04EF">
        <w:rPr>
          <w:b/>
          <w:bCs/>
          <w:sz w:val="48"/>
          <w:szCs w:val="48"/>
        </w:rPr>
        <w:t>1/2</w:t>
      </w:r>
    </w:p>
    <w:p w:rsidR="00E444D0" w:rsidP="009F0BD9" w:rsidRDefault="00E444D0" w14:paraId="15614169" w14:textId="28DA32BC"/>
    <w:p w:rsidR="009F0BD9" w:rsidP="009F0BD9" w:rsidRDefault="009F0BD9" w14:paraId="472010A9" w14:textId="325F246B">
      <w:pPr>
        <w:rPr>
          <w:b/>
          <w:sz w:val="52"/>
        </w:rPr>
      </w:pPr>
      <w:r>
        <w:t>Vergaderjaar 2024-2025</w:t>
      </w:r>
      <w:r>
        <w:tab/>
      </w:r>
      <w:r>
        <w:tab/>
      </w:r>
    </w:p>
    <w:p w:rsidR="009F0BD9" w:rsidP="009F0BD9" w:rsidRDefault="009F0BD9" w14:paraId="342C10B7" w14:textId="77777777"/>
    <w:p w:rsidRPr="009F0BD9" w:rsidR="009F0BD9" w:rsidP="009F0BD9" w:rsidRDefault="009F0BD9" w14:paraId="74EAB99F" w14:textId="77777777">
      <w:pPr>
        <w:ind w:left="2124" w:hanging="2124"/>
        <w:rPr>
          <w:b/>
          <w:bCs/>
          <w:szCs w:val="24"/>
        </w:rPr>
      </w:pPr>
      <w:r w:rsidRPr="009F0BD9">
        <w:rPr>
          <w:b/>
          <w:bCs/>
        </w:rPr>
        <w:t>36 694 (R2206)</w:t>
      </w:r>
      <w:r w:rsidRPr="009F0BD9">
        <w:rPr>
          <w:b/>
          <w:bCs/>
        </w:rPr>
        <w:tab/>
      </w:r>
      <w:r w:rsidRPr="009F0BD9">
        <w:rPr>
          <w:b/>
          <w:bCs/>
          <w:szCs w:val="24"/>
        </w:rPr>
        <w:t>Wijziging van de Overeenkomst betreffende de Internationale Bank voor Herstel en Ontwikkeling (IBRD/Wereldbank); Washington, 10 juli 2023</w:t>
      </w:r>
    </w:p>
    <w:p w:rsidRPr="009F0BD9" w:rsidR="009F0BD9" w:rsidP="009F0BD9" w:rsidRDefault="009F0BD9" w14:paraId="198A16D9" w14:textId="6BE011F4">
      <w:pPr>
        <w:ind w:left="2124" w:hanging="2124"/>
        <w:rPr>
          <w:b/>
          <w:bCs/>
        </w:rPr>
      </w:pPr>
    </w:p>
    <w:p w:rsidR="009F0BD9" w:rsidP="009F0BD9" w:rsidRDefault="009F0BD9" w14:paraId="619B388E" w14:textId="77777777"/>
    <w:p w:rsidRPr="009F0BD9" w:rsidR="009F0BD9" w:rsidP="009F0BD9" w:rsidRDefault="009F0BD9" w14:paraId="1AD5827E" w14:textId="782CA6D3">
      <w:pPr>
        <w:rPr>
          <w:b/>
          <w:bCs/>
        </w:rPr>
      </w:pPr>
      <w:r w:rsidRPr="009F0BD9">
        <w:rPr>
          <w:b/>
          <w:bCs/>
        </w:rPr>
        <w:t>Nr.1</w:t>
      </w:r>
      <w:r w:rsidRPr="009F0BD9">
        <w:rPr>
          <w:b/>
          <w:bCs/>
        </w:rPr>
        <w:tab/>
      </w:r>
      <w:r w:rsidRPr="009F0BD9">
        <w:rPr>
          <w:b/>
          <w:bCs/>
        </w:rPr>
        <w:tab/>
      </w:r>
      <w:r w:rsidRPr="009F0BD9">
        <w:rPr>
          <w:b/>
          <w:bCs/>
        </w:rPr>
        <w:tab/>
        <w:t xml:space="preserve">BRIEF VAN DE MINISTER VAN BUITENLANDSE ZAKEN </w:t>
      </w:r>
    </w:p>
    <w:p w:rsidR="009F0BD9" w:rsidP="009F0BD9" w:rsidRDefault="009F0BD9" w14:paraId="0BFBECA0" w14:textId="77777777"/>
    <w:p w:rsidR="009F0BD9" w:rsidP="009F0BD9" w:rsidRDefault="009F0BD9" w14:paraId="5AB1693A" w14:textId="77777777">
      <w:pPr>
        <w:ind w:left="2124"/>
      </w:pPr>
      <w:r>
        <w:t>Aan de Voorzitters van de Eerste en van de Tweede Kamer der Staten-Generaal</w:t>
      </w:r>
    </w:p>
    <w:p w:rsidR="009F0BD9" w:rsidP="009F0BD9" w:rsidRDefault="009F0BD9" w14:paraId="23A774A2" w14:textId="77777777">
      <w:r>
        <w:tab/>
      </w:r>
    </w:p>
    <w:p w:rsidR="009F0BD9" w:rsidP="009F0BD9" w:rsidRDefault="009F0BD9" w14:paraId="631EAB43" w14:textId="4C19B7BF">
      <w:pPr>
        <w:ind w:left="1416" w:firstLine="708"/>
      </w:pPr>
      <w:r>
        <w:t>Den Haag, 24 januari 2025</w:t>
      </w:r>
    </w:p>
    <w:p w:rsidR="009F0BD9" w:rsidP="009F0BD9" w:rsidRDefault="009F0BD9" w14:paraId="6ED5DAA3" w14:textId="77777777"/>
    <w:p w:rsidR="009F0BD9" w:rsidP="009F0BD9" w:rsidRDefault="009F0BD9" w14:paraId="161520D5" w14:textId="77777777">
      <w:r>
        <w:t xml:space="preserve">Overeenkomstig het bepaalde in artikel 2, eerste en derde lid, en artikel 5, eerste en tweede lid, van de Rijkswet goedkeuring en bekendmaking verdragen, de Raad van State van het Koninkrijk gehoord, heb ik de eer u hierbij ter stilzwijgende goedkeuring over te leggen de op </w:t>
      </w:r>
      <w:r w:rsidRPr="00BF1998">
        <w:t>10 juli 2023</w:t>
      </w:r>
      <w:r>
        <w:t xml:space="preserve"> te </w:t>
      </w:r>
      <w:r w:rsidRPr="00BF1998">
        <w:rPr>
          <w:szCs w:val="18"/>
          <w:lang w:eastAsia="zh-CN"/>
        </w:rPr>
        <w:t>Washington</w:t>
      </w:r>
      <w:r>
        <w:t xml:space="preserve"> tot stand gekomen </w:t>
      </w:r>
      <w:r w:rsidRPr="00BF1998">
        <w:rPr>
          <w:szCs w:val="18"/>
          <w:lang w:eastAsia="zh-CN"/>
        </w:rPr>
        <w:t>Wijziging van de Overeenkomst betreffende de Internationale Bank voor Herstel en Ontwikkeling (IBRD/Wereldbank)</w:t>
      </w:r>
      <w:r>
        <w:rPr>
          <w:szCs w:val="18"/>
          <w:lang w:eastAsia="zh-CN"/>
        </w:rPr>
        <w:t xml:space="preserve"> </w:t>
      </w:r>
      <w:r w:rsidRPr="00D93BE3">
        <w:rPr>
          <w:szCs w:val="18"/>
        </w:rPr>
        <w:t>(</w:t>
      </w:r>
      <w:proofErr w:type="spellStart"/>
      <w:r w:rsidRPr="00D93BE3">
        <w:rPr>
          <w:szCs w:val="18"/>
        </w:rPr>
        <w:t>Trb</w:t>
      </w:r>
      <w:proofErr w:type="spellEnd"/>
      <w:r w:rsidRPr="00D93BE3">
        <w:rPr>
          <w:szCs w:val="18"/>
        </w:rPr>
        <w:t xml:space="preserve">. </w:t>
      </w:r>
      <w:r>
        <w:rPr>
          <w:szCs w:val="18"/>
        </w:rPr>
        <w:t>2023</w:t>
      </w:r>
      <w:r w:rsidRPr="00D93BE3">
        <w:rPr>
          <w:szCs w:val="18"/>
        </w:rPr>
        <w:t>, 1</w:t>
      </w:r>
      <w:r>
        <w:rPr>
          <w:szCs w:val="18"/>
        </w:rPr>
        <w:t>45</w:t>
      </w:r>
      <w:r w:rsidRPr="00D93BE3">
        <w:rPr>
          <w:szCs w:val="18"/>
        </w:rPr>
        <w:t>)</w:t>
      </w:r>
      <w:r>
        <w:rPr>
          <w:szCs w:val="18"/>
        </w:rPr>
        <w:t>.</w:t>
      </w:r>
    </w:p>
    <w:p w:rsidR="009F0BD9" w:rsidP="009F0BD9" w:rsidRDefault="009F0BD9" w14:paraId="43995449" w14:textId="77777777"/>
    <w:p w:rsidR="009F0BD9" w:rsidP="009F0BD9" w:rsidRDefault="009F0BD9" w14:paraId="6C43443E" w14:textId="77777777">
      <w:r>
        <w:t>Een toelichtende nota bij deze wijziging treft u eveneens hierbij aan.</w:t>
      </w:r>
    </w:p>
    <w:p w:rsidR="009F0BD9" w:rsidP="009F0BD9" w:rsidRDefault="009F0BD9" w14:paraId="6B9DE28D" w14:textId="77777777"/>
    <w:p w:rsidR="009F0BD9" w:rsidP="009F0BD9" w:rsidRDefault="009F0BD9" w14:paraId="230927F2" w14:textId="77777777">
      <w:r>
        <w:t>De goedkeuring wordt voor het gehele Koninkrijk gevraagd.</w:t>
      </w:r>
    </w:p>
    <w:p w:rsidR="009F0BD9" w:rsidP="009F0BD9" w:rsidRDefault="009F0BD9" w14:paraId="314E37F8" w14:textId="77777777"/>
    <w:p w:rsidR="009F0BD9" w:rsidP="009F0BD9" w:rsidRDefault="009F0BD9" w14:paraId="20C602C2" w14:textId="77777777">
      <w:r>
        <w:t>Aan de Gouverneurs van Aruba, Curaçao en van Sint Maarten is verzocht hogergenoemde stukken op 7 februari 2025 over te leggen aan de Staten van Aruba, Curaçao en van Sint Maarten.</w:t>
      </w:r>
    </w:p>
    <w:p w:rsidR="009F0BD9" w:rsidP="009F0BD9" w:rsidRDefault="009F0BD9" w14:paraId="676481E6" w14:textId="77777777"/>
    <w:p w:rsidR="009F0BD9" w:rsidP="009F0BD9" w:rsidRDefault="009F0BD9" w14:paraId="15D841F4" w14:textId="77777777">
      <w:r>
        <w:t>De Gevolmachtigde Ministers van Aruba, Curaçao en van Sint Maarten zijn van deze overlegging in kennis gesteld.</w:t>
      </w:r>
    </w:p>
    <w:p w:rsidR="009F0BD9" w:rsidP="009F0BD9" w:rsidRDefault="009F0BD9" w14:paraId="2466E89C" w14:textId="77777777"/>
    <w:p w:rsidR="009F0BD9" w:rsidP="009F0BD9" w:rsidRDefault="009F0BD9" w14:paraId="1AF680A4" w14:textId="77777777">
      <w:pPr>
        <w:tabs>
          <w:tab w:val="left" w:pos="5580"/>
        </w:tabs>
      </w:pPr>
      <w:r>
        <w:tab/>
      </w:r>
    </w:p>
    <w:p w:rsidR="009F0BD9" w:rsidP="009F0BD9" w:rsidRDefault="009F0BD9" w14:paraId="29986577" w14:textId="32DF4908">
      <w:r>
        <w:t xml:space="preserve">De </w:t>
      </w:r>
      <w:r w:rsidR="005F04EF">
        <w:t>m</w:t>
      </w:r>
      <w:r>
        <w:t>inister van Buitenlandse Zaken,</w:t>
      </w:r>
    </w:p>
    <w:p w:rsidRPr="00CE4B5D" w:rsidR="009F0BD9" w:rsidP="009F0BD9" w:rsidRDefault="005F04EF" w14:paraId="3CA9EFDE" w14:textId="33C7BB5E">
      <w:r>
        <w:t xml:space="preserve">C.C.J. </w:t>
      </w:r>
      <w:r w:rsidR="009F0BD9">
        <w:t>Veldkamp</w:t>
      </w:r>
    </w:p>
    <w:p w:rsidR="005826E6" w:rsidP="005826E6" w:rsidRDefault="005826E6" w14:paraId="62A2F16F" w14:textId="77777777">
      <w:pPr>
        <w:suppressAutoHyphens/>
        <w:rPr>
          <w:sz w:val="20"/>
        </w:rPr>
      </w:pPr>
    </w:p>
    <w:p w:rsidRPr="005826E6" w:rsidR="005826E6" w:rsidP="005826E6" w:rsidRDefault="005826E6" w14:paraId="099BB017" w14:textId="732EBA03">
      <w:pPr>
        <w:suppressAutoHyphens/>
        <w:rPr>
          <w:sz w:val="20"/>
        </w:rPr>
      </w:pPr>
      <w:r w:rsidRPr="005826E6">
        <w:rPr>
          <w:sz w:val="20"/>
        </w:rPr>
        <w:t xml:space="preserve">Ter griffie van de Eerste en van de </w:t>
      </w:r>
    </w:p>
    <w:p w:rsidRPr="005826E6" w:rsidR="005826E6" w:rsidP="005826E6" w:rsidRDefault="005826E6" w14:paraId="34BF203F" w14:textId="77777777">
      <w:pPr>
        <w:suppressAutoHyphens/>
        <w:rPr>
          <w:sz w:val="20"/>
        </w:rPr>
      </w:pPr>
      <w:r w:rsidRPr="005826E6">
        <w:rPr>
          <w:sz w:val="20"/>
        </w:rPr>
        <w:fldChar w:fldCharType="begin"/>
      </w:r>
      <w:r w:rsidRPr="005826E6">
        <w:rPr>
          <w:sz w:val="20"/>
        </w:rPr>
        <w:instrText xml:space="preserve">PRIVATE </w:instrText>
      </w:r>
      <w:r w:rsidRPr="005826E6">
        <w:rPr>
          <w:sz w:val="20"/>
        </w:rPr>
      </w:r>
      <w:r w:rsidRPr="005826E6">
        <w:rPr>
          <w:sz w:val="20"/>
        </w:rPr>
        <w:fldChar w:fldCharType="end"/>
      </w:r>
      <w:r w:rsidRPr="005826E6">
        <w:rPr>
          <w:sz w:val="20"/>
        </w:rPr>
        <w:t xml:space="preserve">Tweede Kamer der Staten-Generaal </w:t>
      </w:r>
    </w:p>
    <w:p w:rsidRPr="005826E6" w:rsidR="005826E6" w:rsidP="005826E6" w:rsidRDefault="005826E6" w14:paraId="2344EC14" w14:textId="77777777">
      <w:pPr>
        <w:suppressAutoHyphens/>
        <w:rPr>
          <w:sz w:val="20"/>
        </w:rPr>
      </w:pPr>
      <w:r w:rsidRPr="005826E6">
        <w:rPr>
          <w:sz w:val="20"/>
        </w:rPr>
        <w:t>ontvangen op 7 februari 2025.</w:t>
      </w:r>
    </w:p>
    <w:p w:rsidRPr="005826E6" w:rsidR="005826E6" w:rsidP="005826E6" w:rsidRDefault="005826E6" w14:paraId="262170EB" w14:textId="77777777">
      <w:pPr>
        <w:suppressAutoHyphens/>
        <w:rPr>
          <w:sz w:val="20"/>
        </w:rPr>
      </w:pPr>
    </w:p>
    <w:p w:rsidRPr="005826E6" w:rsidR="005826E6" w:rsidP="005826E6" w:rsidRDefault="005826E6" w14:paraId="6BF59CF1" w14:textId="77777777">
      <w:pPr>
        <w:suppressAutoHyphens/>
        <w:rPr>
          <w:sz w:val="20"/>
        </w:rPr>
      </w:pPr>
      <w:r w:rsidRPr="005826E6">
        <w:rPr>
          <w:sz w:val="20"/>
        </w:rPr>
        <w:t xml:space="preserve">De wens dat het verdrag aan de </w:t>
      </w:r>
    </w:p>
    <w:p w:rsidRPr="005826E6" w:rsidR="005826E6" w:rsidP="005826E6" w:rsidRDefault="005826E6" w14:paraId="4892C4E2" w14:textId="77777777">
      <w:pPr>
        <w:suppressAutoHyphens/>
        <w:rPr>
          <w:sz w:val="20"/>
        </w:rPr>
      </w:pPr>
      <w:r w:rsidRPr="005826E6">
        <w:rPr>
          <w:sz w:val="20"/>
        </w:rPr>
        <w:t xml:space="preserve">uitdrukkelijke goedkeuring van de </w:t>
      </w:r>
    </w:p>
    <w:p w:rsidRPr="005826E6" w:rsidR="005826E6" w:rsidP="005826E6" w:rsidRDefault="005826E6" w14:paraId="4197EB57" w14:textId="77777777">
      <w:pPr>
        <w:suppressAutoHyphens/>
        <w:rPr>
          <w:sz w:val="20"/>
        </w:rPr>
      </w:pPr>
      <w:r w:rsidRPr="005826E6">
        <w:rPr>
          <w:sz w:val="20"/>
        </w:rPr>
        <w:t xml:space="preserve">Staten-Generaal wordt onderworpen </w:t>
      </w:r>
    </w:p>
    <w:p w:rsidRPr="005826E6" w:rsidR="005826E6" w:rsidP="005826E6" w:rsidRDefault="005826E6" w14:paraId="7C2C4F41" w14:textId="77777777">
      <w:pPr>
        <w:suppressAutoHyphens/>
        <w:rPr>
          <w:sz w:val="20"/>
        </w:rPr>
      </w:pPr>
      <w:r w:rsidRPr="005826E6">
        <w:rPr>
          <w:sz w:val="20"/>
        </w:rPr>
        <w:t xml:space="preserve">kan door of namens een van de Kamers </w:t>
      </w:r>
    </w:p>
    <w:p w:rsidRPr="005826E6" w:rsidR="005826E6" w:rsidP="005826E6" w:rsidRDefault="005826E6" w14:paraId="4AE96AF9" w14:textId="77777777">
      <w:pPr>
        <w:suppressAutoHyphens/>
        <w:rPr>
          <w:sz w:val="20"/>
        </w:rPr>
      </w:pPr>
      <w:r w:rsidRPr="005826E6">
        <w:rPr>
          <w:sz w:val="20"/>
        </w:rPr>
        <w:t xml:space="preserve">of door ten minste vijftien leden van de </w:t>
      </w:r>
    </w:p>
    <w:p w:rsidRPr="005826E6" w:rsidR="005826E6" w:rsidP="005826E6" w:rsidRDefault="005826E6" w14:paraId="77B99DC2" w14:textId="77777777">
      <w:pPr>
        <w:suppressAutoHyphens/>
        <w:rPr>
          <w:sz w:val="20"/>
        </w:rPr>
      </w:pPr>
      <w:r w:rsidRPr="005826E6">
        <w:rPr>
          <w:sz w:val="20"/>
        </w:rPr>
        <w:t xml:space="preserve">Eerste Kamer dan wel dertig leden van </w:t>
      </w:r>
    </w:p>
    <w:p w:rsidRPr="005826E6" w:rsidR="005826E6" w:rsidP="005826E6" w:rsidRDefault="005826E6" w14:paraId="26E60A5F" w14:textId="77777777">
      <w:pPr>
        <w:suppressAutoHyphens/>
        <w:rPr>
          <w:sz w:val="20"/>
        </w:rPr>
      </w:pPr>
      <w:r w:rsidRPr="005826E6">
        <w:rPr>
          <w:sz w:val="20"/>
        </w:rPr>
        <w:t xml:space="preserve">de Tweede Kamer of door de </w:t>
      </w:r>
      <w:r w:rsidRPr="005826E6">
        <w:rPr>
          <w:sz w:val="20"/>
        </w:rPr>
        <w:br/>
        <w:t xml:space="preserve">Gevolmachtigde Ministers van Aruba, </w:t>
      </w:r>
      <w:r w:rsidRPr="005826E6">
        <w:rPr>
          <w:sz w:val="20"/>
        </w:rPr>
        <w:br/>
        <w:t xml:space="preserve">Curaçao of Sint Maarten te kennen </w:t>
      </w:r>
      <w:r w:rsidRPr="005826E6">
        <w:rPr>
          <w:sz w:val="20"/>
        </w:rPr>
        <w:br/>
        <w:t xml:space="preserve">worden gegeven uiterlijk op </w:t>
      </w:r>
    </w:p>
    <w:p w:rsidRPr="005826E6" w:rsidR="005826E6" w:rsidP="005826E6" w:rsidRDefault="005826E6" w14:paraId="6228B1C1" w14:textId="77777777">
      <w:pPr>
        <w:suppressAutoHyphens/>
        <w:rPr>
          <w:sz w:val="20"/>
        </w:rPr>
      </w:pPr>
      <w:r w:rsidRPr="005826E6">
        <w:rPr>
          <w:sz w:val="20"/>
        </w:rPr>
        <w:t>9 maart 2025.</w:t>
      </w:r>
    </w:p>
    <w:p w:rsidRPr="00702C86" w:rsidR="009F0BD9" w:rsidP="009F0BD9" w:rsidRDefault="009F0BD9" w14:paraId="1B86F283" w14:textId="106BD121">
      <w:pPr>
        <w:jc w:val="both"/>
        <w:rPr>
          <w:color w:val="211D1F"/>
          <w:szCs w:val="24"/>
        </w:rPr>
      </w:pPr>
      <w:r w:rsidRPr="00702C86">
        <w:rPr>
          <w:b/>
          <w:bCs/>
          <w:color w:val="211D1F"/>
          <w:szCs w:val="24"/>
        </w:rPr>
        <w:lastRenderedPageBreak/>
        <w:t xml:space="preserve">TOELICHTENDE NOTA </w:t>
      </w:r>
    </w:p>
    <w:p w:rsidRPr="00702C86" w:rsidR="009F0BD9" w:rsidP="009F0BD9" w:rsidRDefault="009F0BD9" w14:paraId="23125A91" w14:textId="77777777">
      <w:pPr>
        <w:pStyle w:val="Default"/>
        <w:jc w:val="both"/>
        <w:rPr>
          <w:rFonts w:ascii="Times New Roman" w:hAnsi="Times New Roman" w:cs="Times New Roman"/>
          <w:b/>
          <w:bCs/>
          <w:color w:val="211D1F"/>
        </w:rPr>
      </w:pPr>
    </w:p>
    <w:p w:rsidRPr="00702C86" w:rsidR="009F0BD9" w:rsidP="009F0BD9" w:rsidRDefault="009F0BD9" w14:paraId="12293163" w14:textId="77777777">
      <w:pPr>
        <w:pStyle w:val="Default"/>
        <w:jc w:val="both"/>
        <w:rPr>
          <w:rFonts w:ascii="Times New Roman" w:hAnsi="Times New Roman" w:cs="Times New Roman"/>
          <w:b/>
          <w:bCs/>
          <w:color w:val="auto"/>
        </w:rPr>
      </w:pPr>
      <w:r w:rsidRPr="00702C86">
        <w:rPr>
          <w:rFonts w:ascii="Times New Roman" w:hAnsi="Times New Roman" w:cs="Times New Roman"/>
          <w:b/>
          <w:bCs/>
          <w:color w:val="auto"/>
        </w:rPr>
        <w:t xml:space="preserve">Inleiding </w:t>
      </w:r>
    </w:p>
    <w:p w:rsidRPr="00702C86" w:rsidR="009F0BD9" w:rsidP="009F0BD9" w:rsidRDefault="009F0BD9" w14:paraId="51586C18" w14:textId="77777777">
      <w:pPr>
        <w:pStyle w:val="Default"/>
        <w:jc w:val="both"/>
        <w:rPr>
          <w:rFonts w:ascii="Times New Roman" w:hAnsi="Times New Roman" w:cs="Times New Roman"/>
          <w:b/>
          <w:bCs/>
          <w:color w:val="auto"/>
        </w:rPr>
      </w:pPr>
    </w:p>
    <w:p w:rsidRPr="00702C86" w:rsidR="009F0BD9" w:rsidP="009F0BD9" w:rsidRDefault="009F0BD9" w14:paraId="4837B959" w14:textId="77777777">
      <w:pPr>
        <w:jc w:val="both"/>
        <w:rPr>
          <w:szCs w:val="24"/>
        </w:rPr>
      </w:pPr>
      <w:r w:rsidRPr="00702C86">
        <w:rPr>
          <w:szCs w:val="24"/>
        </w:rPr>
        <w:t>Tijdens een vergadering van de Internationale Bank voor Herstel en Ontwikkeling (IBRD, de grootste tak van de Wereldbank</w:t>
      </w:r>
      <w:r w:rsidRPr="00702C86">
        <w:rPr>
          <w:color w:val="211D1F"/>
          <w:szCs w:val="24"/>
        </w:rPr>
        <w:t>) op 10 juli 2023 heeft de Raad van Bestuur</w:t>
      </w:r>
      <w:r w:rsidRPr="00702C86">
        <w:rPr>
          <w:rStyle w:val="Voetnootmarkering"/>
          <w:rFonts w:eastAsiaTheme="majorEastAsia"/>
          <w:color w:val="211D1F"/>
          <w:szCs w:val="24"/>
        </w:rPr>
        <w:footnoteReference w:id="1"/>
      </w:r>
      <w:r w:rsidRPr="00702C86">
        <w:rPr>
          <w:color w:val="211D1F"/>
          <w:szCs w:val="24"/>
        </w:rPr>
        <w:t xml:space="preserve"> resolutie 696 aangenomen, die voorziet in het schrappen van artikel III, sectie 3, van de op 27 december 1945 te Washington tot stand gekomen Overeenkomst betreffende de Internationale Bank voor Herstel en Ontwikkeling (hierna: «de Overeenkomst»). De Raad van Bestuur is het hoogste orgaan van de Wereldbank, en daarmee ook van de IBRD. </w:t>
      </w:r>
      <w:r w:rsidRPr="00702C86">
        <w:rPr>
          <w:szCs w:val="24"/>
        </w:rPr>
        <w:t xml:space="preserve">Met dit amendement schrapt de IBRD de Statutaire Leenlimiet (SLL) uit de Overeenkomst. Deze belangrijke wijziging zorgt de komende jaren voor een hogere leencapaciteit van de IBRD. Zo kunnen extra investeringen plaatsvinden, onder andere op het gebied van klimaat, pandemieparaatheid en fragiliteit.   </w:t>
      </w:r>
    </w:p>
    <w:p w:rsidRPr="00702C86" w:rsidR="009F0BD9" w:rsidP="009F0BD9" w:rsidRDefault="009F0BD9" w14:paraId="1CCE6300" w14:textId="77777777">
      <w:pPr>
        <w:jc w:val="both"/>
        <w:rPr>
          <w:b/>
          <w:bCs/>
          <w:szCs w:val="24"/>
        </w:rPr>
      </w:pPr>
    </w:p>
    <w:p w:rsidRPr="00702C86" w:rsidR="009F0BD9" w:rsidP="009F0BD9" w:rsidRDefault="009F0BD9" w14:paraId="34B8BE68" w14:textId="77777777">
      <w:pPr>
        <w:jc w:val="both"/>
        <w:rPr>
          <w:b/>
          <w:bCs/>
          <w:szCs w:val="24"/>
        </w:rPr>
      </w:pPr>
      <w:r w:rsidRPr="00702C86">
        <w:rPr>
          <w:b/>
          <w:bCs/>
          <w:szCs w:val="24"/>
        </w:rPr>
        <w:t>Verloop van de onderhandelingen</w:t>
      </w:r>
    </w:p>
    <w:p w:rsidRPr="00702C86" w:rsidR="009F0BD9" w:rsidP="009F0BD9" w:rsidRDefault="009F0BD9" w14:paraId="2E6D7998" w14:textId="77777777">
      <w:pPr>
        <w:jc w:val="both"/>
        <w:rPr>
          <w:szCs w:val="24"/>
        </w:rPr>
      </w:pPr>
      <w:r w:rsidRPr="00702C86">
        <w:rPr>
          <w:b/>
          <w:bCs/>
          <w:szCs w:val="24"/>
        </w:rPr>
        <w:br/>
      </w:r>
      <w:r w:rsidRPr="00702C86">
        <w:rPr>
          <w:szCs w:val="24"/>
        </w:rPr>
        <w:t>De Wereldbank is het afgelopen jaar een verandertraject ingeslagen. In deze herziening van de missie en visie van de Wereldbank is onder andere bepaald dat de Wereldbank meer oplossingen dient te financieren voor grensoverschrijdende uitdagingen. In jargon: de Wereldbank moet investeren in wereldwijde publieke goederen (</w:t>
      </w:r>
      <w:r w:rsidRPr="00702C86">
        <w:rPr>
          <w:i/>
          <w:iCs/>
          <w:szCs w:val="24"/>
        </w:rPr>
        <w:t xml:space="preserve">Global Public </w:t>
      </w:r>
      <w:proofErr w:type="spellStart"/>
      <w:r w:rsidRPr="00702C86">
        <w:rPr>
          <w:i/>
          <w:iCs/>
          <w:szCs w:val="24"/>
        </w:rPr>
        <w:t>Goods</w:t>
      </w:r>
      <w:proofErr w:type="spellEnd"/>
      <w:r w:rsidRPr="00702C86">
        <w:rPr>
          <w:szCs w:val="24"/>
        </w:rPr>
        <w:t>)</w:t>
      </w:r>
      <w:r w:rsidRPr="00702C86">
        <w:rPr>
          <w:i/>
          <w:iCs/>
          <w:szCs w:val="24"/>
        </w:rPr>
        <w:t xml:space="preserve">. </w:t>
      </w:r>
      <w:r w:rsidRPr="00702C86">
        <w:rPr>
          <w:szCs w:val="24"/>
        </w:rPr>
        <w:t xml:space="preserve">Italië heeft tijdens zijn G20-voorzitterschap al eerder besloten een onafhankelijk onderzoek in te stellen naar de leencapaciteit van multilaterale ontwikkelingsbanken. Uit dit onderzoek -  </w:t>
      </w:r>
      <w:proofErr w:type="spellStart"/>
      <w:r w:rsidRPr="00702C86">
        <w:rPr>
          <w:i/>
          <w:iCs/>
          <w:szCs w:val="24"/>
        </w:rPr>
        <w:t>Boosting</w:t>
      </w:r>
      <w:proofErr w:type="spellEnd"/>
      <w:r w:rsidRPr="00702C86">
        <w:rPr>
          <w:i/>
          <w:iCs/>
          <w:szCs w:val="24"/>
        </w:rPr>
        <w:t xml:space="preserve"> </w:t>
      </w:r>
      <w:proofErr w:type="spellStart"/>
      <w:r w:rsidRPr="00702C86">
        <w:rPr>
          <w:i/>
          <w:iCs/>
          <w:szCs w:val="24"/>
        </w:rPr>
        <w:t>MDBs</w:t>
      </w:r>
      <w:proofErr w:type="spellEnd"/>
      <w:r w:rsidRPr="00702C86">
        <w:rPr>
          <w:i/>
          <w:iCs/>
          <w:szCs w:val="24"/>
        </w:rPr>
        <w:t xml:space="preserve">’ </w:t>
      </w:r>
      <w:proofErr w:type="spellStart"/>
      <w:r w:rsidRPr="00702C86">
        <w:rPr>
          <w:i/>
          <w:iCs/>
          <w:szCs w:val="24"/>
        </w:rPr>
        <w:t>investing</w:t>
      </w:r>
      <w:proofErr w:type="spellEnd"/>
      <w:r w:rsidRPr="00702C86">
        <w:rPr>
          <w:i/>
          <w:iCs/>
          <w:szCs w:val="24"/>
        </w:rPr>
        <w:t xml:space="preserve"> </w:t>
      </w:r>
      <w:proofErr w:type="spellStart"/>
      <w:r w:rsidRPr="00702C86">
        <w:rPr>
          <w:i/>
          <w:iCs/>
          <w:szCs w:val="24"/>
        </w:rPr>
        <w:t>capacity</w:t>
      </w:r>
      <w:proofErr w:type="spellEnd"/>
      <w:r w:rsidRPr="00702C86">
        <w:rPr>
          <w:i/>
          <w:iCs/>
          <w:szCs w:val="24"/>
        </w:rPr>
        <w:t xml:space="preserve">, An Independent Review of </w:t>
      </w:r>
      <w:proofErr w:type="spellStart"/>
      <w:r w:rsidRPr="00702C86">
        <w:rPr>
          <w:i/>
          <w:iCs/>
          <w:szCs w:val="24"/>
        </w:rPr>
        <w:t>Multilateral</w:t>
      </w:r>
      <w:proofErr w:type="spellEnd"/>
      <w:r w:rsidRPr="00702C86">
        <w:rPr>
          <w:i/>
          <w:iCs/>
          <w:szCs w:val="24"/>
        </w:rPr>
        <w:t xml:space="preserve"> Development Banks’ </w:t>
      </w:r>
      <w:proofErr w:type="spellStart"/>
      <w:r w:rsidRPr="00702C86">
        <w:rPr>
          <w:i/>
          <w:iCs/>
          <w:szCs w:val="24"/>
        </w:rPr>
        <w:t>Capital</w:t>
      </w:r>
      <w:proofErr w:type="spellEnd"/>
      <w:r w:rsidRPr="00702C86">
        <w:rPr>
          <w:i/>
          <w:iCs/>
          <w:szCs w:val="24"/>
        </w:rPr>
        <w:t xml:space="preserve"> </w:t>
      </w:r>
      <w:proofErr w:type="spellStart"/>
      <w:r w:rsidRPr="00702C86">
        <w:rPr>
          <w:i/>
          <w:iCs/>
          <w:szCs w:val="24"/>
        </w:rPr>
        <w:t>Adequacy</w:t>
      </w:r>
      <w:proofErr w:type="spellEnd"/>
      <w:r w:rsidRPr="00702C86">
        <w:rPr>
          <w:i/>
          <w:iCs/>
          <w:szCs w:val="24"/>
        </w:rPr>
        <w:t xml:space="preserve"> </w:t>
      </w:r>
      <w:proofErr w:type="spellStart"/>
      <w:r w:rsidRPr="00702C86">
        <w:rPr>
          <w:i/>
          <w:iCs/>
          <w:szCs w:val="24"/>
        </w:rPr>
        <w:t>Frameworks</w:t>
      </w:r>
      <w:proofErr w:type="spellEnd"/>
      <w:r w:rsidRPr="00702C86">
        <w:rPr>
          <w:rStyle w:val="Voetnootmarkering"/>
          <w:rFonts w:eastAsiaTheme="majorEastAsia"/>
          <w:i/>
          <w:iCs/>
          <w:szCs w:val="24"/>
        </w:rPr>
        <w:footnoteReference w:id="2"/>
      </w:r>
      <w:r w:rsidRPr="00702C86">
        <w:rPr>
          <w:i/>
          <w:iCs/>
          <w:szCs w:val="24"/>
        </w:rPr>
        <w:t xml:space="preserve"> - </w:t>
      </w:r>
      <w:r w:rsidRPr="00702C86">
        <w:rPr>
          <w:szCs w:val="24"/>
        </w:rPr>
        <w:t xml:space="preserve">bleek dat er veel rek zit in de </w:t>
      </w:r>
      <w:proofErr w:type="spellStart"/>
      <w:r w:rsidRPr="00702C86">
        <w:rPr>
          <w:szCs w:val="24"/>
        </w:rPr>
        <w:t>kapitaaltoereikendheidsraamwerken</w:t>
      </w:r>
      <w:proofErr w:type="spellEnd"/>
      <w:r w:rsidRPr="00702C86">
        <w:rPr>
          <w:szCs w:val="24"/>
        </w:rPr>
        <w:t xml:space="preserve"> (</w:t>
      </w:r>
      <w:proofErr w:type="spellStart"/>
      <w:r w:rsidRPr="00702C86">
        <w:rPr>
          <w:szCs w:val="24"/>
        </w:rPr>
        <w:t>C</w:t>
      </w:r>
      <w:r w:rsidRPr="00702C86">
        <w:rPr>
          <w:i/>
          <w:iCs/>
          <w:szCs w:val="24"/>
        </w:rPr>
        <w:t>apital</w:t>
      </w:r>
      <w:proofErr w:type="spellEnd"/>
      <w:r w:rsidRPr="00702C86">
        <w:rPr>
          <w:i/>
          <w:iCs/>
          <w:szCs w:val="24"/>
        </w:rPr>
        <w:t xml:space="preserve"> </w:t>
      </w:r>
      <w:proofErr w:type="spellStart"/>
      <w:r w:rsidRPr="00702C86">
        <w:rPr>
          <w:i/>
          <w:iCs/>
          <w:szCs w:val="24"/>
        </w:rPr>
        <w:t>Adequacy</w:t>
      </w:r>
      <w:proofErr w:type="spellEnd"/>
      <w:r w:rsidRPr="00702C86">
        <w:rPr>
          <w:i/>
          <w:iCs/>
          <w:szCs w:val="24"/>
        </w:rPr>
        <w:t xml:space="preserve"> </w:t>
      </w:r>
      <w:proofErr w:type="spellStart"/>
      <w:r w:rsidRPr="00702C86">
        <w:rPr>
          <w:i/>
          <w:iCs/>
          <w:szCs w:val="24"/>
        </w:rPr>
        <w:t>Frameworks</w:t>
      </w:r>
      <w:proofErr w:type="spellEnd"/>
      <w:r w:rsidRPr="00702C86">
        <w:rPr>
          <w:szCs w:val="24"/>
        </w:rPr>
        <w:t xml:space="preserve">) van onder meer de IBRD. </w:t>
      </w:r>
    </w:p>
    <w:p w:rsidRPr="00702C86" w:rsidR="009F0BD9" w:rsidP="009F0BD9" w:rsidRDefault="009F0BD9" w14:paraId="38DE7F94" w14:textId="77777777">
      <w:pPr>
        <w:jc w:val="both"/>
        <w:rPr>
          <w:szCs w:val="24"/>
        </w:rPr>
      </w:pPr>
      <w:r w:rsidRPr="00702C86">
        <w:rPr>
          <w:szCs w:val="24"/>
        </w:rPr>
        <w:t>Concreet houdt dit in dat de IBRD conservatief is geweest in het uitlenen van geld. De Wereldbank hield een hoge kapitaalbuffer aan. Hoewel een hoge buffer verstandig is – een buffer zorgt voor zekerheid in crisistijd – kan deze ook té hoog zijn. Elke euro aan kapitaal die niet wordt uitgeleend is immers onproductief en komt niet ten goede aan het financieren van ontwikkelingsdoelen.</w:t>
      </w:r>
    </w:p>
    <w:p w:rsidRPr="00702C86" w:rsidR="009F0BD9" w:rsidP="009F0BD9" w:rsidRDefault="009F0BD9" w14:paraId="4AD135EB" w14:textId="77777777">
      <w:pPr>
        <w:pStyle w:val="Geenafstand"/>
        <w:spacing w:line="276" w:lineRule="auto"/>
        <w:jc w:val="both"/>
        <w:rPr>
          <w:rFonts w:ascii="Times New Roman" w:hAnsi="Times New Roman" w:cs="Times New Roman"/>
          <w:i/>
          <w:iCs/>
          <w:sz w:val="24"/>
          <w:szCs w:val="24"/>
          <w:shd w:val="clear" w:color="auto" w:fill="FFFFFF"/>
        </w:rPr>
      </w:pPr>
      <w:r w:rsidRPr="00702C86">
        <w:rPr>
          <w:rFonts w:ascii="Times New Roman" w:hAnsi="Times New Roman" w:cs="Times New Roman"/>
          <w:sz w:val="24"/>
          <w:szCs w:val="24"/>
        </w:rPr>
        <w:t xml:space="preserve">Omdat Internationale Financiële Instellingen (IFI) zoals de IBRD niet onder extern toezicht staan, hebben aandeelhouders een leidende rol in het oppakken van de aanbevelingen. Door de Statutaire Leenlimiet in de Overeenkomst van de IBRD te schrappen geeft de Wereldbank op aanwijzen van Nederland en andere aandeelhouders invulling aan de aanbevelingen van het G20-rapport. </w:t>
      </w:r>
    </w:p>
    <w:p w:rsidRPr="00702C86" w:rsidR="009F0BD9" w:rsidP="009F0BD9" w:rsidRDefault="009F0BD9" w14:paraId="570E5A73" w14:textId="77777777">
      <w:pPr>
        <w:jc w:val="both"/>
        <w:rPr>
          <w:b/>
          <w:bCs/>
          <w:szCs w:val="24"/>
          <w:shd w:val="clear" w:color="auto" w:fill="FFFFFF"/>
        </w:rPr>
      </w:pPr>
    </w:p>
    <w:p w:rsidRPr="00702C86" w:rsidR="009F0BD9" w:rsidP="009F0BD9" w:rsidRDefault="009F0BD9" w14:paraId="5CB0E510" w14:textId="77777777">
      <w:pPr>
        <w:jc w:val="both"/>
        <w:rPr>
          <w:b/>
          <w:bCs/>
          <w:szCs w:val="24"/>
          <w:shd w:val="clear" w:color="auto" w:fill="FFFFFF"/>
        </w:rPr>
      </w:pPr>
      <w:r w:rsidRPr="00702C86">
        <w:rPr>
          <w:b/>
          <w:bCs/>
          <w:szCs w:val="24"/>
          <w:shd w:val="clear" w:color="auto" w:fill="FFFFFF"/>
        </w:rPr>
        <w:t>Artikelsgewijze toelichting</w:t>
      </w:r>
    </w:p>
    <w:p w:rsidRPr="00702C86" w:rsidR="009F0BD9" w:rsidP="009F0BD9" w:rsidRDefault="009F0BD9" w14:paraId="09507740" w14:textId="77777777">
      <w:pPr>
        <w:jc w:val="both"/>
        <w:rPr>
          <w:i/>
          <w:iCs/>
          <w:szCs w:val="24"/>
          <w:shd w:val="clear" w:color="auto" w:fill="FFFFFF"/>
        </w:rPr>
      </w:pPr>
      <w:r w:rsidRPr="00702C86">
        <w:rPr>
          <w:i/>
          <w:iCs/>
          <w:szCs w:val="24"/>
          <w:shd w:val="clear" w:color="auto" w:fill="FFFFFF"/>
        </w:rPr>
        <w:t>Artikel III, sectie 3</w:t>
      </w:r>
    </w:p>
    <w:p w:rsidRPr="00702C86" w:rsidR="009F0BD9" w:rsidP="009F0BD9" w:rsidRDefault="009F0BD9" w14:paraId="6EFB7CF5" w14:textId="77777777">
      <w:pPr>
        <w:jc w:val="both"/>
        <w:rPr>
          <w:szCs w:val="24"/>
          <w:shd w:val="clear" w:color="auto" w:fill="FFFFFF"/>
        </w:rPr>
      </w:pPr>
      <w:r w:rsidRPr="00702C86">
        <w:rPr>
          <w:b/>
          <w:bCs/>
          <w:szCs w:val="24"/>
          <w:shd w:val="clear" w:color="auto" w:fill="FFFFFF"/>
        </w:rPr>
        <w:br/>
      </w:r>
      <w:r w:rsidRPr="00702C86">
        <w:rPr>
          <w:szCs w:val="24"/>
          <w:shd w:val="clear" w:color="auto" w:fill="FFFFFF"/>
        </w:rPr>
        <w:t xml:space="preserve">In april 2023 is tijdens de Wereldbankvoorjaarsvergadering in Washington door de Raad van Bestuur toegezegd om het voorstel ter afschaffing van de SLL te overwegen. Een aantal maanden later, op 10 juli 2023, heeft de Raad van Bestuur resolutie 696 aangenomen die hiertoe strekt. </w:t>
      </w:r>
    </w:p>
    <w:p w:rsidRPr="00702C86" w:rsidR="009F0BD9" w:rsidP="009F0BD9" w:rsidRDefault="009F0BD9" w14:paraId="70006061" w14:textId="041DD450">
      <w:pPr>
        <w:jc w:val="both"/>
        <w:rPr>
          <w:szCs w:val="24"/>
          <w:shd w:val="clear" w:color="auto" w:fill="FFFFFF"/>
        </w:rPr>
      </w:pPr>
      <w:r w:rsidRPr="00702C86">
        <w:rPr>
          <w:szCs w:val="24"/>
          <w:shd w:val="clear" w:color="auto" w:fill="FFFFFF"/>
        </w:rPr>
        <w:t xml:space="preserve">Het schrappen van artikel III, sectie 3, uit de Overeenkomst zorgt ervoor dat de IBRD meer geld kan uitlenen (of voor meer geld garant kan staan) dan er aan kapitaal is toegezegd (zowel oproepbaar als ingelegd kapitaal) en aan reserves is opgebouwd. Gezien de bewezen prudentie </w:t>
      </w:r>
      <w:r w:rsidRPr="00702C86">
        <w:rPr>
          <w:szCs w:val="24"/>
          <w:shd w:val="clear" w:color="auto" w:fill="FFFFFF"/>
        </w:rPr>
        <w:lastRenderedPageBreak/>
        <w:t xml:space="preserve">van de IBRD worden er geen problemen verwacht door het schrappen van de SLL. De IBRD behoudt dan ook de AAA-status die door kredietbeoordelaars wordt toegekend. </w:t>
      </w:r>
    </w:p>
    <w:p w:rsidRPr="00702C86" w:rsidR="009F0BD9" w:rsidP="009F0BD9" w:rsidRDefault="009F0BD9" w14:paraId="597E4D44" w14:textId="77777777">
      <w:pPr>
        <w:jc w:val="both"/>
        <w:rPr>
          <w:szCs w:val="24"/>
        </w:rPr>
      </w:pPr>
      <w:r w:rsidRPr="00702C86">
        <w:rPr>
          <w:szCs w:val="24"/>
        </w:rPr>
        <w:t>In overeenstemming met artikel VIII, onder a en onder c, van de Overeenkomst wordt de wijziging voor alle leden van kracht drie maanden na de datum waarop de Wereldbank bij een aan alle leden gerichte formele mededeling verklaart dat drie vijfde van de leden, die 85% van het totale aantal stemmen bezitten, de wijziging hebben aanvaard.</w:t>
      </w:r>
    </w:p>
    <w:p w:rsidRPr="00702C86" w:rsidR="00702C86" w:rsidP="009F0BD9" w:rsidRDefault="00702C86" w14:paraId="0039D7EF" w14:textId="77777777">
      <w:pPr>
        <w:jc w:val="both"/>
        <w:rPr>
          <w:b/>
          <w:bCs/>
          <w:szCs w:val="24"/>
        </w:rPr>
      </w:pPr>
    </w:p>
    <w:p w:rsidRPr="00702C86" w:rsidR="009F0BD9" w:rsidP="009F0BD9" w:rsidRDefault="009F0BD9" w14:paraId="5D67166C" w14:textId="225A60A1">
      <w:pPr>
        <w:jc w:val="both"/>
        <w:rPr>
          <w:b/>
          <w:bCs/>
          <w:szCs w:val="24"/>
        </w:rPr>
      </w:pPr>
      <w:r w:rsidRPr="00702C86">
        <w:rPr>
          <w:b/>
          <w:bCs/>
          <w:szCs w:val="24"/>
        </w:rPr>
        <w:t>Stemaandeel van het Koninkrijk en financiële consequenties</w:t>
      </w:r>
    </w:p>
    <w:p w:rsidRPr="00702C86" w:rsidR="009F0BD9" w:rsidP="009F0BD9" w:rsidRDefault="009F0BD9" w14:paraId="56D41C94" w14:textId="77777777">
      <w:pPr>
        <w:jc w:val="both"/>
        <w:rPr>
          <w:color w:val="211D1F"/>
          <w:szCs w:val="24"/>
        </w:rPr>
      </w:pPr>
      <w:r w:rsidRPr="00702C86">
        <w:rPr>
          <w:szCs w:val="24"/>
        </w:rPr>
        <w:t xml:space="preserve">Het Nederlandse stemaandeel bij de IBRD bedraagt 1,88%. </w:t>
      </w:r>
      <w:r w:rsidRPr="00702C86">
        <w:rPr>
          <w:color w:val="211D1F"/>
          <w:szCs w:val="24"/>
        </w:rPr>
        <w:t>Het stemaandeel wordt bepaald door het aandeel in het kapitaal van de IBRD. De verdragswijziging zal niet leiden tot een aanvullende bijdrage in het kapitaal van de IBRD en heeft daarom geen financiële consequenties voor Nederland, en dus evenmin voor het Nederlandse stemaandeel.</w:t>
      </w:r>
    </w:p>
    <w:p w:rsidRPr="00702C86" w:rsidR="00702C86" w:rsidP="009F0BD9" w:rsidRDefault="00702C86" w14:paraId="38630C91" w14:textId="77777777">
      <w:pPr>
        <w:jc w:val="both"/>
        <w:rPr>
          <w:b/>
          <w:bCs/>
          <w:szCs w:val="24"/>
        </w:rPr>
      </w:pPr>
    </w:p>
    <w:p w:rsidRPr="00702C86" w:rsidR="009F0BD9" w:rsidP="009F0BD9" w:rsidRDefault="009F0BD9" w14:paraId="22593076" w14:textId="4B6D3A51">
      <w:pPr>
        <w:jc w:val="both"/>
        <w:rPr>
          <w:b/>
          <w:bCs/>
          <w:szCs w:val="24"/>
        </w:rPr>
      </w:pPr>
      <w:r w:rsidRPr="00702C86">
        <w:rPr>
          <w:b/>
          <w:bCs/>
          <w:szCs w:val="24"/>
        </w:rPr>
        <w:t>Eenieder verbindende bepalingen</w:t>
      </w:r>
    </w:p>
    <w:p w:rsidRPr="00702C86" w:rsidR="009F0BD9" w:rsidP="009F0BD9" w:rsidRDefault="009F0BD9" w14:paraId="52A4D869" w14:textId="77777777">
      <w:pPr>
        <w:jc w:val="both"/>
        <w:rPr>
          <w:szCs w:val="24"/>
        </w:rPr>
      </w:pPr>
      <w:r w:rsidRPr="00702C86">
        <w:rPr>
          <w:szCs w:val="24"/>
        </w:rPr>
        <w:t>Naar het oordeel van de regering bevat artikel 3, sectie 3, noch het schrappen daarvan eenieder verbindende bepalingen in de zin van de artikelen 93 en 94 van de Grondwet, die aan rechtssubjecten rechtstreeks rechten toekennen of plichten opleggen.</w:t>
      </w:r>
    </w:p>
    <w:p w:rsidRPr="00702C86" w:rsidR="00702C86" w:rsidP="009F0BD9" w:rsidRDefault="00702C86" w14:paraId="73B5D933" w14:textId="77777777">
      <w:pPr>
        <w:spacing w:line="240" w:lineRule="atLeast"/>
        <w:jc w:val="both"/>
        <w:rPr>
          <w:b/>
          <w:bCs/>
          <w:color w:val="211D1F"/>
          <w:szCs w:val="24"/>
        </w:rPr>
      </w:pPr>
    </w:p>
    <w:p w:rsidRPr="00702C86" w:rsidR="009F0BD9" w:rsidP="009F0BD9" w:rsidRDefault="009F0BD9" w14:paraId="190F212B" w14:textId="4AE5FA08">
      <w:pPr>
        <w:spacing w:line="240" w:lineRule="atLeast"/>
        <w:jc w:val="both"/>
        <w:rPr>
          <w:b/>
          <w:bCs/>
          <w:color w:val="211D1F"/>
          <w:szCs w:val="24"/>
        </w:rPr>
      </w:pPr>
      <w:proofErr w:type="spellStart"/>
      <w:r w:rsidRPr="00702C86">
        <w:rPr>
          <w:b/>
          <w:bCs/>
          <w:color w:val="211D1F"/>
          <w:szCs w:val="24"/>
        </w:rPr>
        <w:t>Koninkrijkspositie</w:t>
      </w:r>
      <w:proofErr w:type="spellEnd"/>
      <w:r w:rsidRPr="00702C86">
        <w:rPr>
          <w:b/>
          <w:bCs/>
          <w:color w:val="211D1F"/>
          <w:szCs w:val="24"/>
        </w:rPr>
        <w:t xml:space="preserve"> </w:t>
      </w:r>
    </w:p>
    <w:p w:rsidRPr="00702C86" w:rsidR="009F0BD9" w:rsidP="009F0BD9" w:rsidRDefault="009F0BD9" w14:paraId="74782D1C" w14:textId="77777777">
      <w:pPr>
        <w:spacing w:line="240" w:lineRule="atLeast"/>
        <w:jc w:val="both"/>
        <w:rPr>
          <w:color w:val="211D1F"/>
          <w:szCs w:val="24"/>
        </w:rPr>
      </w:pPr>
      <w:r w:rsidRPr="00702C86">
        <w:rPr>
          <w:color w:val="211D1F"/>
          <w:szCs w:val="24"/>
        </w:rPr>
        <w:t xml:space="preserve">De Overeenkomst geldt, wat het Koninkrijk betreft, voor het gehele Koninkrijk. De wijziging van de Overeenkomst zal eveneens voor het gehele Koninkrijk gelden. </w:t>
      </w:r>
    </w:p>
    <w:p w:rsidRPr="00702C86" w:rsidR="009F0BD9" w:rsidP="009F0BD9" w:rsidRDefault="009F0BD9" w14:paraId="416777BE" w14:textId="77777777">
      <w:pPr>
        <w:jc w:val="both"/>
        <w:rPr>
          <w:szCs w:val="24"/>
        </w:rPr>
      </w:pPr>
    </w:p>
    <w:p w:rsidRPr="00702C86" w:rsidR="009F0BD9" w:rsidP="009F0BD9" w:rsidRDefault="009F0BD9" w14:paraId="39699582" w14:textId="77777777">
      <w:pPr>
        <w:jc w:val="both"/>
        <w:rPr>
          <w:szCs w:val="24"/>
        </w:rPr>
      </w:pPr>
    </w:p>
    <w:p w:rsidRPr="00702C86" w:rsidR="009F0BD9" w:rsidP="009F0BD9" w:rsidRDefault="009F0BD9" w14:paraId="22995BC5" w14:textId="5FB55AE7">
      <w:pPr>
        <w:jc w:val="both"/>
        <w:rPr>
          <w:szCs w:val="24"/>
        </w:rPr>
      </w:pPr>
      <w:r w:rsidRPr="00702C86">
        <w:rPr>
          <w:szCs w:val="24"/>
        </w:rPr>
        <w:t xml:space="preserve">De </w:t>
      </w:r>
      <w:r w:rsidRPr="00702C86" w:rsidR="00702C86">
        <w:rPr>
          <w:szCs w:val="24"/>
        </w:rPr>
        <w:t>m</w:t>
      </w:r>
      <w:r w:rsidRPr="00702C86">
        <w:rPr>
          <w:szCs w:val="24"/>
        </w:rPr>
        <w:t xml:space="preserve">inister van Financiën, </w:t>
      </w:r>
    </w:p>
    <w:p w:rsidRPr="00702C86" w:rsidR="005826E6" w:rsidP="009F0BD9" w:rsidRDefault="005826E6" w14:paraId="5BBDC608" w14:textId="78330BE8">
      <w:pPr>
        <w:jc w:val="both"/>
        <w:rPr>
          <w:szCs w:val="24"/>
        </w:rPr>
      </w:pPr>
      <w:r w:rsidRPr="00702C86">
        <w:rPr>
          <w:szCs w:val="24"/>
        </w:rPr>
        <w:t>E. Heinen</w:t>
      </w:r>
    </w:p>
    <w:p w:rsidRPr="00702C86" w:rsidR="009F0BD9" w:rsidP="009F0BD9" w:rsidRDefault="009F0BD9" w14:paraId="7062493D" w14:textId="77777777">
      <w:pPr>
        <w:jc w:val="both"/>
        <w:rPr>
          <w:szCs w:val="24"/>
        </w:rPr>
      </w:pPr>
    </w:p>
    <w:p w:rsidRPr="00702C86" w:rsidR="009F0BD9" w:rsidP="009F0BD9" w:rsidRDefault="009F0BD9" w14:paraId="6A3CFECC" w14:textId="75F3AA08">
      <w:pPr>
        <w:jc w:val="both"/>
        <w:rPr>
          <w:szCs w:val="24"/>
        </w:rPr>
      </w:pPr>
      <w:r w:rsidRPr="00702C86">
        <w:rPr>
          <w:szCs w:val="24"/>
        </w:rPr>
        <w:t xml:space="preserve">De </w:t>
      </w:r>
      <w:r w:rsidRPr="00702C86" w:rsidR="00702C86">
        <w:rPr>
          <w:szCs w:val="24"/>
        </w:rPr>
        <w:t>m</w:t>
      </w:r>
      <w:r w:rsidRPr="00702C86">
        <w:rPr>
          <w:szCs w:val="24"/>
        </w:rPr>
        <w:t>inister van Buitenlandse Zaken,</w:t>
      </w:r>
    </w:p>
    <w:p w:rsidRPr="00702C86" w:rsidR="005826E6" w:rsidP="009F0BD9" w:rsidRDefault="005826E6" w14:paraId="5B7E3678" w14:textId="4584B8FA">
      <w:pPr>
        <w:jc w:val="both"/>
        <w:rPr>
          <w:szCs w:val="24"/>
        </w:rPr>
      </w:pPr>
      <w:r w:rsidRPr="00702C86">
        <w:rPr>
          <w:szCs w:val="24"/>
        </w:rPr>
        <w:t>C.C.J. Veldkamp</w:t>
      </w:r>
    </w:p>
    <w:p w:rsidRPr="00702C86" w:rsidR="009F0BD9" w:rsidP="009F0BD9" w:rsidRDefault="009F0BD9" w14:paraId="4CC6864F" w14:textId="77777777">
      <w:pPr>
        <w:jc w:val="both"/>
        <w:rPr>
          <w:szCs w:val="24"/>
        </w:rPr>
      </w:pPr>
    </w:p>
    <w:p w:rsidRPr="00702C86" w:rsidR="009F0BD9" w:rsidP="009F0BD9" w:rsidRDefault="009F0BD9" w14:paraId="771B704B" w14:textId="2C87BCFD">
      <w:pPr>
        <w:jc w:val="both"/>
        <w:rPr>
          <w:szCs w:val="24"/>
        </w:rPr>
      </w:pPr>
      <w:r w:rsidRPr="00702C86">
        <w:rPr>
          <w:szCs w:val="24"/>
        </w:rPr>
        <w:t xml:space="preserve">De </w:t>
      </w:r>
      <w:r w:rsidRPr="00702C86" w:rsidR="00702C86">
        <w:rPr>
          <w:szCs w:val="24"/>
        </w:rPr>
        <w:t>m</w:t>
      </w:r>
      <w:r w:rsidRPr="00702C86">
        <w:rPr>
          <w:szCs w:val="24"/>
        </w:rPr>
        <w:t xml:space="preserve">inister voor Buitenlandse Handel en Ontwikkelingshulp, </w:t>
      </w:r>
    </w:p>
    <w:p w:rsidRPr="00702C86" w:rsidR="009F0BD9" w:rsidP="009F0BD9" w:rsidRDefault="005826E6" w14:paraId="72AFE727" w14:textId="1865A2D6">
      <w:pPr>
        <w:jc w:val="both"/>
        <w:rPr>
          <w:color w:val="333333"/>
          <w:szCs w:val="24"/>
          <w:shd w:val="clear" w:color="auto" w:fill="FFFFFF"/>
        </w:rPr>
      </w:pPr>
      <w:r w:rsidRPr="00702C86">
        <w:rPr>
          <w:color w:val="333333"/>
          <w:szCs w:val="24"/>
          <w:shd w:val="clear" w:color="auto" w:fill="FFFFFF"/>
        </w:rPr>
        <w:t>R.J. Klever</w:t>
      </w:r>
    </w:p>
    <w:p w:rsidRPr="00702C86" w:rsidR="009F0BD9" w:rsidP="009F0BD9" w:rsidRDefault="009F0BD9" w14:paraId="6143B163" w14:textId="77777777">
      <w:pPr>
        <w:jc w:val="both"/>
        <w:rPr>
          <w:b/>
          <w:bCs/>
          <w:color w:val="333333"/>
          <w:szCs w:val="24"/>
          <w:shd w:val="clear" w:color="auto" w:fill="FFFFFF"/>
        </w:rPr>
      </w:pPr>
    </w:p>
    <w:p w:rsidRPr="00702C86" w:rsidR="009F0BD9" w:rsidP="009F0BD9" w:rsidRDefault="009F0BD9" w14:paraId="7CF9044B" w14:textId="77777777">
      <w:pPr>
        <w:jc w:val="both"/>
        <w:rPr>
          <w:b/>
          <w:bCs/>
          <w:szCs w:val="24"/>
        </w:rPr>
      </w:pPr>
    </w:p>
    <w:p w:rsidRPr="00702C86" w:rsidR="009F0BD9" w:rsidP="009F0BD9" w:rsidRDefault="009F0BD9" w14:paraId="2717DF68" w14:textId="77777777">
      <w:pPr>
        <w:rPr>
          <w:szCs w:val="24"/>
        </w:rPr>
      </w:pPr>
    </w:p>
    <w:p w:rsidRPr="00702C86" w:rsidR="00E6311E" w:rsidRDefault="00E6311E" w14:paraId="6BB57C0A" w14:textId="77777777">
      <w:pPr>
        <w:rPr>
          <w:szCs w:val="24"/>
        </w:rPr>
      </w:pPr>
    </w:p>
    <w:sectPr w:rsidRPr="00702C86" w:rsidR="00E6311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1760" w14:textId="77777777" w:rsidR="009F0BD9" w:rsidRDefault="009F0BD9" w:rsidP="009F0BD9">
      <w:r>
        <w:separator/>
      </w:r>
    </w:p>
  </w:endnote>
  <w:endnote w:type="continuationSeparator" w:id="0">
    <w:p w14:paraId="5D6C3700" w14:textId="77777777" w:rsidR="009F0BD9" w:rsidRDefault="009F0BD9" w:rsidP="009F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NECM G+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E2DD5" w14:textId="77777777" w:rsidR="009F0BD9" w:rsidRDefault="009F0BD9" w:rsidP="009F0BD9">
      <w:r>
        <w:separator/>
      </w:r>
    </w:p>
  </w:footnote>
  <w:footnote w:type="continuationSeparator" w:id="0">
    <w:p w14:paraId="43F62AE1" w14:textId="77777777" w:rsidR="009F0BD9" w:rsidRDefault="009F0BD9" w:rsidP="009F0BD9">
      <w:r>
        <w:continuationSeparator/>
      </w:r>
    </w:p>
  </w:footnote>
  <w:footnote w:id="1">
    <w:p w14:paraId="7826AF92" w14:textId="77777777" w:rsidR="009F0BD9" w:rsidRPr="005826E6" w:rsidRDefault="009F0BD9" w:rsidP="009F0BD9">
      <w:pPr>
        <w:pStyle w:val="Voetnoottekst"/>
        <w:rPr>
          <w:rFonts w:ascii="Times New Roman" w:hAnsi="Times New Roman" w:cs="Times New Roman"/>
        </w:rPr>
      </w:pPr>
      <w:r w:rsidRPr="005826E6">
        <w:rPr>
          <w:rStyle w:val="Voetnootmarkering"/>
          <w:rFonts w:ascii="Times New Roman" w:hAnsi="Times New Roman" w:cs="Times New Roman"/>
        </w:rPr>
        <w:footnoteRef/>
      </w:r>
      <w:r w:rsidRPr="005826E6">
        <w:rPr>
          <w:rFonts w:ascii="Times New Roman" w:hAnsi="Times New Roman" w:cs="Times New Roman"/>
        </w:rPr>
        <w:t xml:space="preserve"> In het Engels: Board of Governors</w:t>
      </w:r>
    </w:p>
  </w:footnote>
  <w:footnote w:id="2">
    <w:p w14:paraId="7F2A7DD4" w14:textId="77777777" w:rsidR="009F0BD9" w:rsidRPr="005826E6" w:rsidRDefault="009F0BD9" w:rsidP="009F0BD9">
      <w:pPr>
        <w:pStyle w:val="Voetnoottekst"/>
        <w:rPr>
          <w:rFonts w:ascii="Times New Roman" w:hAnsi="Times New Roman" w:cs="Times New Roman"/>
        </w:rPr>
      </w:pPr>
      <w:r w:rsidRPr="005826E6">
        <w:rPr>
          <w:rStyle w:val="Voetnootmarkering"/>
          <w:rFonts w:ascii="Times New Roman" w:hAnsi="Times New Roman" w:cs="Times New Roman"/>
        </w:rPr>
        <w:footnoteRef/>
      </w:r>
      <w:r w:rsidRPr="005826E6">
        <w:rPr>
          <w:rFonts w:ascii="Times New Roman" w:hAnsi="Times New Roman" w:cs="Times New Roman"/>
        </w:rPr>
        <w:t xml:space="preserve"> </w:t>
      </w:r>
      <w:hyperlink r:id="rId1" w:history="1">
        <w:r w:rsidRPr="005826E6">
          <w:rPr>
            <w:rStyle w:val="Hyperlink"/>
            <w:rFonts w:ascii="Times New Roman" w:hAnsi="Times New Roman" w:cs="Times New Roman"/>
          </w:rPr>
          <w:t>caf-review-report.pdf (gihub.org)</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D9"/>
    <w:rsid w:val="00197EDB"/>
    <w:rsid w:val="0025703A"/>
    <w:rsid w:val="005826E6"/>
    <w:rsid w:val="005F04EF"/>
    <w:rsid w:val="00702C86"/>
    <w:rsid w:val="00914839"/>
    <w:rsid w:val="009F0BD9"/>
    <w:rsid w:val="00C57495"/>
    <w:rsid w:val="00E444D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54D5"/>
  <w15:chartTrackingRefBased/>
  <w15:docId w15:val="{5AD3D362-F5DD-44D9-88E1-69C9A140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0BD9"/>
    <w:pPr>
      <w:spacing w:after="0" w:line="240" w:lineRule="auto"/>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uiPriority w:val="9"/>
    <w:qFormat/>
    <w:rsid w:val="009F0BD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F0BD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F0BD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F0BD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F0BD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F0BD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F0B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F0B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F0BD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0B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0B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0B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0B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0B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0B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0B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0B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0BD9"/>
    <w:rPr>
      <w:rFonts w:eastAsiaTheme="majorEastAsia" w:cstheme="majorBidi"/>
      <w:color w:val="272727" w:themeColor="text1" w:themeTint="D8"/>
    </w:rPr>
  </w:style>
  <w:style w:type="paragraph" w:styleId="Titel">
    <w:name w:val="Title"/>
    <w:basedOn w:val="Standaard"/>
    <w:next w:val="Standaard"/>
    <w:link w:val="TitelChar"/>
    <w:uiPriority w:val="10"/>
    <w:qFormat/>
    <w:rsid w:val="009F0BD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F0B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0B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F0B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0BD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F0BD9"/>
    <w:rPr>
      <w:i/>
      <w:iCs/>
      <w:color w:val="404040" w:themeColor="text1" w:themeTint="BF"/>
    </w:rPr>
  </w:style>
  <w:style w:type="paragraph" w:styleId="Lijstalinea">
    <w:name w:val="List Paragraph"/>
    <w:basedOn w:val="Standaard"/>
    <w:uiPriority w:val="34"/>
    <w:qFormat/>
    <w:rsid w:val="009F0B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F0BD9"/>
    <w:rPr>
      <w:i/>
      <w:iCs/>
      <w:color w:val="0F4761" w:themeColor="accent1" w:themeShade="BF"/>
    </w:rPr>
  </w:style>
  <w:style w:type="paragraph" w:styleId="Duidelijkcitaat">
    <w:name w:val="Intense Quote"/>
    <w:basedOn w:val="Standaard"/>
    <w:next w:val="Standaard"/>
    <w:link w:val="DuidelijkcitaatChar"/>
    <w:uiPriority w:val="30"/>
    <w:qFormat/>
    <w:rsid w:val="009F0BD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F0BD9"/>
    <w:rPr>
      <w:i/>
      <w:iCs/>
      <w:color w:val="0F4761" w:themeColor="accent1" w:themeShade="BF"/>
    </w:rPr>
  </w:style>
  <w:style w:type="character" w:styleId="Intensieveverwijzing">
    <w:name w:val="Intense Reference"/>
    <w:basedOn w:val="Standaardalinea-lettertype"/>
    <w:uiPriority w:val="32"/>
    <w:qFormat/>
    <w:rsid w:val="009F0BD9"/>
    <w:rPr>
      <w:b/>
      <w:bCs/>
      <w:smallCaps/>
      <w:color w:val="0F4761" w:themeColor="accent1" w:themeShade="BF"/>
      <w:spacing w:val="5"/>
    </w:rPr>
  </w:style>
  <w:style w:type="paragraph" w:customStyle="1" w:styleId="Default">
    <w:name w:val="Default"/>
    <w:rsid w:val="009F0BD9"/>
    <w:pPr>
      <w:autoSpaceDE w:val="0"/>
      <w:autoSpaceDN w:val="0"/>
      <w:adjustRightInd w:val="0"/>
      <w:spacing w:after="0" w:line="240" w:lineRule="auto"/>
    </w:pPr>
    <w:rPr>
      <w:rFonts w:ascii="ENECM G+ Univers" w:hAnsi="ENECM G+ Univers" w:cs="ENECM G+ Univers"/>
      <w:color w:val="000000"/>
      <w:kern w:val="0"/>
      <w:sz w:val="24"/>
      <w:szCs w:val="24"/>
      <w14:ligatures w14:val="none"/>
    </w:rPr>
  </w:style>
  <w:style w:type="paragraph" w:styleId="Voetnoottekst">
    <w:name w:val="footnote text"/>
    <w:basedOn w:val="Standaard"/>
    <w:link w:val="VoetnoottekstChar"/>
    <w:uiPriority w:val="99"/>
    <w:semiHidden/>
    <w:unhideWhenUsed/>
    <w:rsid w:val="009F0BD9"/>
    <w:rPr>
      <w:rFonts w:ascii="Verdana" w:eastAsiaTheme="minorHAnsi" w:hAnsi="Verdana" w:cstheme="minorBidi"/>
      <w:sz w:val="20"/>
      <w:lang w:val="en-US" w:eastAsia="en-US"/>
    </w:rPr>
  </w:style>
  <w:style w:type="character" w:customStyle="1" w:styleId="VoetnoottekstChar">
    <w:name w:val="Voetnoottekst Char"/>
    <w:basedOn w:val="Standaardalinea-lettertype"/>
    <w:link w:val="Voetnoottekst"/>
    <w:uiPriority w:val="99"/>
    <w:semiHidden/>
    <w:rsid w:val="009F0BD9"/>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9F0BD9"/>
    <w:rPr>
      <w:vertAlign w:val="superscript"/>
    </w:rPr>
  </w:style>
  <w:style w:type="character" w:styleId="Hyperlink">
    <w:name w:val="Hyperlink"/>
    <w:basedOn w:val="Standaardalinea-lettertype"/>
    <w:uiPriority w:val="99"/>
    <w:semiHidden/>
    <w:unhideWhenUsed/>
    <w:rsid w:val="009F0BD9"/>
    <w:rPr>
      <w:color w:val="0000FF"/>
      <w:u w:val="single"/>
    </w:rPr>
  </w:style>
  <w:style w:type="paragraph" w:styleId="Geenafstand">
    <w:name w:val="No Spacing"/>
    <w:uiPriority w:val="1"/>
    <w:qFormat/>
    <w:rsid w:val="009F0BD9"/>
    <w:pPr>
      <w:spacing w:after="0" w:line="240" w:lineRule="auto"/>
    </w:pPr>
    <w:rPr>
      <w:rFonts w:ascii="Verdana" w:hAnsi="Verdana"/>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cdn.gihub.org/umbraco/media/5094/caf-review-repor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974</ap:Words>
  <ap:Characters>5357</ap:Characters>
  <ap:DocSecurity>0</ap:DocSecurity>
  <ap:Lines>44</ap:Lines>
  <ap:Paragraphs>12</ap:Paragraphs>
  <ap:ScaleCrop>false</ap:ScaleCrop>
  <ap:LinksUpToDate>false</ap:LinksUpToDate>
  <ap:CharactersWithSpaces>6319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2025-02-10T10:47:00.0000000Z</dcterms:created>
  <dcterms:modified xsi:type="dcterms:W3CDTF">2025-02-10T10:47:00.0000000Z</dcterms:modified>
  <version/>
  <category/>
</coreProperties>
</file>