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2025Z02305</w:t>
        <w:br/>
      </w:r>
      <w:proofErr w:type="spellEnd"/>
    </w:p>
    <w:p>
      <w:pPr>
        <w:pStyle w:val="Normal"/>
        <w:rPr>
          <w:b w:val="1"/>
          <w:bCs w:val="1"/>
        </w:rPr>
      </w:pPr>
      <w:r w:rsidR="250AE766">
        <w:rPr>
          <w:b w:val="0"/>
          <w:bCs w:val="0"/>
        </w:rPr>
        <w:t>(ingezonden 7 februari 2025)</w:t>
        <w:br/>
      </w:r>
    </w:p>
    <w:p>
      <w:r>
        <w:t xml:space="preserve">Vragen van het lid Holman (Nieuw Sociaal Contract) aan de minister van Landbouw, Visserij, Voedselzekerheid en Natuur over de aanpak, en het gebruik van de term, piekbelasters.</w:t>
      </w:r>
      <w:r>
        <w:br/>
      </w:r>
    </w:p>
    <w:p>
      <w:r>
        <w:t xml:space="preserve">1. Hoeveel bedrijven hebben het stempel ‘piekbelaster’ gekregen in de Landelijke beëindigingsregeling veehouderijlocaties met piekbelasting (Lbv-plus)-aanpak?</w:t>
      </w:r>
      <w:r>
        <w:br/>
      </w:r>
    </w:p>
    <w:p>
      <w:r>
        <w:t xml:space="preserve">2. Hoe staat het met de uitvoering van de motie van het lid Holman c.s. (Kamerstuk 30252, nr. 134) over na afloop van de aanpak piekbelasting ook het stempel "piekbelaster" wegnemen?</w:t>
      </w:r>
      <w:r>
        <w:br/>
      </w:r>
    </w:p>
    <w:p>
      <w:r>
        <w:t xml:space="preserve">3. Hoeveel piekbelasters kan deze stempel nu worden ontnomen?</w:t>
      </w:r>
      <w:r>
        <w:br/>
      </w:r>
    </w:p>
    <w:p>
      <w:r>
        <w:t xml:space="preserve">4. Deelt u de constatering dat bedrijfsemissie met een depositie verder dan 1000 meter van een natuurgebied niet of nauwelijks toe te berekenen is aan het boerenbedrijf? Zo ja, waarom wordt er nog met 25 kilometer gerekend? Zo nee, welke argumenten heeft u hiervoor?</w:t>
      </w:r>
      <w:r>
        <w:br/>
      </w:r>
    </w:p>
    <w:p>
      <w:r>
        <w:t xml:space="preserve">5. Hoeveel bedrijven liggen er binnen 500 meter van Natura 2000-gebieden? Hoeveel daarvan liggen bij prioritaire gebieden?</w:t>
      </w:r>
      <w:r>
        <w:br/>
      </w:r>
    </w:p>
    <w:p>
      <w:r>
        <w:t xml:space="preserve">6. Hoeveel bedrijven liggen er binnen 1000 meter van Natura 2000-gebieden? Hoeveel daarvan liggen bij prioritaire gebieden?</w:t>
      </w:r>
      <w:r>
        <w:br/>
      </w:r>
    </w:p>
    <w:p>
      <w:r>
        <w:t xml:space="preserve">7. Ziet u nog aanleiding om specifiek beleid te voeren voor bedrijven tussen 1 tot 25 kilometer?</w:t>
      </w:r>
      <w:r>
        <w:br/>
      </w:r>
    </w:p>
    <w:p>
      <w:r>
        <w:t xml:space="preserve">8. Zijn er nog argumenten op grond waarvan provincies speciaal aandacht besteden en/of middelen beschikbaar stellen aan bedrijven verder dan 1000 meter van een Natura 2000-gebied op grond van depositie argumentatie?</w:t>
      </w:r>
      <w:r>
        <w:br/>
      </w:r>
    </w:p>
    <w:p>
      <w:r>
        <w:t xml:space="preserve">9. Wat is de consequentie van het aanwijzen van prioritaire Natura 2000-gebieden door de rechter in de Greenpeace rechtszaak voor boeren in de nabijheid van die Natura 2000-gebieden?</w:t>
      </w:r>
      <w:r>
        <w:br/>
      </w:r>
    </w:p>
    <w:p>
      <w:r>
        <w:t xml:space="preserve">10. Vindt u het een wenselijke ontwikkeling dat de provincie Gelderland heeft aangegeven in te zetten op drastisch minder stikstof rond de Veluwe en daarvoor ook de vergunningen tegen het licht te houden? 1)</w:t>
      </w:r>
      <w:r>
        <w:br/>
      </w:r>
    </w:p>
    <w:p>
      <w:r>
        <w:t xml:space="preserve">11. Wat betekent het voor de rechtsgelijkheid van (boeren)bedrijven rondom prioritaire gebieden als provincies hun eigen plannen maken en zones bepalen?</w:t>
      </w:r>
      <w:r>
        <w:br/>
      </w:r>
    </w:p>
    <w:p>
      <w:r>
        <w:t xml:space="preserve">12. Kunt u deze vragen één voor één en voorafgaand aan het stikstofdebat over de uitspraak van de Greenpeace rechtszaak beantwoorden?</w:t>
      </w:r>
      <w:r>
        <w:br/>
      </w:r>
    </w:p>
    <w:p>
      <w:r>
        <w:t xml:space="preserve"> </w:t>
      </w:r>
      <w:r>
        <w:br/>
      </w:r>
    </w:p>
    <w:p>
      <w:r>
        <w:t xml:space="preserve"> </w:t>
      </w:r>
      <w:r>
        <w:br/>
      </w:r>
    </w:p>
    <w:p>
      <w:r>
        <w:t xml:space="preserve">1) NOS, 31 januari 2025, 'Gelderland wil zones met drastisch minder stikstof rond Veluwe' (Gelderland wil zones met drastisch minder stikstof rond Veluwe)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76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7670">
    <w:abstractNumId w:val="1004676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