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D3F2C" w:rsidTr="00D9561B" w14:paraId="4BD6C17A" w14:textId="77777777">
        <w:trPr>
          <w:trHeight w:val="1514"/>
        </w:trPr>
        <w:tc>
          <w:tcPr>
            <w:tcW w:w="7522" w:type="dxa"/>
            <w:tcBorders>
              <w:top w:val="nil"/>
              <w:left w:val="nil"/>
              <w:bottom w:val="nil"/>
              <w:right w:val="nil"/>
            </w:tcBorders>
            <w:tcMar>
              <w:left w:w="0" w:type="dxa"/>
              <w:right w:w="0" w:type="dxa"/>
            </w:tcMar>
          </w:tcPr>
          <w:p w:rsidR="00374412" w:rsidP="00D9561B" w:rsidRDefault="00E85F7C" w14:paraId="49AADD86" w14:textId="77777777">
            <w:r>
              <w:t>De v</w:t>
            </w:r>
            <w:r w:rsidR="008E3932">
              <w:t>oorzitter van de Tweede Kamer der Staten-Generaal</w:t>
            </w:r>
          </w:p>
          <w:p w:rsidR="00374412" w:rsidP="00D9561B" w:rsidRDefault="00E85F7C" w14:paraId="3B0143BC" w14:textId="77777777">
            <w:r>
              <w:t>Postbus 20018</w:t>
            </w:r>
          </w:p>
          <w:p w:rsidR="008E3932" w:rsidP="00D9561B" w:rsidRDefault="00E85F7C" w14:paraId="3A9045E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D3F2C" w:rsidTr="00FF66F9" w14:paraId="7CC4A0E1" w14:textId="77777777">
        <w:trPr>
          <w:trHeight w:val="289" w:hRule="exact"/>
        </w:trPr>
        <w:tc>
          <w:tcPr>
            <w:tcW w:w="929" w:type="dxa"/>
          </w:tcPr>
          <w:p w:rsidRPr="00434042" w:rsidR="0005404B" w:rsidP="00FF66F9" w:rsidRDefault="00E85F7C" w14:paraId="08C94A41" w14:textId="77777777">
            <w:pPr>
              <w:rPr>
                <w:lang w:eastAsia="en-US"/>
              </w:rPr>
            </w:pPr>
            <w:r>
              <w:rPr>
                <w:lang w:eastAsia="en-US"/>
              </w:rPr>
              <w:t>Datum</w:t>
            </w:r>
          </w:p>
        </w:tc>
        <w:tc>
          <w:tcPr>
            <w:tcW w:w="6581" w:type="dxa"/>
          </w:tcPr>
          <w:p w:rsidRPr="00434042" w:rsidR="0005404B" w:rsidP="00FF66F9" w:rsidRDefault="00CF3DC7" w14:paraId="2D32466D" w14:textId="0DA2D573">
            <w:pPr>
              <w:rPr>
                <w:lang w:eastAsia="en-US"/>
              </w:rPr>
            </w:pPr>
            <w:r>
              <w:rPr>
                <w:lang w:eastAsia="en-US"/>
              </w:rPr>
              <w:t>7 februari 2025</w:t>
            </w:r>
          </w:p>
        </w:tc>
      </w:tr>
      <w:tr w:rsidR="006D3F2C" w:rsidTr="00FF66F9" w14:paraId="7C0A381D" w14:textId="77777777">
        <w:trPr>
          <w:trHeight w:val="368"/>
        </w:trPr>
        <w:tc>
          <w:tcPr>
            <w:tcW w:w="929" w:type="dxa"/>
          </w:tcPr>
          <w:p w:rsidR="0005404B" w:rsidP="00FF66F9" w:rsidRDefault="00E85F7C" w14:paraId="1E5CDD6A" w14:textId="77777777">
            <w:pPr>
              <w:rPr>
                <w:lang w:eastAsia="en-US"/>
              </w:rPr>
            </w:pPr>
            <w:r>
              <w:rPr>
                <w:lang w:eastAsia="en-US"/>
              </w:rPr>
              <w:t>Betreft</w:t>
            </w:r>
          </w:p>
        </w:tc>
        <w:tc>
          <w:tcPr>
            <w:tcW w:w="6581" w:type="dxa"/>
          </w:tcPr>
          <w:p w:rsidR="0005404B" w:rsidP="00FF66F9" w:rsidRDefault="00E85F7C" w14:paraId="6BA6E0C8" w14:textId="0E646162">
            <w:pPr>
              <w:rPr>
                <w:lang w:eastAsia="en-US"/>
              </w:rPr>
            </w:pPr>
            <w:r>
              <w:rPr>
                <w:lang w:eastAsia="en-US"/>
              </w:rPr>
              <w:t xml:space="preserve">Nota van wijziging Wet internationalisering in balans: </w:t>
            </w:r>
            <w:r w:rsidR="007506A2">
              <w:rPr>
                <w:lang w:eastAsia="en-US"/>
              </w:rPr>
              <w:t xml:space="preserve">steviger </w:t>
            </w:r>
            <w:r>
              <w:rPr>
                <w:lang w:eastAsia="en-US"/>
              </w:rPr>
              <w:t>verankering positie regio</w:t>
            </w:r>
          </w:p>
        </w:tc>
      </w:tr>
    </w:tbl>
    <w:p w:rsidR="002E4F18" w:rsidRDefault="002E4F18" w14:paraId="0F82F28C"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3F2C" w:rsidTr="00A421A1" w14:paraId="1D3CF3B3" w14:textId="77777777">
        <w:tc>
          <w:tcPr>
            <w:tcW w:w="2160" w:type="dxa"/>
          </w:tcPr>
          <w:p w:rsidRPr="00F53C9D" w:rsidR="006205C0" w:rsidP="00686AED" w:rsidRDefault="00E85F7C" w14:paraId="3785BB35" w14:textId="77777777">
            <w:pPr>
              <w:pStyle w:val="Colofonkop"/>
              <w:framePr w:hSpace="0" w:wrap="auto" w:hAnchor="text" w:vAnchor="margin" w:xAlign="left" w:yAlign="inline"/>
            </w:pPr>
            <w:r>
              <w:t>Hoger Onderwijs en Studiefinanciering</w:t>
            </w:r>
          </w:p>
          <w:p w:rsidR="006205C0" w:rsidP="00A421A1" w:rsidRDefault="00E85F7C" w14:paraId="206BA2F1" w14:textId="77777777">
            <w:pPr>
              <w:pStyle w:val="Huisstijl-Gegeven"/>
              <w:spacing w:after="0"/>
            </w:pPr>
            <w:r>
              <w:t xml:space="preserve">Rijnstraat 50 </w:t>
            </w:r>
          </w:p>
          <w:p w:rsidR="004425A7" w:rsidP="00E972A2" w:rsidRDefault="00E85F7C" w14:paraId="5C56C45A" w14:textId="77777777">
            <w:pPr>
              <w:pStyle w:val="Huisstijl-Gegeven"/>
              <w:spacing w:after="0"/>
            </w:pPr>
            <w:r>
              <w:t>Den Haag</w:t>
            </w:r>
          </w:p>
          <w:p w:rsidR="004425A7" w:rsidP="00E972A2" w:rsidRDefault="00E85F7C" w14:paraId="07B79182" w14:textId="77777777">
            <w:pPr>
              <w:pStyle w:val="Huisstijl-Gegeven"/>
              <w:spacing w:after="0"/>
            </w:pPr>
            <w:r>
              <w:t>Postbus 16375</w:t>
            </w:r>
          </w:p>
          <w:p w:rsidR="004425A7" w:rsidP="00E972A2" w:rsidRDefault="00E85F7C" w14:paraId="2855CF6A" w14:textId="77777777">
            <w:pPr>
              <w:pStyle w:val="Huisstijl-Gegeven"/>
              <w:spacing w:after="0"/>
            </w:pPr>
            <w:r>
              <w:t>2500 BJ Den Haag</w:t>
            </w:r>
          </w:p>
          <w:p w:rsidR="004425A7" w:rsidP="00E972A2" w:rsidRDefault="00E85F7C" w14:paraId="7F02EF45" w14:textId="77777777">
            <w:pPr>
              <w:pStyle w:val="Huisstijl-Gegeven"/>
              <w:spacing w:after="90"/>
            </w:pPr>
            <w:r>
              <w:t>www.rijksoverheid.nl</w:t>
            </w:r>
          </w:p>
          <w:p w:rsidRPr="00A32073" w:rsidR="006205C0" w:rsidP="00A421A1" w:rsidRDefault="006205C0" w14:paraId="574C17E1" w14:textId="0CAE18AF">
            <w:pPr>
              <w:spacing w:line="180" w:lineRule="exact"/>
              <w:rPr>
                <w:sz w:val="13"/>
                <w:szCs w:val="13"/>
              </w:rPr>
            </w:pPr>
          </w:p>
        </w:tc>
      </w:tr>
      <w:tr w:rsidR="006D3F2C" w:rsidTr="00A421A1" w14:paraId="17E0DCB1" w14:textId="77777777">
        <w:trPr>
          <w:trHeight w:val="200" w:hRule="exact"/>
        </w:trPr>
        <w:tc>
          <w:tcPr>
            <w:tcW w:w="2160" w:type="dxa"/>
          </w:tcPr>
          <w:p w:rsidRPr="00356D2B" w:rsidR="006205C0" w:rsidP="00A421A1" w:rsidRDefault="006205C0" w14:paraId="465DCF27" w14:textId="77777777">
            <w:pPr>
              <w:spacing w:after="90" w:line="180" w:lineRule="exact"/>
              <w:rPr>
                <w:sz w:val="13"/>
                <w:szCs w:val="13"/>
              </w:rPr>
            </w:pPr>
          </w:p>
        </w:tc>
      </w:tr>
      <w:tr w:rsidR="006D3F2C" w:rsidTr="00A421A1" w14:paraId="6B0A7E21" w14:textId="77777777">
        <w:trPr>
          <w:trHeight w:val="450"/>
        </w:trPr>
        <w:tc>
          <w:tcPr>
            <w:tcW w:w="2160" w:type="dxa"/>
          </w:tcPr>
          <w:p w:rsidR="00F51A76" w:rsidP="00A421A1" w:rsidRDefault="00E85F7C" w14:paraId="287F3DC1" w14:textId="77777777">
            <w:pPr>
              <w:spacing w:line="180" w:lineRule="exact"/>
              <w:rPr>
                <w:b/>
                <w:sz w:val="13"/>
                <w:szCs w:val="13"/>
              </w:rPr>
            </w:pPr>
            <w:r>
              <w:rPr>
                <w:b/>
                <w:sz w:val="13"/>
                <w:szCs w:val="13"/>
              </w:rPr>
              <w:t>Onze referentie</w:t>
            </w:r>
          </w:p>
          <w:p w:rsidRPr="00FA7882" w:rsidR="006205C0" w:rsidP="00215356" w:rsidRDefault="008D7B43" w14:paraId="3470EB95" w14:textId="4945ABE5">
            <w:pPr>
              <w:spacing w:line="180" w:lineRule="exact"/>
              <w:rPr>
                <w:sz w:val="13"/>
                <w:szCs w:val="13"/>
              </w:rPr>
            </w:pPr>
            <w:r>
              <w:rPr>
                <w:sz w:val="13"/>
                <w:szCs w:val="13"/>
              </w:rPr>
              <w:t>50464749</w:t>
            </w:r>
          </w:p>
        </w:tc>
      </w:tr>
      <w:tr w:rsidR="006D3F2C" w:rsidTr="00D130C0" w14:paraId="65C26D3D" w14:textId="77777777">
        <w:trPr>
          <w:trHeight w:val="113"/>
        </w:trPr>
        <w:tc>
          <w:tcPr>
            <w:tcW w:w="2160" w:type="dxa"/>
          </w:tcPr>
          <w:p w:rsidRPr="00C5333A" w:rsidR="006205C0" w:rsidP="00D36088" w:rsidRDefault="00E85F7C" w14:paraId="0C95B160" w14:textId="77777777">
            <w:pPr>
              <w:tabs>
                <w:tab w:val="center" w:pos="1080"/>
              </w:tabs>
              <w:spacing w:line="180" w:lineRule="exact"/>
              <w:rPr>
                <w:sz w:val="13"/>
                <w:szCs w:val="13"/>
              </w:rPr>
            </w:pPr>
            <w:r>
              <w:rPr>
                <w:b/>
                <w:sz w:val="13"/>
                <w:szCs w:val="13"/>
              </w:rPr>
              <w:t>Bijlagen</w:t>
            </w:r>
          </w:p>
        </w:tc>
      </w:tr>
      <w:tr w:rsidR="006D3F2C" w:rsidTr="00D130C0" w14:paraId="7D429A1A" w14:textId="77777777">
        <w:trPr>
          <w:trHeight w:val="113"/>
        </w:trPr>
        <w:tc>
          <w:tcPr>
            <w:tcW w:w="2160" w:type="dxa"/>
          </w:tcPr>
          <w:p w:rsidRPr="00D74F66" w:rsidR="006205C0" w:rsidP="00A421A1" w:rsidRDefault="006205C0" w14:paraId="6EE5B44B" w14:textId="77777777">
            <w:pPr>
              <w:spacing w:after="90" w:line="180" w:lineRule="exact"/>
              <w:rPr>
                <w:sz w:val="13"/>
              </w:rPr>
            </w:pPr>
          </w:p>
        </w:tc>
      </w:tr>
    </w:tbl>
    <w:p w:rsidR="00D937CA" w:rsidP="00A421A1" w:rsidRDefault="00372BAB" w14:paraId="1B86C26F" w14:textId="644F7058">
      <w:bookmarkStart w:name="_Hlk188267807" w:id="0"/>
      <w:r w:rsidRPr="00372BAB">
        <w:t xml:space="preserve">Bij de vaststelling van de OCW-begroting door </w:t>
      </w:r>
      <w:r>
        <w:t>uw Kamer</w:t>
      </w:r>
      <w:r w:rsidRPr="00372BAB">
        <w:t xml:space="preserve"> is een amendement van het lid Bontenbal (CDA) </w:t>
      </w:r>
      <w:r w:rsidR="00231EAF">
        <w:t xml:space="preserve">c.s. </w:t>
      </w:r>
      <w:r w:rsidRPr="00372BAB">
        <w:t>aangenomen.</w:t>
      </w:r>
      <w:r w:rsidR="006109B0">
        <w:rPr>
          <w:rStyle w:val="Voetnootmarkering"/>
        </w:rPr>
        <w:footnoteReference w:id="1"/>
      </w:r>
      <w:r w:rsidRPr="00372BAB">
        <w:t xml:space="preserve"> </w:t>
      </w:r>
      <w:r w:rsidR="00394798">
        <w:t xml:space="preserve">In de toelichting van dit amendement </w:t>
      </w:r>
      <w:r w:rsidR="006109B0">
        <w:t xml:space="preserve">is </w:t>
      </w:r>
      <w:r w:rsidR="00426A33">
        <w:t>opgenomen dat</w:t>
      </w:r>
      <w:r w:rsidR="006109B0">
        <w:t xml:space="preserve"> </w:t>
      </w:r>
      <w:r w:rsidR="00394798">
        <w:t xml:space="preserve">de positie van de regio beter </w:t>
      </w:r>
      <w:r w:rsidR="003E5FE6">
        <w:t>wordt verankerd</w:t>
      </w:r>
      <w:r w:rsidR="00394798">
        <w:t xml:space="preserve"> in</w:t>
      </w:r>
      <w:r w:rsidRPr="00372BAB">
        <w:t xml:space="preserve"> het wetsvoorstel </w:t>
      </w:r>
      <w:r w:rsidR="006109B0">
        <w:t>Wet i</w:t>
      </w:r>
      <w:r w:rsidRPr="00372BAB">
        <w:t xml:space="preserve">nternationalisering in balans (hierna: WIB). </w:t>
      </w:r>
      <w:r w:rsidR="00A161A0">
        <w:t xml:space="preserve">In het amendement wordt verzocht om een nota van wijziging op de WIB, waarmee de instroom van internationale studenten wordt behouden in (krimp)regio’s die </w:t>
      </w:r>
      <w:r w:rsidR="00933C50">
        <w:t xml:space="preserve">in grote mate </w:t>
      </w:r>
      <w:r w:rsidR="00A161A0">
        <w:t xml:space="preserve">afhankelijk zijn van deze instroom. </w:t>
      </w:r>
      <w:r w:rsidR="00EC5947">
        <w:t xml:space="preserve">In het debat op 12 december 2024 over de OCW-begroting heb ik uw Kamer toegezegd u per brief te informeren hoe hier invulling aan te geven. </w:t>
      </w:r>
      <w:r w:rsidR="00A161A0">
        <w:t>Met deze brief doe ik deze toezegging gestand.</w:t>
      </w:r>
      <w:r w:rsidR="00D937CA">
        <w:t xml:space="preserve"> Daarbij geef ik ook weer </w:t>
      </w:r>
      <w:r w:rsidR="00394798">
        <w:t>welk</w:t>
      </w:r>
      <w:r w:rsidR="00EC5947">
        <w:t>e</w:t>
      </w:r>
      <w:r w:rsidR="00394798">
        <w:t xml:space="preserve"> ander</w:t>
      </w:r>
      <w:r w:rsidR="00EC5947">
        <w:t>e</w:t>
      </w:r>
      <w:r w:rsidR="00A161A0">
        <w:t xml:space="preserve"> </w:t>
      </w:r>
      <w:r w:rsidR="003E5FE6">
        <w:t>scenario</w:t>
      </w:r>
      <w:r w:rsidR="00EC5947">
        <w:t>’s</w:t>
      </w:r>
      <w:r w:rsidR="00394798">
        <w:t xml:space="preserve"> ik </w:t>
      </w:r>
      <w:r w:rsidR="00D937CA">
        <w:t>heb</w:t>
      </w:r>
      <w:r w:rsidR="00394798">
        <w:t xml:space="preserve"> overwogen en wat </w:t>
      </w:r>
      <w:r w:rsidR="00CC789D">
        <w:t>de gevolgen zijn.</w:t>
      </w:r>
    </w:p>
    <w:p w:rsidR="000D11B0" w:rsidP="008C68EB" w:rsidRDefault="000D11B0" w14:paraId="04E4350B" w14:textId="77777777">
      <w:pPr>
        <w:rPr>
          <w:b/>
          <w:bCs/>
        </w:rPr>
      </w:pPr>
    </w:p>
    <w:p w:rsidR="00A365DE" w:rsidP="007B098C" w:rsidRDefault="000D11B0" w14:paraId="222BE759" w14:textId="77777777">
      <w:pPr>
        <w:rPr>
          <w:b/>
          <w:bCs/>
        </w:rPr>
      </w:pPr>
      <w:r>
        <w:rPr>
          <w:b/>
          <w:bCs/>
        </w:rPr>
        <w:t xml:space="preserve">Invulling amendement </w:t>
      </w:r>
    </w:p>
    <w:p w:rsidR="00A365DE" w:rsidP="00A365DE" w:rsidRDefault="00A365DE" w14:paraId="72C079A3" w14:textId="5049FD7E">
      <w:r>
        <w:t xml:space="preserve">Het behoud van ruimte voor anderstalig onderwijs in de regio is vanaf het ontwerp van de WIB het uitgangspunt geweest. De voorgestelde toets op het onderwijsaanbod houdt rekening met </w:t>
      </w:r>
      <w:r w:rsidRPr="008C0CAB">
        <w:t>de kwetsbare positie van regio’s die door grensligging</w:t>
      </w:r>
      <w:r>
        <w:t xml:space="preserve"> of</w:t>
      </w:r>
      <w:r w:rsidRPr="008C0CAB">
        <w:t xml:space="preserve"> demografische krimp </w:t>
      </w:r>
      <w:r w:rsidR="00BB75B2">
        <w:t>zich anders ontwikkelen dan</w:t>
      </w:r>
      <w:r w:rsidRPr="008C0CAB">
        <w:t xml:space="preserve"> grootstedelijke gebieden.</w:t>
      </w:r>
      <w:r>
        <w:t xml:space="preserve"> </w:t>
      </w:r>
      <w:r w:rsidR="00BB75B2">
        <w:t>In die kwetsbare regio’s</w:t>
      </w:r>
      <w:r>
        <w:t xml:space="preserve"> kan een </w:t>
      </w:r>
      <w:r>
        <w:rPr>
          <w:u w:val="single"/>
        </w:rPr>
        <w:t xml:space="preserve">gerichte en </w:t>
      </w:r>
      <w:r w:rsidRPr="00D044CC">
        <w:rPr>
          <w:u w:val="single"/>
        </w:rPr>
        <w:t>beheerste</w:t>
      </w:r>
      <w:r>
        <w:t xml:space="preserve"> instroom van internationale studenten een bijdrage leveren aan de lokale economie, het in stand houden van regionale voorzieningen en het behoud van een breed onderwijsaanbod. Anderstalig onderwijs kan bijdragen</w:t>
      </w:r>
      <w:r w:rsidR="00BB75B2">
        <w:t xml:space="preserve"> aan die gerichte en beheerste instroom</w:t>
      </w:r>
      <w:r>
        <w:t xml:space="preserve">. Tegelijkertijd blijven óók in deze regio’s de doelstellingen van de WIB overeind, namelijk: </w:t>
      </w:r>
    </w:p>
    <w:p w:rsidR="00A365DE" w:rsidP="00A365DE" w:rsidRDefault="00A365DE" w14:paraId="5D07511B" w14:textId="77777777"/>
    <w:p w:rsidR="00A365DE" w:rsidP="00A365DE" w:rsidRDefault="00A365DE" w14:paraId="7CBF726A" w14:textId="77777777">
      <w:pPr>
        <w:pStyle w:val="Lijstalinea"/>
        <w:numPr>
          <w:ilvl w:val="0"/>
          <w:numId w:val="21"/>
        </w:numPr>
      </w:pPr>
      <w:r>
        <w:t>dat het Nederlands als opleidingstaal weer de norm wordt in de bachelor; en</w:t>
      </w:r>
    </w:p>
    <w:p w:rsidR="00A365DE" w:rsidP="00A365DE" w:rsidRDefault="00A365DE" w14:paraId="57954524" w14:textId="418E9A93">
      <w:pPr>
        <w:pStyle w:val="Lijstalinea"/>
        <w:numPr>
          <w:ilvl w:val="0"/>
          <w:numId w:val="21"/>
        </w:numPr>
      </w:pPr>
      <w:r w:rsidRPr="005E6FE4">
        <w:t>dat de toegankelijkheid van opleidingen voor Nederlandstalige studenten wordt</w:t>
      </w:r>
      <w:r>
        <w:t xml:space="preserve"> vergroot en gewaarborgd, in het bijzonder voor studenten die minder taalvaardig zijn in het Engels.</w:t>
      </w:r>
    </w:p>
    <w:p w:rsidR="00A365DE" w:rsidP="00A365DE" w:rsidRDefault="00A365DE" w14:paraId="148A6101" w14:textId="77777777"/>
    <w:p w:rsidR="00A365DE" w:rsidP="00A365DE" w:rsidRDefault="00A365DE" w14:paraId="1BB81E8F" w14:textId="7E847209">
      <w:r>
        <w:lastRenderedPageBreak/>
        <w:t xml:space="preserve">Gezien de toenemende druk op het </w:t>
      </w:r>
      <w:r w:rsidRPr="005E6FE4">
        <w:t>Nederlands als onderwijstaal</w:t>
      </w:r>
      <w:r w:rsidRPr="005E6FE4">
        <w:rPr>
          <w:rStyle w:val="Voetnootmarkering"/>
        </w:rPr>
        <w:footnoteReference w:id="2"/>
      </w:r>
      <w:r w:rsidRPr="005E6FE4">
        <w:t xml:space="preserve"> en de aantoonbare belemmeringen die studenten ervaren bij het studeren in een andere taal</w:t>
      </w:r>
      <w:r w:rsidRPr="005E6FE4">
        <w:rPr>
          <w:rStyle w:val="Voetnootmarkering"/>
        </w:rPr>
        <w:footnoteReference w:id="3"/>
      </w:r>
      <w:r w:rsidRPr="005E6FE4">
        <w:t xml:space="preserve">, is het belangrijk dat opleidingen alleen overgaan op anderstalig onderwijs als dit aantoonbaar van meerwaarde is voor de maatschappij. In de krimp- en grensgebieden kan die meerwaarde groter zijn dan elders, maar ook daar </w:t>
      </w:r>
      <w:r w:rsidR="00BB75B2">
        <w:t>blijft</w:t>
      </w:r>
      <w:r w:rsidRPr="005E6FE4" w:rsidR="00BB75B2">
        <w:t xml:space="preserve"> </w:t>
      </w:r>
      <w:r w:rsidRPr="005E6FE4">
        <w:t xml:space="preserve">sturing gewenst, zeker gezien de hoge mate van verengelsing op sommige instellingen. Een </w:t>
      </w:r>
      <w:r w:rsidR="00BB75B2">
        <w:t xml:space="preserve">volledig </w:t>
      </w:r>
      <w:r w:rsidRPr="005E6FE4">
        <w:t>ongecontroleerd aanbod van anderstalig onderwijs is, ook in de regio, niet wenselijk.</w:t>
      </w:r>
    </w:p>
    <w:p w:rsidR="00A365DE" w:rsidP="00A365DE" w:rsidRDefault="00A365DE" w14:paraId="4715C92D" w14:textId="77777777"/>
    <w:p w:rsidR="00A365DE" w:rsidP="00A365DE" w:rsidRDefault="00A365DE" w14:paraId="1F74BA40" w14:textId="3CE68860">
      <w:r>
        <w:t xml:space="preserve">Tegen die achtergrond geef ik invulling aan het amendement van het lid Bontenbal. Daarbij heb ik een balans gezocht tussen de opgaven uit het Hoofdlijnenakkoord, het Regeerprogramma, de doelen en systematiek van de WIB en de </w:t>
      </w:r>
      <w:r w:rsidR="00BB75B2">
        <w:t xml:space="preserve">in het amendement genoemde </w:t>
      </w:r>
      <w:r>
        <w:t xml:space="preserve">wens tot een stevige wettelijke verankering van de regio’s. Hierbij wijs ik erop dat het binnen het stelsel </w:t>
      </w:r>
      <w:r w:rsidR="00BB75B2">
        <w:t xml:space="preserve">niet </w:t>
      </w:r>
      <w:r>
        <w:t>pas</w:t>
      </w:r>
      <w:r w:rsidR="00BB75B2">
        <w:t xml:space="preserve">send is </w:t>
      </w:r>
      <w:r>
        <w:t>om wetgeving te maken die alleen geldt voor specifieke regio’s</w:t>
      </w:r>
      <w:r w:rsidR="00BB75B2">
        <w:t xml:space="preserve"> – zie ook de overwegingen verderop in deze brief</w:t>
      </w:r>
      <w:r>
        <w:t xml:space="preserve">. Dit alles maakt dat ik tot de volgende invulling van het amendement kom. </w:t>
      </w:r>
    </w:p>
    <w:p w:rsidR="00305059" w:rsidP="00A365DE" w:rsidRDefault="00305059" w14:paraId="0E1595DD" w14:textId="77777777"/>
    <w:p w:rsidRPr="00305059" w:rsidR="007B098C" w:rsidP="007B098C" w:rsidRDefault="00305059" w14:paraId="1A3E1E5D" w14:textId="730AADC7">
      <w:pPr>
        <w:rPr>
          <w:i/>
          <w:iCs/>
        </w:rPr>
      </w:pPr>
      <w:r w:rsidRPr="007B098C">
        <w:rPr>
          <w:i/>
          <w:iCs/>
        </w:rPr>
        <w:t>Verankering regionale omstandigheden in wettekst</w:t>
      </w:r>
      <w:r w:rsidR="000C3733">
        <w:rPr>
          <w:b/>
          <w:bCs/>
        </w:rPr>
        <w:br/>
      </w:r>
      <w:r w:rsidR="007274E4">
        <w:t xml:space="preserve">In navolging van </w:t>
      </w:r>
      <w:r w:rsidR="00CC108E">
        <w:t xml:space="preserve">de toelichting op </w:t>
      </w:r>
      <w:r w:rsidR="007274E4">
        <w:t>het amendement zal ik</w:t>
      </w:r>
      <w:r w:rsidR="000C3733">
        <w:t xml:space="preserve"> een nota van wijziging bij de WIB indienen</w:t>
      </w:r>
      <w:r w:rsidR="00621824">
        <w:t xml:space="preserve"> </w:t>
      </w:r>
      <w:r w:rsidR="00535A9B">
        <w:t>om</w:t>
      </w:r>
      <w:r w:rsidR="00F06446">
        <w:t xml:space="preserve"> de positie van de regio </w:t>
      </w:r>
      <w:r w:rsidR="00CC108E">
        <w:t xml:space="preserve">te </w:t>
      </w:r>
      <w:r w:rsidR="00F06446">
        <w:t xml:space="preserve">verankeren in de wettekst zelf. </w:t>
      </w:r>
      <w:r w:rsidR="00621824">
        <w:t>Dit is in lijn met onder andere het</w:t>
      </w:r>
      <w:r w:rsidR="00E01E73">
        <w:t xml:space="preserve"> Nationaal</w:t>
      </w:r>
      <w:r w:rsidR="00621824">
        <w:t xml:space="preserve"> programma</w:t>
      </w:r>
      <w:r w:rsidR="00E01E73">
        <w:t xml:space="preserve"> vitale regio’s</w:t>
      </w:r>
      <w:r w:rsidR="00621824">
        <w:t xml:space="preserve">, waarin Rijksbreed wordt gestuurd op </w:t>
      </w:r>
      <w:r w:rsidR="003375E7">
        <w:t>aandacht voor regionale omstandigheden in beleid.</w:t>
      </w:r>
      <w:r w:rsidR="00621824">
        <w:t xml:space="preserve"> </w:t>
      </w:r>
    </w:p>
    <w:p w:rsidR="007274E4" w:rsidP="008C68EB" w:rsidRDefault="007274E4" w14:paraId="28BE08E5" w14:textId="77777777"/>
    <w:p w:rsidR="008B23F7" w:rsidP="008C68EB" w:rsidRDefault="008B23F7" w14:paraId="73880341" w14:textId="44773032">
      <w:r>
        <w:t xml:space="preserve">Om de positie van de </w:t>
      </w:r>
      <w:r w:rsidR="00535A9B">
        <w:t>krimp- en grens</w:t>
      </w:r>
      <w:r>
        <w:t>regio</w:t>
      </w:r>
      <w:r w:rsidR="00621824">
        <w:t>’</w:t>
      </w:r>
      <w:r w:rsidR="00535A9B">
        <w:t>s</w:t>
      </w:r>
      <w:r w:rsidR="00621824">
        <w:t xml:space="preserve"> in de </w:t>
      </w:r>
      <w:r w:rsidR="00BB75B2">
        <w:t xml:space="preserve">wet </w:t>
      </w:r>
      <w:r>
        <w:t>te ver</w:t>
      </w:r>
      <w:r w:rsidR="00BB75B2">
        <w:t>ankeren</w:t>
      </w:r>
      <w:r>
        <w:t xml:space="preserve">, zal ik een apart artikel in de wet opnemen </w:t>
      </w:r>
      <w:r w:rsidR="00B47A81">
        <w:t>waar</w:t>
      </w:r>
      <w:r>
        <w:t>in</w:t>
      </w:r>
      <w:r w:rsidR="00B47A81">
        <w:t xml:space="preserve"> </w:t>
      </w:r>
      <w:r>
        <w:t>de inhoudelijke</w:t>
      </w:r>
      <w:r w:rsidR="008A3203">
        <w:t xml:space="preserve"> vereisten</w:t>
      </w:r>
      <w:r w:rsidR="00B47A81">
        <w:t xml:space="preserve"> worden</w:t>
      </w:r>
      <w:r w:rsidR="008A3203">
        <w:t xml:space="preserve"> </w:t>
      </w:r>
      <w:r w:rsidR="00BB75B2">
        <w:t xml:space="preserve">vastgelegd </w:t>
      </w:r>
      <w:r w:rsidR="008A3203">
        <w:t>waaraan</w:t>
      </w:r>
      <w:r>
        <w:t xml:space="preserve"> een </w:t>
      </w:r>
      <w:r w:rsidR="00535A9B">
        <w:t xml:space="preserve">anderstalige </w:t>
      </w:r>
      <w:r>
        <w:t xml:space="preserve">opleiding moet </w:t>
      </w:r>
      <w:r w:rsidR="008A3203">
        <w:t xml:space="preserve">voldoen </w:t>
      </w:r>
      <w:r>
        <w:t xml:space="preserve">om </w:t>
      </w:r>
      <w:r w:rsidR="008A3203">
        <w:t>een beroep te kunnen doen op</w:t>
      </w:r>
      <w:r w:rsidR="00621824">
        <w:t xml:space="preserve"> het </w:t>
      </w:r>
      <w:r w:rsidR="00260251">
        <w:t>regio-criterium uit de toets anderstalig onderwijs</w:t>
      </w:r>
      <w:r>
        <w:t>. Daarmee word</w:t>
      </w:r>
      <w:r w:rsidR="008A3203">
        <w:t>t</w:t>
      </w:r>
      <w:r>
        <w:t xml:space="preserve"> </w:t>
      </w:r>
      <w:r w:rsidR="00621824">
        <w:t>het inhoudelijke criterium</w:t>
      </w:r>
      <w:r>
        <w:t xml:space="preserve"> uitgewerkt</w:t>
      </w:r>
      <w:r w:rsidR="00260251">
        <w:t xml:space="preserve"> op wetsniveau in plaats van op amvb-niveau</w:t>
      </w:r>
      <w:r w:rsidR="004957E2">
        <w:t>, zoals door het amendement wordt gevraagd</w:t>
      </w:r>
      <w:r w:rsidR="00260251">
        <w:t>.</w:t>
      </w:r>
      <w:r w:rsidR="00800722">
        <w:t xml:space="preserve"> Het maatwerk dat voor regio’s nodig is, krijgt hierdoor een belangrijke </w:t>
      </w:r>
      <w:r w:rsidR="00621824">
        <w:t xml:space="preserve">en eigenstandige </w:t>
      </w:r>
      <w:r w:rsidR="00800722">
        <w:t>plek</w:t>
      </w:r>
      <w:r w:rsidR="00621824">
        <w:t xml:space="preserve"> in de wet en </w:t>
      </w:r>
      <w:r w:rsidR="004B6964">
        <w:t xml:space="preserve">de inhoudelijke uitwerking van het regio-criterium </w:t>
      </w:r>
      <w:r w:rsidR="00621824">
        <w:t>wordt steviger verankerd dan tot nu toe het geval was</w:t>
      </w:r>
      <w:r w:rsidR="004B6964">
        <w:t>.</w:t>
      </w:r>
      <w:r w:rsidR="00A365DE">
        <w:t xml:space="preserve"> Zo wordt door de wetgever op voorhand duidelijk gemaakt welke instellingen </w:t>
      </w:r>
      <w:r w:rsidR="00180791">
        <w:t>een beroep kunnen doen op</w:t>
      </w:r>
      <w:r w:rsidR="00A365DE">
        <w:t xml:space="preserve"> het regiocriterium</w:t>
      </w:r>
      <w:r w:rsidR="00180791">
        <w:t xml:space="preserve">. </w:t>
      </w:r>
      <w:r w:rsidR="0043137C">
        <w:t xml:space="preserve">Consequentie van het opnemen van </w:t>
      </w:r>
      <w:r w:rsidR="005E6FE4">
        <w:t>dit criterium</w:t>
      </w:r>
      <w:r w:rsidR="0043137C">
        <w:t xml:space="preserve"> in de wet is echter wel dat, mocht in de toekomst meer of ander maatwerk voor de regio nodig blijken, niet kan worden volstaan met het wijzigen van de amvb maar een wetswijziging vereist is. </w:t>
      </w:r>
      <w:r w:rsidR="008A3203">
        <w:t xml:space="preserve">Dit laatste geldt </w:t>
      </w:r>
      <w:r w:rsidR="004957E2">
        <w:t xml:space="preserve">overigens </w:t>
      </w:r>
      <w:r w:rsidR="008A3203">
        <w:t>alleen voor nieuw anderstalig onderwijs omdat de toetsing van het bestaande anderstalige onderwijs dan reeds heeft</w:t>
      </w:r>
      <w:r w:rsidR="0011234B">
        <w:t xml:space="preserve"> </w:t>
      </w:r>
      <w:r w:rsidR="008A3203">
        <w:t xml:space="preserve">plaatsgevonden. </w:t>
      </w:r>
    </w:p>
    <w:p w:rsidR="008B23F7" w:rsidP="008C68EB" w:rsidRDefault="008B23F7" w14:paraId="0C4B23A9" w14:textId="77777777"/>
    <w:p w:rsidR="000D11B0" w:rsidP="008C68EB" w:rsidRDefault="004957E2" w14:paraId="2066DEA3" w14:textId="64FFCE00">
      <w:r>
        <w:t xml:space="preserve">Daarnaast verbreed </w:t>
      </w:r>
      <w:r w:rsidR="00535A9B">
        <w:t>ik de reikwijdte van dit artikel zo</w:t>
      </w:r>
      <w:r w:rsidR="00F06446">
        <w:t>, dat</w:t>
      </w:r>
      <w:r w:rsidR="000C3733">
        <w:t xml:space="preserve"> niet alleen instellingen die gelegen zijn in een krimp- of grensregio een beroep op </w:t>
      </w:r>
      <w:r w:rsidR="00535A9B">
        <w:t>het regio-criterium</w:t>
      </w:r>
      <w:r w:rsidR="000C3733">
        <w:t xml:space="preserve"> </w:t>
      </w:r>
      <w:r w:rsidR="00F06446">
        <w:t xml:space="preserve">kunnen </w:t>
      </w:r>
      <w:r w:rsidR="000C3733">
        <w:t xml:space="preserve">doen, maar ook instellingen die in de </w:t>
      </w:r>
      <w:r w:rsidRPr="003B20FD" w:rsidR="000C3733">
        <w:rPr>
          <w:u w:val="single"/>
        </w:rPr>
        <w:t>nabijheid</w:t>
      </w:r>
      <w:r w:rsidR="000C3733">
        <w:t xml:space="preserve"> van een krimpregio liggen</w:t>
      </w:r>
      <w:r w:rsidR="00621824">
        <w:t xml:space="preserve"> en van belang zijn voor de regio</w:t>
      </w:r>
      <w:r w:rsidR="000C3733">
        <w:t>.</w:t>
      </w:r>
      <w:r w:rsidR="000C3733">
        <w:rPr>
          <w:rStyle w:val="Voetnootmarkering"/>
        </w:rPr>
        <w:footnoteReference w:id="4"/>
      </w:r>
      <w:r w:rsidR="000C3733">
        <w:t xml:space="preserve"> Een goede afbakening vind ik daarbij van </w:t>
      </w:r>
      <w:r w:rsidR="002F7C4B">
        <w:lastRenderedPageBreak/>
        <w:t xml:space="preserve">essentieel </w:t>
      </w:r>
      <w:r w:rsidR="000C3733">
        <w:t>belang</w:t>
      </w:r>
      <w:r w:rsidR="00F06446">
        <w:t xml:space="preserve">, vanwege de rechtszekerheid en het voorkomen van juridische procedures over de reikwijdte </w:t>
      </w:r>
      <w:r w:rsidR="004B6964">
        <w:t xml:space="preserve">van het </w:t>
      </w:r>
      <w:r w:rsidR="00576EB3">
        <w:t>criterium</w:t>
      </w:r>
      <w:r w:rsidR="000C3733">
        <w:t xml:space="preserve">. Daarom </w:t>
      </w:r>
      <w:r w:rsidR="00B47A81">
        <w:t>is van belang helder</w:t>
      </w:r>
      <w:r w:rsidR="00180791">
        <w:t>heid</w:t>
      </w:r>
      <w:r w:rsidR="00B47A81">
        <w:t xml:space="preserve"> te hebben over </w:t>
      </w:r>
      <w:r w:rsidRPr="00B47A81" w:rsidR="00B47A81">
        <w:t>welke regio’s een beroep kunnen doen op het regiocriterium. Ik zal daar duidelijkheid over scheppen</w:t>
      </w:r>
      <w:r w:rsidR="00B47A81">
        <w:t xml:space="preserve"> met</w:t>
      </w:r>
      <w:r w:rsidRPr="00B47A81" w:rsidR="00B47A81">
        <w:t xml:space="preserve"> </w:t>
      </w:r>
      <w:r w:rsidR="000C3733">
        <w:t xml:space="preserve">een limitatieve lijst van </w:t>
      </w:r>
      <w:r w:rsidRPr="00621824" w:rsidR="000C3733">
        <w:t>regio’s</w:t>
      </w:r>
      <w:r w:rsidR="000C3733">
        <w:t xml:space="preserve"> </w:t>
      </w:r>
      <w:r w:rsidR="00260251">
        <w:t xml:space="preserve">die </w:t>
      </w:r>
      <w:r w:rsidR="004B6964">
        <w:t>binnen de reikwijdte vallen</w:t>
      </w:r>
      <w:r>
        <w:t>, waarbij ik zo dicht mogelijk blijf bij de regio’s die in het amendement specifiek genoemd worden</w:t>
      </w:r>
      <w:r w:rsidR="000C3733">
        <w:t xml:space="preserve">. </w:t>
      </w:r>
      <w:bookmarkStart w:name="_Hlk189730072" w:id="1"/>
      <w:r>
        <w:t>I</w:t>
      </w:r>
      <w:r w:rsidR="00350FC1">
        <w:t>k</w:t>
      </w:r>
      <w:r>
        <w:t xml:space="preserve"> informeer u specifiek over deze lijst bij de nota van wijziging. </w:t>
      </w:r>
      <w:r w:rsidR="00621824">
        <w:t xml:space="preserve">Dit vergroot de </w:t>
      </w:r>
      <w:r w:rsidR="00576EB3">
        <w:t xml:space="preserve">duidelijkheid </w:t>
      </w:r>
      <w:r w:rsidR="00A365DE">
        <w:t xml:space="preserve">en vermindert de </w:t>
      </w:r>
      <w:r w:rsidR="00EE4BC5">
        <w:t>lasten</w:t>
      </w:r>
      <w:r w:rsidR="00A365DE">
        <w:t xml:space="preserve"> </w:t>
      </w:r>
      <w:r w:rsidR="00621824">
        <w:t>voor instellingen</w:t>
      </w:r>
      <w:r w:rsidR="00A365DE">
        <w:t xml:space="preserve"> in de betreffende regio’s </w:t>
      </w:r>
      <w:r w:rsidR="00EE4BC5">
        <w:t>omdat</w:t>
      </w:r>
      <w:r w:rsidR="00A365DE">
        <w:t xml:space="preserve"> zij op voorhand weten of zij binnen de afbakening vallen</w:t>
      </w:r>
      <w:r w:rsidR="00EE1033">
        <w:t>, hetgeen zeker voor de toetsing van bestaand anderstalig onderwijs van groot belang is</w:t>
      </w:r>
      <w:r w:rsidR="00621824">
        <w:t>.</w:t>
      </w:r>
      <w:r w:rsidR="00A365DE">
        <w:t xml:space="preserve"> </w:t>
      </w:r>
      <w:r w:rsidR="00180791">
        <w:t xml:space="preserve">Indien een instelling binnen de afbakening valt, </w:t>
      </w:r>
      <w:bookmarkEnd w:id="1"/>
      <w:r w:rsidRPr="002E473D" w:rsidR="002E473D">
        <w:t xml:space="preserve">moet nog steeds de toets anderstalig onderwijs doorlopen worden aangezien </w:t>
      </w:r>
      <w:r w:rsidR="002E473D">
        <w:t>enige</w:t>
      </w:r>
      <w:r w:rsidRPr="002E473D" w:rsidR="002E473D">
        <w:t xml:space="preserve"> doelmatigheid van de anderstalige opleiding – </w:t>
      </w:r>
      <w:r w:rsidR="002E473D">
        <w:t>zoals de</w:t>
      </w:r>
      <w:r w:rsidRPr="002E473D" w:rsidR="002E473D">
        <w:t xml:space="preserve"> verwevenheid met de regionale arbeidsmarkt en</w:t>
      </w:r>
      <w:r w:rsidR="002E473D">
        <w:t>/of</w:t>
      </w:r>
      <w:r w:rsidRPr="002E473D" w:rsidR="002E473D">
        <w:t xml:space="preserve"> kennisinfrastructuur – nog wel aannemelijk moet worden gemaakt. Daarbij roep ik de instellingen op zich vanuit zelfregie in gezamenlijkheid voor te bereiden op de toets en bij voorkeur te werken met clusteraanvragen.</w:t>
      </w:r>
      <w:r w:rsidR="002E473D">
        <w:t xml:space="preserve"> Bij een goede zelfregie zullen de administratieve lasten voor instellingen dalen. </w:t>
      </w:r>
    </w:p>
    <w:p w:rsidR="00170B4D" w:rsidP="008C68EB" w:rsidRDefault="00170B4D" w14:paraId="28DE0BCD" w14:textId="77777777"/>
    <w:p w:rsidR="00170B4D" w:rsidP="00170B4D" w:rsidRDefault="00B47A81" w14:paraId="1FDF7803" w14:textId="6727E037">
      <w:pPr>
        <w:rPr>
          <w:b/>
          <w:bCs/>
        </w:rPr>
      </w:pPr>
      <w:r>
        <w:rPr>
          <w:b/>
          <w:bCs/>
        </w:rPr>
        <w:t>Overwegingen bij</w:t>
      </w:r>
      <w:r w:rsidR="00170B4D">
        <w:rPr>
          <w:b/>
          <w:bCs/>
        </w:rPr>
        <w:t xml:space="preserve"> invulling amendement</w:t>
      </w:r>
    </w:p>
    <w:p w:rsidR="00170B4D" w:rsidP="00170B4D" w:rsidRDefault="00B47A81" w14:paraId="65AABFC9" w14:textId="2780E0CA">
      <w:r>
        <w:t xml:space="preserve">Bij </w:t>
      </w:r>
      <w:r w:rsidR="00170B4D">
        <w:t>de invulling van het amendement heb ik</w:t>
      </w:r>
      <w:r w:rsidR="005E6FE4">
        <w:t xml:space="preserve"> </w:t>
      </w:r>
      <w:r>
        <w:t>verkend of ik binnen de kaders van wet- en regelgeving en de uitgangspunten van de WIB ook tot andere wijzigingen zou kunnen komen</w:t>
      </w:r>
      <w:r w:rsidR="00170B4D">
        <w:t xml:space="preserve">. Zo heb ik </w:t>
      </w:r>
      <w:r w:rsidRPr="008B10E5" w:rsidR="00170B4D">
        <w:t xml:space="preserve">verkend </w:t>
      </w:r>
      <w:r w:rsidR="00170B4D">
        <w:t>of</w:t>
      </w:r>
      <w:r w:rsidRPr="008B10E5" w:rsidR="00170B4D">
        <w:t xml:space="preserve"> regio’s een meer expliciete plaats in de amvb zouden</w:t>
      </w:r>
      <w:r w:rsidR="00170B4D">
        <w:t xml:space="preserve"> kunnen</w:t>
      </w:r>
      <w:r w:rsidRPr="008B10E5" w:rsidR="00170B4D">
        <w:t xml:space="preserve"> krijgen. </w:t>
      </w:r>
      <w:r w:rsidR="00170B4D">
        <w:t>Ik heb overwogen om daarbij</w:t>
      </w:r>
      <w:r w:rsidRPr="008B10E5" w:rsidR="00170B4D">
        <w:t xml:space="preserve"> (uitgebreider dan gebruikelijk in deze fase van wet- en regelgeving)</w:t>
      </w:r>
      <w:r w:rsidR="00170B4D">
        <w:t xml:space="preserve"> nadere</w:t>
      </w:r>
      <w:r w:rsidRPr="008B10E5" w:rsidR="00170B4D">
        <w:t xml:space="preserve"> toelichting </w:t>
      </w:r>
      <w:r w:rsidR="00170B4D">
        <w:t xml:space="preserve">te </w:t>
      </w:r>
      <w:r w:rsidRPr="008B10E5" w:rsidR="00170B4D">
        <w:t xml:space="preserve">geven op de voornemens in de amvb. </w:t>
      </w:r>
      <w:r w:rsidR="00170B4D">
        <w:t xml:space="preserve">Dit zou beter passen (dan </w:t>
      </w:r>
      <w:r w:rsidR="00180791">
        <w:t>de</w:t>
      </w:r>
      <w:r w:rsidR="00170B4D">
        <w:t xml:space="preserve"> hierboven </w:t>
      </w:r>
      <w:r w:rsidR="00180791">
        <w:t>gekozen route</w:t>
      </w:r>
      <w:r w:rsidR="00170B4D">
        <w:t xml:space="preserve">) binnen reguliere voorschriften voor wetgevingssystematiek en zou voor een snellere voortgang van de WIB zorgen (geen nota van wijziging nodig). Tegelijkertijd is mijn inschatting dat dit onvoldoende zekerheid voor de regio’s biedt over de invulling van de criteria en </w:t>
      </w:r>
      <w:r w:rsidR="002E473D">
        <w:t xml:space="preserve">bovendien zou </w:t>
      </w:r>
      <w:r w:rsidR="00170B4D">
        <w:t>ik</w:t>
      </w:r>
      <w:r w:rsidRPr="008B10E5" w:rsidR="00170B4D">
        <w:t xml:space="preserve"> hiermee onvoldoende tegemoetkom</w:t>
      </w:r>
      <w:r w:rsidR="002E473D">
        <w:t>en</w:t>
      </w:r>
      <w:r w:rsidRPr="008B10E5" w:rsidR="00170B4D">
        <w:t xml:space="preserve"> aan de </w:t>
      </w:r>
      <w:r w:rsidR="002E473D">
        <w:t>tekst van</w:t>
      </w:r>
      <w:r w:rsidRPr="008B10E5" w:rsidR="002E473D">
        <w:t xml:space="preserve"> </w:t>
      </w:r>
      <w:r w:rsidRPr="008B10E5" w:rsidR="00170B4D">
        <w:t xml:space="preserve">in het amendement. </w:t>
      </w:r>
    </w:p>
    <w:p w:rsidR="00170B4D" w:rsidP="00170B4D" w:rsidRDefault="00170B4D" w14:paraId="628C7C3A" w14:textId="77777777"/>
    <w:p w:rsidR="00170B4D" w:rsidP="00170B4D" w:rsidRDefault="00170B4D" w14:paraId="4286A0BA" w14:textId="48F7CBD3">
      <w:r>
        <w:t>Daarnaast heb</w:t>
      </w:r>
      <w:r w:rsidR="002A7E08">
        <w:t xml:space="preserve"> ik</w:t>
      </w:r>
      <w:r>
        <w:t xml:space="preserve"> verkend of al het bestaande anderstalige onderwijs in krimp- en grensregio’s op voorhand uitgezonderd kan worden van toetsing. </w:t>
      </w:r>
      <w:r w:rsidR="00B47A81">
        <w:t>Hieraan</w:t>
      </w:r>
      <w:r w:rsidR="006819F0">
        <w:t xml:space="preserve"> </w:t>
      </w:r>
      <w:r>
        <w:t xml:space="preserve">kleven grote juridische en beleidsmatige risico’s. </w:t>
      </w:r>
      <w:r w:rsidRPr="00103643">
        <w:t>De belangrijkste doelstellingen van de WIB</w:t>
      </w:r>
      <w:r>
        <w:t xml:space="preserve"> – dat</w:t>
      </w:r>
      <w:r w:rsidRPr="00103643">
        <w:t xml:space="preserve"> Nederlands </w:t>
      </w:r>
      <w:r>
        <w:t xml:space="preserve">als opleidingstaal </w:t>
      </w:r>
      <w:r w:rsidRPr="00103643">
        <w:t xml:space="preserve">weer de norm </w:t>
      </w:r>
      <w:r>
        <w:t>wordt</w:t>
      </w:r>
      <w:r w:rsidR="00B47A81">
        <w:t xml:space="preserve"> in de bachelor</w:t>
      </w:r>
      <w:r>
        <w:t xml:space="preserve"> </w:t>
      </w:r>
      <w:r w:rsidRPr="00103643">
        <w:t>en de toegankelijkheid van opleidingen voor Nederlandstalige studenten</w:t>
      </w:r>
      <w:r w:rsidR="002E473D">
        <w:t xml:space="preserve"> </w:t>
      </w:r>
      <w:r>
        <w:t>–</w:t>
      </w:r>
      <w:r w:rsidRPr="00103643">
        <w:t xml:space="preserve"> worden ondergraven als de </w:t>
      </w:r>
      <w:r>
        <w:t>toetsing van het anderstalig aanbod</w:t>
      </w:r>
      <w:r w:rsidRPr="00103643">
        <w:t xml:space="preserve"> maar voo</w:t>
      </w:r>
      <w:r w:rsidRPr="005E6FE4">
        <w:t>r een deel van het land</w:t>
      </w:r>
      <w:r w:rsidRPr="00103643">
        <w:t xml:space="preserve"> geldt</w:t>
      </w:r>
      <w:r>
        <w:t>. De WIB als geheel wordt hiermee sterk verzwakt en wordt, ten aanzien van krimp- en grensregio’s, zelfs soepeler dan de huidige wet.</w:t>
      </w:r>
      <w:r w:rsidRPr="0043137C">
        <w:t xml:space="preserve"> Met de WIB wordt een </w:t>
      </w:r>
      <w:r w:rsidR="002E473D">
        <w:t>heldere</w:t>
      </w:r>
      <w:r w:rsidRPr="0043137C">
        <w:t>,</w:t>
      </w:r>
      <w:r>
        <w:t xml:space="preserve"> </w:t>
      </w:r>
      <w:r w:rsidRPr="0043137C">
        <w:t>handhaafbare, norm t</w:t>
      </w:r>
      <w:r>
        <w:t>en aanzien van</w:t>
      </w:r>
      <w:r w:rsidRPr="0043137C">
        <w:t xml:space="preserve"> opleidingstaal geïntroduceerd.</w:t>
      </w:r>
      <w:r>
        <w:rPr>
          <w:rStyle w:val="Voetnootmarkering"/>
        </w:rPr>
        <w:footnoteReference w:id="5"/>
      </w:r>
      <w:r w:rsidRPr="0043137C">
        <w:t xml:space="preserve"> </w:t>
      </w:r>
      <w:r>
        <w:t>E</w:t>
      </w:r>
      <w:r w:rsidRPr="0043137C">
        <w:t xml:space="preserve">en generieke uitzondering voor regio’s, zou </w:t>
      </w:r>
      <w:r>
        <w:t xml:space="preserve">betekenen dat </w:t>
      </w:r>
      <w:r w:rsidRPr="0043137C">
        <w:t>voor regio</w:t>
      </w:r>
      <w:r w:rsidR="002E473D">
        <w:t>’</w:t>
      </w:r>
      <w:r w:rsidRPr="0043137C">
        <w:t xml:space="preserve">s </w:t>
      </w:r>
      <w:r w:rsidR="002E473D">
        <w:t xml:space="preserve">in het geheel </w:t>
      </w:r>
      <w:r w:rsidRPr="0043137C">
        <w:t>géén norm voor opleidingstaal meer geld</w:t>
      </w:r>
      <w:r>
        <w:t>t</w:t>
      </w:r>
      <w:r w:rsidRPr="0043137C">
        <w:t xml:space="preserve"> en </w:t>
      </w:r>
      <w:r>
        <w:t>dat</w:t>
      </w:r>
      <w:r w:rsidRPr="0043137C">
        <w:t xml:space="preserve"> deze instellingen een carte blanche</w:t>
      </w:r>
      <w:r>
        <w:t xml:space="preserve"> krijgen</w:t>
      </w:r>
      <w:r w:rsidR="000A4E0A">
        <w:t>, waardoor de opgave van de WIB geheel bij instellingen in andere regio’s (waaronder de Randstad) komt te liggen</w:t>
      </w:r>
      <w:r w:rsidRPr="0043137C">
        <w:t>.</w:t>
      </w:r>
      <w:r>
        <w:t xml:space="preserve"> In de regio kan mogelijk ondoelmatig anderstalig onderwijs dan in stand</w:t>
      </w:r>
      <w:r w:rsidR="00B47A81">
        <w:t xml:space="preserve"> worden</w:t>
      </w:r>
      <w:r>
        <w:t xml:space="preserve"> gehouden (en daarmee een ondoelmatige besteding van overheidsmiddelen)</w:t>
      </w:r>
      <w:r w:rsidR="002E473D">
        <w:t>,</w:t>
      </w:r>
      <w:r>
        <w:t xml:space="preserve">et als gevolg dat er ook in situaties waarin het Nederlands sterk onder druk staat, er geen maatschappelijke weging en sturing </w:t>
      </w:r>
      <w:r w:rsidR="002E473D">
        <w:t xml:space="preserve">kan </w:t>
      </w:r>
      <w:r>
        <w:t>plaatsvinden (door instellingen zelf en door de overheid). Ik wijs bijvoorbeeld op het sterk verengelste wo in sommige van de in het amendement genoemde regio’s.</w:t>
      </w:r>
      <w:r>
        <w:rPr>
          <w:rStyle w:val="Voetnootmarkering"/>
        </w:rPr>
        <w:footnoteReference w:id="6"/>
      </w:r>
      <w:r>
        <w:t xml:space="preserve"> Voorts compliceert een </w:t>
      </w:r>
      <w:r>
        <w:lastRenderedPageBreak/>
        <w:t xml:space="preserve">uitzondering op voorhand de onderlinge solidariteit en </w:t>
      </w:r>
      <w:r w:rsidR="00180791">
        <w:t xml:space="preserve">afstemming </w:t>
      </w:r>
      <w:r>
        <w:t xml:space="preserve">vanuit de zelfregie door de </w:t>
      </w:r>
      <w:r w:rsidRPr="005E6FE4">
        <w:t>instellingen, omdat een aantal instellingen buiten de norm wordt geplaatst. Dit zorgt voor risico’s voor de onderlinge verhoudingen tussen instellingen, e</w:t>
      </w:r>
      <w:r w:rsidR="005E6FE4">
        <w:t>en ongelijk speelveld e</w:t>
      </w:r>
      <w:r w:rsidRPr="005E6FE4">
        <w:t>n verdergaande concurrentie</w:t>
      </w:r>
      <w:r>
        <w:t xml:space="preserve"> in de toekomst. Dit, terwijl het Rijk, VH en UNL juist meer inzetten op onderlinge afstemming en zelfregie. </w:t>
      </w:r>
    </w:p>
    <w:p w:rsidRPr="00353CD9" w:rsidR="00170B4D" w:rsidP="00170B4D" w:rsidRDefault="00170B4D" w14:paraId="41D0C960" w14:textId="77777777">
      <w:pPr>
        <w:pStyle w:val="Lijstalinea"/>
      </w:pPr>
    </w:p>
    <w:p w:rsidR="00D539B9" w:rsidP="00D81C4A" w:rsidRDefault="00D539B9" w14:paraId="71BA0B68" w14:textId="77777777"/>
    <w:p w:rsidR="00800722" w:rsidP="00D81C4A" w:rsidRDefault="00114B3E" w14:paraId="5C455DD7" w14:textId="45D857A9">
      <w:pPr>
        <w:rPr>
          <w:b/>
          <w:bCs/>
        </w:rPr>
      </w:pPr>
      <w:r>
        <w:rPr>
          <w:b/>
          <w:bCs/>
        </w:rPr>
        <w:t>Ruimte voor z</w:t>
      </w:r>
      <w:r w:rsidR="00800722">
        <w:rPr>
          <w:b/>
          <w:bCs/>
        </w:rPr>
        <w:t>elfregie</w:t>
      </w:r>
    </w:p>
    <w:p w:rsidRPr="005E6FE4" w:rsidR="00800722" w:rsidP="00800722" w:rsidRDefault="00800722" w14:paraId="3337136C" w14:textId="6227686E">
      <w:r>
        <w:t xml:space="preserve">Ik blijf met deze voorgenomen nota van </w:t>
      </w:r>
      <w:r w:rsidRPr="005E6FE4">
        <w:t xml:space="preserve">wijziging een beroep doen op de zelfregie door de instellingen. </w:t>
      </w:r>
      <w:r w:rsidRPr="005E6FE4" w:rsidR="00CF7A82">
        <w:t xml:space="preserve">Ik vind het van groot belang dat instellingen met goed onderbouwde, voldoende kritische, voorstellen komen. </w:t>
      </w:r>
      <w:r w:rsidRPr="005E6FE4">
        <w:t>Door een goede onderlinge afstemming en scherpe keuzes in de profilering verwacht ik dat instellingen in gezamenlijkheid hun clusteraanvragen voor de toets anderstalig onderwijs kunnen indienen.</w:t>
      </w:r>
      <w:r w:rsidRPr="005E6FE4" w:rsidR="008674BF">
        <w:rPr>
          <w:rStyle w:val="Voetnootmarkering"/>
        </w:rPr>
        <w:footnoteReference w:id="7"/>
      </w:r>
      <w:r w:rsidRPr="005E6FE4" w:rsidR="00CF7A82">
        <w:t xml:space="preserve"> De voorstellen zoals die met de clusteraanvragen worden gedaan, neem ik vanzelfsprekend mee in mijn besluitvorming.</w:t>
      </w:r>
      <w:r w:rsidRPr="005E6FE4">
        <w:t xml:space="preserve"> </w:t>
      </w:r>
      <w:r w:rsidRPr="005E6FE4" w:rsidR="00CF7A82">
        <w:t>Op die manier blijft h</w:t>
      </w:r>
      <w:r w:rsidRPr="005E6FE4">
        <w:t xml:space="preserve">et primaat voor de keuzes bij de instellingen liggen. De </w:t>
      </w:r>
      <w:r w:rsidRPr="005E6FE4" w:rsidR="00B24909">
        <w:t>toets anderstalig onderwijs</w:t>
      </w:r>
      <w:r w:rsidRPr="005E6FE4">
        <w:t xml:space="preserve"> vormt het sluitstuk van dit traject.</w:t>
      </w:r>
    </w:p>
    <w:p w:rsidRPr="005E6FE4" w:rsidR="008674BF" w:rsidP="00800722" w:rsidRDefault="008674BF" w14:paraId="0851EA30" w14:textId="77777777"/>
    <w:p w:rsidR="008674BF" w:rsidP="00800722" w:rsidRDefault="004B6964" w14:paraId="293B82BC" w14:textId="1A968432">
      <w:r w:rsidRPr="005E6FE4">
        <w:t>Ik ben</w:t>
      </w:r>
      <w:r w:rsidRPr="005E6FE4" w:rsidR="008674BF">
        <w:t xml:space="preserve"> nog in afwachting van een verdere uitwerking van de zelfregieplannen</w:t>
      </w:r>
      <w:r w:rsidRPr="005E6FE4">
        <w:t>.</w:t>
      </w:r>
      <w:r w:rsidRPr="005E6FE4" w:rsidR="008674BF">
        <w:rPr>
          <w:rStyle w:val="Voetnootmarkering"/>
        </w:rPr>
        <w:footnoteReference w:id="8"/>
      </w:r>
      <w:r w:rsidRPr="005E6FE4" w:rsidR="008674BF">
        <w:t xml:space="preserve"> </w:t>
      </w:r>
      <w:r w:rsidRPr="005E6FE4">
        <w:t>D</w:t>
      </w:r>
      <w:r w:rsidRPr="005E6FE4" w:rsidR="008674BF">
        <w:t xml:space="preserve">e hogescholen en universiteiten </w:t>
      </w:r>
      <w:r w:rsidRPr="005E6FE4">
        <w:t xml:space="preserve">hebben </w:t>
      </w:r>
      <w:r w:rsidRPr="005E6FE4" w:rsidR="008674BF">
        <w:t xml:space="preserve">mij er in onze gesprekken op gewezen dat goede </w:t>
      </w:r>
      <w:r w:rsidRPr="005E6FE4">
        <w:t>zelfregie</w:t>
      </w:r>
      <w:r w:rsidRPr="005E6FE4" w:rsidR="008674BF">
        <w:t xml:space="preserve"> naar hun mening te weinig oplevert</w:t>
      </w:r>
      <w:r w:rsidRPr="005E6FE4">
        <w:t>,</w:t>
      </w:r>
      <w:r w:rsidRPr="005E6FE4" w:rsidR="008674BF">
        <w:t xml:space="preserve"> omdat de anderstalige opleidingen vervolgens alsnog de toets bestaand aanbod moeten doorlopen. </w:t>
      </w:r>
      <w:r w:rsidRPr="005E6FE4" w:rsidR="00114B3E">
        <w:t>Ik zie de zelfregie daarentegen als een kans voor de instellingen. De meerwaarde</w:t>
      </w:r>
      <w:r w:rsidR="00114B3E">
        <w:t xml:space="preserve"> in de zelfregie zit hem er voor mij in </w:t>
      </w:r>
      <w:r w:rsidRPr="005E6FE4" w:rsidR="00114B3E">
        <w:t xml:space="preserve">dat de CDHO het voorstel van de instellingen als richtsnoer kan gebruiken. Ik zal </w:t>
      </w:r>
      <w:r w:rsidRPr="005E6FE4" w:rsidR="00A55B9F">
        <w:t xml:space="preserve">dat </w:t>
      </w:r>
      <w:r w:rsidRPr="005E6FE4" w:rsidR="00114B3E">
        <w:t xml:space="preserve">in mijn besluitvorming vanzelfsprekend ook doen. </w:t>
      </w:r>
      <w:r w:rsidRPr="005E6FE4" w:rsidR="007A7390">
        <w:t xml:space="preserve">Het volledig laten vervallen van de toets bestaand aanbod vind ik </w:t>
      </w:r>
      <w:r w:rsidRPr="005E6FE4" w:rsidR="00114B3E">
        <w:t xml:space="preserve">echter </w:t>
      </w:r>
      <w:r w:rsidRPr="005E6FE4" w:rsidR="007A7390">
        <w:t xml:space="preserve">geen optie omdat </w:t>
      </w:r>
      <w:r w:rsidRPr="005E6FE4" w:rsidR="00114B3E">
        <w:t xml:space="preserve">UNL en VH mij op voorhand geen garanties kunnen geven over de uitkomst van de zelfregie. Als er geen toetsing van het bestaand aanbod zou plaatsvinden, geef </w:t>
      </w:r>
      <w:r w:rsidRPr="005E6FE4" w:rsidR="007A7390">
        <w:t>ik daarmee mijn “rem” uit handen</w:t>
      </w:r>
      <w:r w:rsidRPr="005E6FE4" w:rsidR="008674BF">
        <w:t xml:space="preserve">. </w:t>
      </w:r>
      <w:r w:rsidRPr="005E6FE4" w:rsidR="00114B3E">
        <w:t>Mijn zoektocht is hoe ik met deze beoogde wijziging de zelfregie weer nieuwe stimulans kan geven</w:t>
      </w:r>
      <w:r w:rsidR="00114B3E">
        <w:t xml:space="preserve">. Daar blijf ik ook de komende periode over in gesprek met de VH en UNL. </w:t>
      </w:r>
    </w:p>
    <w:p w:rsidR="005E6FE4" w:rsidP="00800722" w:rsidRDefault="005E6FE4" w14:paraId="5A2DB314" w14:textId="77777777"/>
    <w:p w:rsidR="002E473D" w:rsidP="004F5635" w:rsidRDefault="004F5635" w14:paraId="7E0C7EA7" w14:textId="77777777">
      <w:pPr>
        <w:rPr>
          <w:b/>
          <w:bCs/>
        </w:rPr>
      </w:pPr>
      <w:r w:rsidRPr="004F5635">
        <w:rPr>
          <w:b/>
          <w:bCs/>
        </w:rPr>
        <w:t xml:space="preserve">Relatie met krimpproblematiek </w:t>
      </w:r>
    </w:p>
    <w:p w:rsidR="004F5635" w:rsidP="004F5635" w:rsidRDefault="0054573B" w14:paraId="6E3235D5" w14:textId="1CDE3900">
      <w:r>
        <w:t xml:space="preserve">Met de voorgenomen wijziging erken ik </w:t>
      </w:r>
      <w:r w:rsidR="004F5635">
        <w:t xml:space="preserve">de wens achter het amendement om de positie van krimp- en grensregio’s steviger te verankeren dan in het huidige wetsvoorstel. De toets anderstalig onderwijs gaat immers gepaard met onzekerheid over de uitkomst, ondanks de uitgebreide aandacht voor regionale omstandigheden in de uitwerking van de criteria. De WIB is echter niet bedoeld om het krimpvraagstuk op te lossen. Voor </w:t>
      </w:r>
      <w:r w:rsidRPr="00253F40" w:rsidR="004F5635">
        <w:t>het krimpvraagstuk</w:t>
      </w:r>
      <w:r w:rsidR="004F5635">
        <w:t xml:space="preserve"> zijn eigenstandige, </w:t>
      </w:r>
      <w:r>
        <w:t xml:space="preserve">bredere en </w:t>
      </w:r>
      <w:r w:rsidR="004F5635">
        <w:t xml:space="preserve">duurzame oplossingen nodig. Zoals hierboven benadrukt, is sturing op de onderwijstaal </w:t>
      </w:r>
      <w:r w:rsidRPr="00253F40" w:rsidR="004F5635">
        <w:t xml:space="preserve">(c.q. </w:t>
      </w:r>
      <w:r w:rsidR="004F5635">
        <w:t xml:space="preserve">het </w:t>
      </w:r>
      <w:r w:rsidRPr="00253F40" w:rsidR="004F5635">
        <w:t xml:space="preserve">internationaliseringsvraagstuk) </w:t>
      </w:r>
      <w:r w:rsidR="004F5635">
        <w:t xml:space="preserve">hiervoor niet het geijkte instrument. </w:t>
      </w:r>
    </w:p>
    <w:p w:rsidR="004F5635" w:rsidP="004F5635" w:rsidRDefault="004F5635" w14:paraId="4270D517" w14:textId="77777777"/>
    <w:p w:rsidR="004F5635" w:rsidP="004F5635" w:rsidRDefault="004F5635" w14:paraId="7DABA207" w14:textId="33F09B64">
      <w:r>
        <w:t xml:space="preserve">Ik wil daarbij benadrukken dat de krimpproblematiek, waaronder de financiële stabiliteit van instellingen in krimpregio’s, mijn aandacht heeft, zowel op korte als op lange termijn. Voor de korte termijn zijn voor het hbo middelen (€ 90 miljoen in de periode 2022-2026,) beschikbaar gesteld voor behoud en transitie van het </w:t>
      </w:r>
      <w:r>
        <w:lastRenderedPageBreak/>
        <w:t xml:space="preserve">opleidingsaanbod in sterk krimpende regio’s. De tweede tranche daarvan wordt dit voorjaar toegekend. </w:t>
      </w:r>
    </w:p>
    <w:p w:rsidR="004F5635" w:rsidP="004F5635" w:rsidRDefault="004F5635" w14:paraId="3C73DC1B" w14:textId="77777777"/>
    <w:p w:rsidR="004F5635" w:rsidP="004F5635" w:rsidRDefault="004F5635" w14:paraId="16A4DF3D" w14:textId="725FC8D3">
      <w:r w:rsidRPr="00163DBA">
        <w:t xml:space="preserve">Daarnaast werk ik aan duurzame oplossingen, onder andere aan de stabilisering van de bekostiging. Ik wil de financiële stabiliteit vergroten en de impact van de dalende studentaantallen verminderen. </w:t>
      </w:r>
      <w:r>
        <w:t>Zo</w:t>
      </w:r>
      <w:r w:rsidRPr="00163DBA">
        <w:t xml:space="preserve"> heb</w:t>
      </w:r>
      <w:r>
        <w:t xml:space="preserve"> ik</w:t>
      </w:r>
      <w:r w:rsidRPr="00163DBA">
        <w:t xml:space="preserve"> per 2025 de vaste voet verhoogd in het verdeelmodel van de bekostiging. Daarbij ben ik in navolging van de motie van</w:t>
      </w:r>
      <w:r>
        <w:t xml:space="preserve"> het</w:t>
      </w:r>
      <w:r w:rsidRPr="00163DBA">
        <w:t xml:space="preserve"> lid Martens-America</w:t>
      </w:r>
      <w:r>
        <w:rPr>
          <w:rStyle w:val="Voetnootmarkering"/>
        </w:rPr>
        <w:footnoteReference w:id="9"/>
      </w:r>
      <w:r w:rsidRPr="00163DBA">
        <w:t xml:space="preserve"> in gesprek met het veld over hoe gezamenlijk de reflectie en afstemming over het landelijke aanbod van opleidingen kan worden gewaarborgd en voorkomen kan worden dat er opleidingen zonder gezamenlijk overleg uit Nederland verdwijnen. In mijn Beleidsbrief</w:t>
      </w:r>
      <w:r>
        <w:t>,</w:t>
      </w:r>
      <w:r w:rsidRPr="00163DBA">
        <w:t xml:space="preserve"> die ik naar verwachting later dit voorjaar naar uw Kamer stuur</w:t>
      </w:r>
      <w:r>
        <w:t>,</w:t>
      </w:r>
      <w:r w:rsidRPr="00163DBA">
        <w:t xml:space="preserve"> </w:t>
      </w:r>
      <w:r>
        <w:t>ga ik nader in</w:t>
      </w:r>
      <w:r w:rsidRPr="00163DBA">
        <w:t xml:space="preserve"> op de krimpproblematiek</w:t>
      </w:r>
      <w:r>
        <w:t>.</w:t>
      </w:r>
      <w:r w:rsidRPr="00163DBA">
        <w:t xml:space="preserve"> </w:t>
      </w:r>
    </w:p>
    <w:p w:rsidR="005E6FE4" w:rsidP="00800722" w:rsidRDefault="005E6FE4" w14:paraId="0744D06B" w14:textId="77777777"/>
    <w:p w:rsidRPr="008674BF" w:rsidR="005368E0" w:rsidP="008674BF" w:rsidRDefault="005368E0" w14:paraId="1AA5656A" w14:textId="77777777">
      <w:pPr>
        <w:rPr>
          <w:b/>
          <w:bCs/>
        </w:rPr>
      </w:pPr>
    </w:p>
    <w:p w:rsidR="008C68EB" w:rsidP="008C68EB" w:rsidRDefault="007A7390" w14:paraId="3B52FBB5" w14:textId="01728A45">
      <w:pPr>
        <w:rPr>
          <w:b/>
          <w:bCs/>
        </w:rPr>
      </w:pPr>
      <w:r>
        <w:rPr>
          <w:b/>
          <w:bCs/>
        </w:rPr>
        <w:t>Vervolg</w:t>
      </w:r>
      <w:r w:rsidRPr="000D11B0" w:rsidR="008C68EB">
        <w:rPr>
          <w:b/>
          <w:bCs/>
        </w:rPr>
        <w:t xml:space="preserve"> taakstelling</w:t>
      </w:r>
      <w:r>
        <w:rPr>
          <w:b/>
          <w:bCs/>
        </w:rPr>
        <w:t xml:space="preserve"> voor internationale studenten</w:t>
      </w:r>
    </w:p>
    <w:p w:rsidR="00212BCD" w:rsidP="009D313D" w:rsidRDefault="00F06446" w14:paraId="7B322CD1" w14:textId="143D8434">
      <w:r>
        <w:t>In het hoofdlijnenakkoord is</w:t>
      </w:r>
      <w:r w:rsidR="007A7390">
        <w:t>, los van de WIB en de daarbij behorende doelstellingen,</w:t>
      </w:r>
      <w:r>
        <w:t xml:space="preserve"> afgesproken dat het kabinet wil inzetten op het terugbrengen van de uitgaven voor internationale studenten.</w:t>
      </w:r>
      <w:r w:rsidRPr="006819F0" w:rsidR="006819F0">
        <w:t xml:space="preserve"> Hieraan </w:t>
      </w:r>
      <w:r w:rsidR="005E6FE4">
        <w:t>wa</w:t>
      </w:r>
      <w:r w:rsidRPr="006819F0" w:rsidR="006819F0">
        <w:t xml:space="preserve">s een bezuiniging gekoppeld van structureel € 293 miljoen. In de OCW-begroting 2025 heb ik deze </w:t>
      </w:r>
      <w:r w:rsidRPr="009350CB" w:rsidR="006819F0">
        <w:rPr>
          <w:i/>
          <w:iCs/>
        </w:rPr>
        <w:t>pro forma</w:t>
      </w:r>
      <w:r w:rsidRPr="006819F0" w:rsidR="006819F0">
        <w:t xml:space="preserve"> verdeeld over hbo en wo op basis van het aantal internationale EER-studenten in de bachelor.</w:t>
      </w:r>
      <w:r>
        <w:t xml:space="preserve"> Het amendement Bontenbal c.s.</w:t>
      </w:r>
      <w:r w:rsidR="00212BCD">
        <w:t xml:space="preserve"> verlaagt deze </w:t>
      </w:r>
      <w:r w:rsidRPr="006819F0" w:rsidR="006819F0">
        <w:t>bezuiniging met structureel € 125 miljoen. Er resteert dus een bezuiniging</w:t>
      </w:r>
      <w:r w:rsidR="005E6FE4">
        <w:t xml:space="preserve"> die oploopt van € 17 miljoen in 2026</w:t>
      </w:r>
      <w:r w:rsidRPr="006819F0" w:rsidR="006819F0">
        <w:t xml:space="preserve"> </w:t>
      </w:r>
      <w:r w:rsidR="005E6FE4">
        <w:t>tot</w:t>
      </w:r>
      <w:r w:rsidRPr="006819F0" w:rsidR="006819F0">
        <w:t xml:space="preserve"> € 168 miljoen structureel.</w:t>
      </w:r>
      <w:r w:rsidR="007A7390">
        <w:t xml:space="preserve"> </w:t>
      </w:r>
      <w:r w:rsidR="00B24909">
        <w:t xml:space="preserve">In de </w:t>
      </w:r>
      <w:r w:rsidRPr="00B53461" w:rsidR="00B24909">
        <w:t xml:space="preserve">voorlopige aanmeldcijfers voor 2024-2025 </w:t>
      </w:r>
      <w:r w:rsidR="00B24909">
        <w:t xml:space="preserve">is </w:t>
      </w:r>
      <w:r w:rsidRPr="00B53461" w:rsidR="00B24909">
        <w:t>al een stagnatie van de groei van het aantal internationale (EER-)studenten</w:t>
      </w:r>
      <w:r w:rsidR="00B24909">
        <w:t xml:space="preserve"> zichtbaar</w:t>
      </w:r>
      <w:r w:rsidRPr="00B53461" w:rsidR="00B24909">
        <w:t xml:space="preserve">. </w:t>
      </w:r>
      <w:r w:rsidR="00B24909">
        <w:t>Zoals ik eerder met uw Kamer heb gedeeld,</w:t>
      </w:r>
      <w:r w:rsidRPr="00B53461" w:rsidR="00B24909">
        <w:t xml:space="preserve"> helpt</w:t>
      </w:r>
      <w:r w:rsidR="00B24909">
        <w:t xml:space="preserve"> deze trend</w:t>
      </w:r>
      <w:r w:rsidRPr="00B53461" w:rsidR="00B24909">
        <w:t xml:space="preserve"> om een deel van de</w:t>
      </w:r>
      <w:r w:rsidR="00B24909">
        <w:t xml:space="preserve"> </w:t>
      </w:r>
      <w:r w:rsidRPr="00B53461" w:rsidR="00B24909">
        <w:t>besparing te realiseren.</w:t>
      </w:r>
      <w:r w:rsidR="00B24909">
        <w:rPr>
          <w:rStyle w:val="Voetnootmarkering"/>
        </w:rPr>
        <w:footnoteReference w:id="10"/>
      </w:r>
      <w:r w:rsidR="00B24909">
        <w:t xml:space="preserve"> </w:t>
      </w:r>
      <w:r w:rsidR="009D313D">
        <w:t xml:space="preserve">Het is mijn verantwoordelijkheid als minister om de bezuiniging te realiseren: als de beoogde vermindering van het aantal studenten niet wordt behaald, dan kan dit resulteren in een netto verlaging van de bekostiging per student voor dat jaar. </w:t>
      </w:r>
      <w:r w:rsidR="00212BCD">
        <w:t xml:space="preserve">Ik zal u </w:t>
      </w:r>
      <w:r w:rsidR="00B24909">
        <w:t>later dit voorjaar</w:t>
      </w:r>
      <w:r w:rsidR="00212BCD">
        <w:t xml:space="preserve"> informeren over de </w:t>
      </w:r>
      <w:r w:rsidR="00B24909">
        <w:t xml:space="preserve">precieze </w:t>
      </w:r>
      <w:r w:rsidR="006819F0">
        <w:t xml:space="preserve">invulling </w:t>
      </w:r>
      <w:r w:rsidR="00212BCD">
        <w:t>van de</w:t>
      </w:r>
      <w:r w:rsidR="006819F0">
        <w:t xml:space="preserve"> resterende bezuiniging</w:t>
      </w:r>
      <w:r w:rsidR="00212BCD">
        <w:t>, zodra de</w:t>
      </w:r>
      <w:r w:rsidR="00B24909">
        <w:t xml:space="preserve"> definitieve</w:t>
      </w:r>
      <w:r w:rsidR="00212BCD">
        <w:t xml:space="preserve"> referentieraming</w:t>
      </w:r>
      <w:r w:rsidR="005E6FE4">
        <w:t xml:space="preserve"> 2025 met daarin de ontwikkeling van de aantallen </w:t>
      </w:r>
      <w:r w:rsidR="00212BCD">
        <w:t>studenten bekend zijn.</w:t>
      </w:r>
    </w:p>
    <w:p w:rsidR="008C0CAB" w:rsidP="008C68EB" w:rsidRDefault="008C0CAB" w14:paraId="308E99F6" w14:textId="77777777"/>
    <w:p w:rsidRPr="008C0CAB" w:rsidR="006417BF" w:rsidP="008C68EB" w:rsidRDefault="008C0CAB" w14:paraId="4E0F6F5B" w14:textId="62E61A5F">
      <w:pPr>
        <w:rPr>
          <w:b/>
          <w:bCs/>
        </w:rPr>
      </w:pPr>
      <w:r w:rsidRPr="008C0CAB">
        <w:rPr>
          <w:b/>
          <w:bCs/>
        </w:rPr>
        <w:t>Vervolgstappen</w:t>
      </w:r>
    </w:p>
    <w:p w:rsidR="008C0CAB" w:rsidP="00CA35E4" w:rsidRDefault="00800722" w14:paraId="56FCFD19" w14:textId="5A6DA291">
      <w:r>
        <w:t xml:space="preserve">De komende tijd benut ik om de nota van wijziging uit te </w:t>
      </w:r>
      <w:r w:rsidR="005E6FE4">
        <w:t xml:space="preserve">werken </w:t>
      </w:r>
      <w:r w:rsidR="00114B3E">
        <w:t xml:space="preserve">en ik </w:t>
      </w:r>
      <w:r>
        <w:t xml:space="preserve">verwacht dat de nota van wijziging </w:t>
      </w:r>
      <w:r w:rsidR="00B24909">
        <w:t>dit voorjaar kan worden afgerond</w:t>
      </w:r>
      <w:r w:rsidR="00CF7A82">
        <w:t xml:space="preserve">. </w:t>
      </w:r>
      <w:bookmarkEnd w:id="0"/>
    </w:p>
    <w:p w:rsidR="00323DB1" w:rsidP="00CA35E4" w:rsidRDefault="00323DB1" w14:paraId="414415A2" w14:textId="77777777"/>
    <w:p w:rsidR="00B24909" w:rsidP="00CA35E4" w:rsidRDefault="00B24909" w14:paraId="34DF6DAE" w14:textId="77777777"/>
    <w:p w:rsidR="00820DDA" w:rsidP="00CA35E4" w:rsidRDefault="00E85F7C" w14:paraId="7E04593A" w14:textId="77777777">
      <w:r>
        <w:t>De minister van Onderwijs, Cultuur en Wetenschap,</w:t>
      </w:r>
    </w:p>
    <w:p w:rsidR="000F521E" w:rsidP="003A7160" w:rsidRDefault="000F521E" w14:paraId="07E00873" w14:textId="77777777"/>
    <w:p w:rsidR="000F521E" w:rsidP="003A7160" w:rsidRDefault="000F521E" w14:paraId="38B0D95A" w14:textId="77777777"/>
    <w:p w:rsidR="000F521E" w:rsidP="003A7160" w:rsidRDefault="000F521E" w14:paraId="738F26A9" w14:textId="77777777"/>
    <w:p w:rsidR="000F521E" w:rsidP="003A7160" w:rsidRDefault="000F521E" w14:paraId="55CB20D9" w14:textId="77777777"/>
    <w:p w:rsidR="000F521E" w:rsidP="003A7160" w:rsidRDefault="00E85F7C" w14:paraId="6CB7FD9F" w14:textId="77777777">
      <w:pPr>
        <w:pStyle w:val="standaard-tekst"/>
      </w:pPr>
      <w:r>
        <w:t>Eppo Bruins</w:t>
      </w:r>
    </w:p>
    <w:p w:rsidR="00F01557" w:rsidP="003A7160" w:rsidRDefault="00F01557" w14:paraId="69899FF7" w14:textId="77777777"/>
    <w:p w:rsidR="00F01557" w:rsidP="003A7160" w:rsidRDefault="00F01557" w14:paraId="5FCAB373" w14:textId="77777777"/>
    <w:p w:rsidR="00184B30" w:rsidP="00A60B58" w:rsidRDefault="00184B30" w14:paraId="7E53321E" w14:textId="77777777"/>
    <w:p w:rsidR="00184B30" w:rsidP="00A60B58" w:rsidRDefault="00184B30" w14:paraId="58B6A5F4" w14:textId="77777777"/>
    <w:p w:rsidRPr="00820DDA" w:rsidR="00820DDA" w:rsidP="00215964" w:rsidRDefault="00820DDA" w14:paraId="7209619F" w14:textId="77777777">
      <w:pPr>
        <w:spacing w:line="240" w:lineRule="auto"/>
      </w:pPr>
    </w:p>
    <w:sectPr w:rsidRPr="00820DDA" w:rsidR="00820DDA" w:rsidSect="00231EAF">
      <w:headerReference w:type="default" r:id="rId8"/>
      <w:footerReference w:type="default" r:id="rId9"/>
      <w:headerReference w:type="first" r:id="rId10"/>
      <w:footerReference w:type="first" r:id="rId11"/>
      <w:pgSz w:w="11906" w:h="16838" w:code="9"/>
      <w:pgMar w:top="1283" w:right="2818" w:bottom="1077" w:left="1588" w:header="1134"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DE90" w14:textId="77777777" w:rsidR="00DC691C" w:rsidRDefault="00E85F7C">
      <w:r>
        <w:separator/>
      </w:r>
    </w:p>
    <w:p w14:paraId="5407F31B" w14:textId="77777777" w:rsidR="00DC691C" w:rsidRDefault="00DC691C"/>
  </w:endnote>
  <w:endnote w:type="continuationSeparator" w:id="0">
    <w:p w14:paraId="1BD9C0B7" w14:textId="77777777" w:rsidR="00DC691C" w:rsidRDefault="00E85F7C">
      <w:r>
        <w:continuationSeparator/>
      </w:r>
    </w:p>
    <w:p w14:paraId="0BC2EEF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AC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D3F2C" w14:paraId="40C63AF2" w14:textId="77777777" w:rsidTr="004C7E1D">
      <w:trPr>
        <w:trHeight w:hRule="exact" w:val="357"/>
      </w:trPr>
      <w:tc>
        <w:tcPr>
          <w:tcW w:w="7603" w:type="dxa"/>
          <w:shd w:val="clear" w:color="auto" w:fill="auto"/>
        </w:tcPr>
        <w:p w14:paraId="161F843A" w14:textId="77777777" w:rsidR="002F71BB" w:rsidRPr="004C7E1D" w:rsidRDefault="002F71BB" w:rsidP="004C7E1D">
          <w:pPr>
            <w:spacing w:line="180" w:lineRule="exact"/>
            <w:rPr>
              <w:sz w:val="13"/>
              <w:szCs w:val="13"/>
            </w:rPr>
          </w:pPr>
        </w:p>
      </w:tc>
      <w:tc>
        <w:tcPr>
          <w:tcW w:w="2172" w:type="dxa"/>
          <w:shd w:val="clear" w:color="auto" w:fill="auto"/>
        </w:tcPr>
        <w:p w14:paraId="52206B6E" w14:textId="4A0FD55A" w:rsidR="002F71BB" w:rsidRPr="004C7E1D" w:rsidRDefault="00E85F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F3DC7">
            <w:rPr>
              <w:szCs w:val="13"/>
            </w:rPr>
            <w:t>5</w:t>
          </w:r>
          <w:r w:rsidRPr="004C7E1D">
            <w:rPr>
              <w:szCs w:val="13"/>
            </w:rPr>
            <w:fldChar w:fldCharType="end"/>
          </w:r>
        </w:p>
      </w:tc>
    </w:tr>
  </w:tbl>
  <w:p w14:paraId="0FD0238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D3F2C" w14:paraId="404575C4" w14:textId="77777777" w:rsidTr="004C7E1D">
      <w:trPr>
        <w:trHeight w:hRule="exact" w:val="357"/>
      </w:trPr>
      <w:tc>
        <w:tcPr>
          <w:tcW w:w="7709" w:type="dxa"/>
          <w:shd w:val="clear" w:color="auto" w:fill="auto"/>
        </w:tcPr>
        <w:p w14:paraId="02F25CCB" w14:textId="77777777" w:rsidR="00D17084" w:rsidRPr="004C7E1D" w:rsidRDefault="00D17084" w:rsidP="004C7E1D">
          <w:pPr>
            <w:spacing w:line="180" w:lineRule="exact"/>
            <w:rPr>
              <w:sz w:val="13"/>
              <w:szCs w:val="13"/>
            </w:rPr>
          </w:pPr>
        </w:p>
      </w:tc>
      <w:tc>
        <w:tcPr>
          <w:tcW w:w="2060" w:type="dxa"/>
          <w:shd w:val="clear" w:color="auto" w:fill="auto"/>
        </w:tcPr>
        <w:p w14:paraId="26DE7BF0" w14:textId="40D95243" w:rsidR="00D17084" w:rsidRPr="004C7E1D" w:rsidRDefault="00E85F7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F3DC7">
            <w:rPr>
              <w:szCs w:val="13"/>
            </w:rPr>
            <w:t>5</w:t>
          </w:r>
          <w:r w:rsidRPr="004C7E1D">
            <w:rPr>
              <w:szCs w:val="13"/>
            </w:rPr>
            <w:fldChar w:fldCharType="end"/>
          </w:r>
        </w:p>
      </w:tc>
    </w:tr>
  </w:tbl>
  <w:p w14:paraId="43C3A6E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04C0" w14:textId="77777777" w:rsidR="00DC691C" w:rsidRDefault="00E85F7C">
      <w:r>
        <w:separator/>
      </w:r>
    </w:p>
  </w:footnote>
  <w:footnote w:type="continuationSeparator" w:id="0">
    <w:p w14:paraId="522E573E" w14:textId="77777777" w:rsidR="00DC691C" w:rsidRDefault="00E85F7C">
      <w:r>
        <w:continuationSeparator/>
      </w:r>
    </w:p>
    <w:p w14:paraId="56D5D218" w14:textId="77777777" w:rsidR="00DC691C" w:rsidRDefault="00DC691C"/>
  </w:footnote>
  <w:footnote w:id="1">
    <w:p w14:paraId="6369276E" w14:textId="2320A3D4" w:rsidR="006109B0" w:rsidRDefault="006109B0" w:rsidP="006109B0">
      <w:pPr>
        <w:pStyle w:val="Voetnoottekst"/>
      </w:pPr>
      <w:r>
        <w:rPr>
          <w:rStyle w:val="Voetnootmarkering"/>
        </w:rPr>
        <w:footnoteRef/>
      </w:r>
      <w:r>
        <w:t xml:space="preserve"> Kamerstukken II 2024-2025, 36600-III, nr. 12.</w:t>
      </w:r>
    </w:p>
  </w:footnote>
  <w:footnote w:id="2">
    <w:p w14:paraId="01791A76" w14:textId="77777777" w:rsidR="00A365DE" w:rsidRDefault="00A365DE" w:rsidP="00A365DE">
      <w:pPr>
        <w:pStyle w:val="Voetnoottekst"/>
      </w:pPr>
      <w:r>
        <w:rPr>
          <w:rStyle w:val="Voetnootmarkering"/>
        </w:rPr>
        <w:footnoteRef/>
      </w:r>
      <w:r>
        <w:t xml:space="preserve"> </w:t>
      </w:r>
      <w:r w:rsidRPr="009355DF">
        <w:t>Vooral in het wo staat het gebruik van het Nederlands onder druk: één op de drie bacheloropleidingen wordt volledig in het Engels aangeboden; de helft van de opleidingen gedeeltelijk in het Nederlands en gedeeltelijk in het Engels.</w:t>
      </w:r>
      <w:r>
        <w:t xml:space="preserve"> Zie verder:</w:t>
      </w:r>
    </w:p>
    <w:p w14:paraId="1DF8D16C" w14:textId="77777777" w:rsidR="00A365DE" w:rsidRDefault="00A365DE" w:rsidP="00A365DE">
      <w:pPr>
        <w:pStyle w:val="Voetnoottekst"/>
      </w:pPr>
      <w:r>
        <w:t xml:space="preserve">Inspectie van het Onderwijs, </w:t>
      </w:r>
      <w:r w:rsidRPr="0011234B">
        <w:rPr>
          <w:i/>
          <w:iCs/>
        </w:rPr>
        <w:t>De staat van het onderwijs 2023</w:t>
      </w:r>
      <w:r>
        <w:t xml:space="preserve">, p. 165. </w:t>
      </w:r>
    </w:p>
  </w:footnote>
  <w:footnote w:id="3">
    <w:p w14:paraId="6D86EAAF" w14:textId="77777777" w:rsidR="00A365DE" w:rsidRDefault="00A365DE" w:rsidP="00A365DE">
      <w:pPr>
        <w:pStyle w:val="Voetnoottekst"/>
      </w:pPr>
      <w:r>
        <w:rPr>
          <w:rStyle w:val="Voetnootmarkering"/>
        </w:rPr>
        <w:footnoteRef/>
      </w:r>
      <w:r>
        <w:t xml:space="preserve"> </w:t>
      </w:r>
      <w:r w:rsidRPr="00013701">
        <w:t>Inspectie van het Onderwijs, 2022</w:t>
      </w:r>
      <w:r w:rsidRPr="00450CCC">
        <w:rPr>
          <w:i/>
          <w:iCs/>
        </w:rPr>
        <w:t>, Onbedoelde zelfselectie: drempels die gekwalificeerde jongeren ervan weerhouden om een specifieke opleiding in het hoger onderwijs te kiezen</w:t>
      </w:r>
      <w:r w:rsidRPr="00013701">
        <w:t>.</w:t>
      </w:r>
      <w:r>
        <w:t xml:space="preserve"> Hieruit blij</w:t>
      </w:r>
      <w:r w:rsidRPr="00013701">
        <w:t xml:space="preserve">kt dat 15% van de aspirant-studenten met een havo of mbo-diploma zijn </w:t>
      </w:r>
      <w:r>
        <w:t xml:space="preserve">of haar </w:t>
      </w:r>
      <w:r w:rsidRPr="00013701">
        <w:t>studiekeuze zou heroverwegen als de instructietaal Engels is. Dit percentage is hoger voor</w:t>
      </w:r>
      <w:r>
        <w:t xml:space="preserve"> eerste-generatiestudenten</w:t>
      </w:r>
      <w:r w:rsidRPr="00013701">
        <w:t xml:space="preserve"> en voor Nederlandse studiekiezers zonder migratieachtergrond. Daarmee is het Engels, met name in het hbo, een drempel om te studeren voor een significante groep Nederlandse studenten</w:t>
      </w:r>
      <w:r>
        <w:t xml:space="preserve">. </w:t>
      </w:r>
    </w:p>
  </w:footnote>
  <w:footnote w:id="4">
    <w:p w14:paraId="0200B315" w14:textId="58D783AA" w:rsidR="000C3733" w:rsidRDefault="000C3733">
      <w:pPr>
        <w:pStyle w:val="Voetnoottekst"/>
      </w:pPr>
      <w:r>
        <w:rPr>
          <w:rStyle w:val="Voetnootmarkering"/>
        </w:rPr>
        <w:footnoteRef/>
      </w:r>
      <w:r>
        <w:t xml:space="preserve"> </w:t>
      </w:r>
      <w:r w:rsidR="003375E7" w:rsidRPr="00053382">
        <w:t>Ten aanzien van krimpregio’s wordt in deze amvb aangesloten op actueel Rijksbeleid in het</w:t>
      </w:r>
      <w:r w:rsidR="003375E7">
        <w:t xml:space="preserve"> </w:t>
      </w:r>
      <w:r w:rsidR="003375E7" w:rsidRPr="00053382">
        <w:t>Nationaal Programma Vitale Regio’s, een regeringsprogramma geïnitieerd door de Minister van Binnenlandse Zaken en Koninkrijkrelaties.</w:t>
      </w:r>
      <w:r w:rsidR="003375E7">
        <w:t xml:space="preserve"> Een opsomming van deze regio’s is opgenomen in de door de minister van BZK verstuurde </w:t>
      </w:r>
      <w:r w:rsidR="003375E7" w:rsidRPr="00426C1C">
        <w:t>Kamerbrief van 20 december 2024</w:t>
      </w:r>
      <w:r w:rsidR="004C2333">
        <w:t>: Kamerstukken II, 2024-2025,</w:t>
      </w:r>
      <w:r w:rsidR="004C2333" w:rsidRPr="004C2333">
        <w:t xml:space="preserve"> 29697 nr. 158</w:t>
      </w:r>
      <w:r w:rsidR="00426C1C">
        <w:t xml:space="preserve">. </w:t>
      </w:r>
    </w:p>
  </w:footnote>
  <w:footnote w:id="5">
    <w:p w14:paraId="46CC40B7" w14:textId="77777777" w:rsidR="00170B4D" w:rsidRDefault="00170B4D" w:rsidP="00170B4D">
      <w:pPr>
        <w:pStyle w:val="Voetnoottekst"/>
      </w:pPr>
      <w:r>
        <w:rPr>
          <w:rStyle w:val="Voetnootmarkering"/>
        </w:rPr>
        <w:footnoteRef/>
      </w:r>
      <w:r>
        <w:t xml:space="preserve"> De huidige norm is niet handhaafbaar, zo heeft ook de inspectie van het onderwijs meermaals gesignaleerd. Kamerstukken II, 2022-2023, </w:t>
      </w:r>
      <w:r w:rsidRPr="009A1164">
        <w:t>31288, nr. 1056</w:t>
      </w:r>
      <w:r>
        <w:t xml:space="preserve">.  </w:t>
      </w:r>
    </w:p>
  </w:footnote>
  <w:footnote w:id="6">
    <w:p w14:paraId="24DB7743" w14:textId="77777777" w:rsidR="00170B4D" w:rsidRDefault="00170B4D" w:rsidP="00170B4D">
      <w:pPr>
        <w:pStyle w:val="Voetnoottekst"/>
      </w:pPr>
      <w:r>
        <w:rPr>
          <w:rStyle w:val="Voetnootmarkering"/>
        </w:rPr>
        <w:footnoteRef/>
      </w:r>
      <w:r>
        <w:t xml:space="preserve"> Bij de Universiteit Maastricht worden bijvoorbeeld momenteel 21 van de 25 bacheloropleidingen volledig anderstalig aangeboden; bij de Universiteit Twente geldt dit voor 16 van de 20 bacheloropleidingen. Zie:</w:t>
      </w:r>
      <w:r w:rsidRPr="0000351A">
        <w:t xml:space="preserve"> </w:t>
      </w:r>
      <w:hyperlink r:id="rId1" w:history="1">
        <w:r w:rsidRPr="00084422">
          <w:rPr>
            <w:rStyle w:val="Hyperlink"/>
          </w:rPr>
          <w:t>https://www.universiteitenvannederland.nl/onderwerpen/onderwijs/instructietaal-universitaire-opleidingen</w:t>
        </w:r>
      </w:hyperlink>
      <w:r>
        <w:t>. NB:</w:t>
      </w:r>
      <w:r w:rsidRPr="0000351A">
        <w:t xml:space="preserve"> </w:t>
      </w:r>
      <w:r>
        <w:t>UNL maakt gebruik gemaakt van een eigen definitie, nog niet van de door de WIB geïntroduceerde definitie.</w:t>
      </w:r>
    </w:p>
  </w:footnote>
  <w:footnote w:id="7">
    <w:p w14:paraId="61461CCD" w14:textId="16C0AD75" w:rsidR="008674BF" w:rsidRDefault="008674BF">
      <w:pPr>
        <w:pStyle w:val="Voetnoottekst"/>
      </w:pPr>
      <w:r>
        <w:rPr>
          <w:rStyle w:val="Voetnootmarkering"/>
        </w:rPr>
        <w:footnoteRef/>
      </w:r>
      <w:r>
        <w:t xml:space="preserve"> De zelfregie zou hoogstwaarschijnlijk verdwijnen bij het eerder geschetste alternatie</w:t>
      </w:r>
      <w:r w:rsidR="00D374C3">
        <w:t xml:space="preserve">f van het op voorhand uitzonderen van al het onderwijs in de regio voor de toets anderstalig onderwijs. </w:t>
      </w:r>
    </w:p>
  </w:footnote>
  <w:footnote w:id="8">
    <w:p w14:paraId="18DCB814" w14:textId="17057225" w:rsidR="008674BF" w:rsidRDefault="008674BF">
      <w:pPr>
        <w:pStyle w:val="Voetnoottekst"/>
      </w:pPr>
      <w:r>
        <w:rPr>
          <w:rStyle w:val="Voetnootmarkering"/>
        </w:rPr>
        <w:footnoteRef/>
      </w:r>
      <w:r>
        <w:t xml:space="preserve"> De universiteiten hebben in hun zelfregieplan van maart 2024 toegezegd om in oktober 2024 een totaalbeeld te geven van de definitieve implementatieplannen per universiteit. Dit totaalbeeld heb ik helaas niet ontvangen. </w:t>
      </w:r>
    </w:p>
  </w:footnote>
  <w:footnote w:id="9">
    <w:p w14:paraId="123F6371" w14:textId="77777777" w:rsidR="004F5635" w:rsidRDefault="004F5635" w:rsidP="004F5635">
      <w:pPr>
        <w:pStyle w:val="Voetnoottekst"/>
      </w:pPr>
      <w:r>
        <w:rPr>
          <w:rStyle w:val="Voetnootmarkering"/>
        </w:rPr>
        <w:footnoteRef/>
      </w:r>
      <w:r>
        <w:t xml:space="preserve"> Kamerstukken II 2024-2025, 36600 VIII, nr. 88.</w:t>
      </w:r>
    </w:p>
  </w:footnote>
  <w:footnote w:id="10">
    <w:p w14:paraId="47DDCB01" w14:textId="0984461D" w:rsidR="00B24909" w:rsidRDefault="00B24909" w:rsidP="00B24909">
      <w:pPr>
        <w:pStyle w:val="Voetnoottekst"/>
      </w:pPr>
      <w:r>
        <w:rPr>
          <w:rStyle w:val="Voetnootmarkering"/>
        </w:rPr>
        <w:footnoteRef/>
      </w:r>
      <w:r w:rsidR="00FD30C1">
        <w:t xml:space="preserve"> Kamerstukken II 2024-2025, 36555, nr. 7, p.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5EE" w14:textId="49A634EC"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3F2C" w14:paraId="539D2D46" w14:textId="77777777" w:rsidTr="003B528D">
      <w:tc>
        <w:tcPr>
          <w:tcW w:w="2160" w:type="dxa"/>
          <w:shd w:val="clear" w:color="auto" w:fill="auto"/>
        </w:tcPr>
        <w:p w14:paraId="3E0EAA04" w14:textId="77777777" w:rsidR="002F71BB" w:rsidRPr="000407BB" w:rsidRDefault="00E85F7C" w:rsidP="005D283A">
          <w:pPr>
            <w:pStyle w:val="Colofonkop"/>
            <w:framePr w:hSpace="0" w:wrap="auto" w:vAnchor="margin" w:hAnchor="text" w:xAlign="left" w:yAlign="inline"/>
          </w:pPr>
          <w:r>
            <w:t>Onze referentie</w:t>
          </w:r>
        </w:p>
      </w:tc>
    </w:tr>
    <w:tr w:rsidR="006D3F2C" w14:paraId="2F228176" w14:textId="77777777" w:rsidTr="002F71BB">
      <w:trPr>
        <w:trHeight w:val="259"/>
      </w:trPr>
      <w:tc>
        <w:tcPr>
          <w:tcW w:w="2160" w:type="dxa"/>
          <w:shd w:val="clear" w:color="auto" w:fill="auto"/>
        </w:tcPr>
        <w:p w14:paraId="4FDEBDC1" w14:textId="49DCD377" w:rsidR="00E35CF4" w:rsidRPr="005D283A" w:rsidRDefault="008D7B43" w:rsidP="0049501A">
          <w:pPr>
            <w:spacing w:line="180" w:lineRule="exact"/>
            <w:rPr>
              <w:sz w:val="13"/>
              <w:szCs w:val="13"/>
            </w:rPr>
          </w:pPr>
          <w:r>
            <w:rPr>
              <w:sz w:val="13"/>
              <w:szCs w:val="13"/>
            </w:rPr>
            <w:t>50464749</w:t>
          </w:r>
        </w:p>
      </w:tc>
    </w:tr>
  </w:tbl>
  <w:p w14:paraId="59CD58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D3F2C" w14:paraId="413B4CEE" w14:textId="77777777" w:rsidTr="001377D4">
      <w:trPr>
        <w:trHeight w:val="2636"/>
      </w:trPr>
      <w:tc>
        <w:tcPr>
          <w:tcW w:w="737" w:type="dxa"/>
          <w:shd w:val="clear" w:color="auto" w:fill="auto"/>
        </w:tcPr>
        <w:p w14:paraId="22B51C3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908E152" w14:textId="77777777" w:rsidR="00704845" w:rsidRDefault="00E85F7C" w:rsidP="0047126E">
          <w:pPr>
            <w:framePr w:w="3873" w:h="2625" w:hRule="exact" w:wrap="around" w:vAnchor="page" w:hAnchor="page" w:x="6323" w:y="1"/>
          </w:pPr>
          <w:r>
            <w:rPr>
              <w:noProof/>
              <w:lang w:val="en-US" w:eastAsia="en-US"/>
            </w:rPr>
            <w:drawing>
              <wp:inline distT="0" distB="0" distL="0" distR="0" wp14:anchorId="2465921D" wp14:editId="67A31795">
                <wp:extent cx="2447925" cy="1657350"/>
                <wp:effectExtent l="0" t="0" r="0" b="0"/>
                <wp:docPr id="1356148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4B8D11F" w14:textId="77777777" w:rsidR="00483ECA" w:rsidRDefault="00483ECA" w:rsidP="00D037A9"/>
      </w:tc>
    </w:tr>
  </w:tbl>
  <w:p w14:paraId="1B0328EB" w14:textId="47BAB73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D3F2C" w14:paraId="7E3653C1" w14:textId="77777777" w:rsidTr="0008539E">
      <w:trPr>
        <w:trHeight w:hRule="exact" w:val="572"/>
      </w:trPr>
      <w:tc>
        <w:tcPr>
          <w:tcW w:w="7520" w:type="dxa"/>
          <w:shd w:val="clear" w:color="auto" w:fill="auto"/>
        </w:tcPr>
        <w:p w14:paraId="63458CC5" w14:textId="77777777" w:rsidR="00527BD4" w:rsidRPr="00963440" w:rsidRDefault="00E85F7C" w:rsidP="00210BA3">
          <w:pPr>
            <w:pStyle w:val="Huisstijl-Adres"/>
            <w:spacing w:after="0"/>
          </w:pPr>
          <w:r w:rsidRPr="009E3B07">
            <w:t>&gt;Retouradres </w:t>
          </w:r>
          <w:r>
            <w:t>Postbus 16375 2500 BJ Den Haag</w:t>
          </w:r>
          <w:r w:rsidRPr="009E3B07">
            <w:t xml:space="preserve"> </w:t>
          </w:r>
        </w:p>
      </w:tc>
    </w:tr>
    <w:tr w:rsidR="006D3F2C" w14:paraId="52416812" w14:textId="77777777" w:rsidTr="00E776C6">
      <w:trPr>
        <w:cantSplit/>
        <w:trHeight w:hRule="exact" w:val="238"/>
      </w:trPr>
      <w:tc>
        <w:tcPr>
          <w:tcW w:w="7520" w:type="dxa"/>
          <w:shd w:val="clear" w:color="auto" w:fill="auto"/>
        </w:tcPr>
        <w:p w14:paraId="05380C6D" w14:textId="77777777" w:rsidR="00093ABC" w:rsidRPr="00963440" w:rsidRDefault="00093ABC" w:rsidP="00963440"/>
      </w:tc>
    </w:tr>
    <w:tr w:rsidR="006D3F2C" w14:paraId="35F97B6B" w14:textId="77777777" w:rsidTr="00E776C6">
      <w:trPr>
        <w:cantSplit/>
        <w:trHeight w:hRule="exact" w:val="1520"/>
      </w:trPr>
      <w:tc>
        <w:tcPr>
          <w:tcW w:w="7520" w:type="dxa"/>
          <w:shd w:val="clear" w:color="auto" w:fill="auto"/>
        </w:tcPr>
        <w:p w14:paraId="32425667" w14:textId="77777777" w:rsidR="00A604D3" w:rsidRPr="00963440" w:rsidRDefault="00A604D3" w:rsidP="00963440"/>
      </w:tc>
    </w:tr>
    <w:tr w:rsidR="006D3F2C" w14:paraId="14641EF9" w14:textId="77777777" w:rsidTr="00E776C6">
      <w:trPr>
        <w:trHeight w:hRule="exact" w:val="1077"/>
      </w:trPr>
      <w:tc>
        <w:tcPr>
          <w:tcW w:w="7520" w:type="dxa"/>
          <w:shd w:val="clear" w:color="auto" w:fill="auto"/>
        </w:tcPr>
        <w:p w14:paraId="3F009515" w14:textId="77777777" w:rsidR="00892BA5" w:rsidRPr="00035E67" w:rsidRDefault="00892BA5" w:rsidP="00892BA5">
          <w:pPr>
            <w:tabs>
              <w:tab w:val="left" w:pos="740"/>
            </w:tabs>
            <w:autoSpaceDE w:val="0"/>
            <w:autoSpaceDN w:val="0"/>
            <w:adjustRightInd w:val="0"/>
            <w:rPr>
              <w:rFonts w:cs="Verdana"/>
              <w:szCs w:val="18"/>
            </w:rPr>
          </w:pPr>
        </w:p>
      </w:tc>
    </w:tr>
  </w:tbl>
  <w:p w14:paraId="6004EFDA" w14:textId="77777777" w:rsidR="006F273B" w:rsidRDefault="006F273B" w:rsidP="00BC4AE3">
    <w:pPr>
      <w:pStyle w:val="Koptekst"/>
    </w:pPr>
  </w:p>
  <w:p w14:paraId="38725D48" w14:textId="77777777" w:rsidR="00153BD0" w:rsidRDefault="00153BD0" w:rsidP="00BC4AE3">
    <w:pPr>
      <w:pStyle w:val="Koptekst"/>
    </w:pPr>
  </w:p>
  <w:p w14:paraId="167159E4" w14:textId="77777777" w:rsidR="0044605E" w:rsidRDefault="0044605E" w:rsidP="00BC4AE3">
    <w:pPr>
      <w:pStyle w:val="Koptekst"/>
    </w:pPr>
  </w:p>
  <w:p w14:paraId="1592454A" w14:textId="77777777" w:rsidR="0044605E" w:rsidRDefault="0044605E" w:rsidP="00BC4AE3">
    <w:pPr>
      <w:pStyle w:val="Koptekst"/>
    </w:pPr>
  </w:p>
  <w:p w14:paraId="2778E9F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580121"/>
    <w:multiLevelType w:val="hybridMultilevel"/>
    <w:tmpl w:val="1CB01630"/>
    <w:lvl w:ilvl="0" w:tplc="04130001">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134A14"/>
    <w:multiLevelType w:val="hybridMultilevel"/>
    <w:tmpl w:val="2C867862"/>
    <w:lvl w:ilvl="0" w:tplc="BBC643B8">
      <w:start w:val="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C932BF"/>
    <w:multiLevelType w:val="hybridMultilevel"/>
    <w:tmpl w:val="A440AD80"/>
    <w:lvl w:ilvl="0" w:tplc="306A99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A4120A4"/>
    <w:multiLevelType w:val="hybridMultilevel"/>
    <w:tmpl w:val="1D8E1FCE"/>
    <w:lvl w:ilvl="0" w:tplc="03286462">
      <w:start w:val="1"/>
      <w:numFmt w:val="bullet"/>
      <w:pStyle w:val="Lijstopsomteken"/>
      <w:lvlText w:val="•"/>
      <w:lvlJc w:val="left"/>
      <w:pPr>
        <w:tabs>
          <w:tab w:val="num" w:pos="227"/>
        </w:tabs>
        <w:ind w:left="227" w:hanging="227"/>
      </w:pPr>
      <w:rPr>
        <w:rFonts w:ascii="Verdana" w:hAnsi="Verdana" w:hint="default"/>
        <w:sz w:val="18"/>
        <w:szCs w:val="18"/>
      </w:rPr>
    </w:lvl>
    <w:lvl w:ilvl="1" w:tplc="6DBAD436" w:tentative="1">
      <w:start w:val="1"/>
      <w:numFmt w:val="bullet"/>
      <w:lvlText w:val="o"/>
      <w:lvlJc w:val="left"/>
      <w:pPr>
        <w:tabs>
          <w:tab w:val="num" w:pos="1440"/>
        </w:tabs>
        <w:ind w:left="1440" w:hanging="360"/>
      </w:pPr>
      <w:rPr>
        <w:rFonts w:ascii="Courier New" w:hAnsi="Courier New" w:cs="Courier New" w:hint="default"/>
      </w:rPr>
    </w:lvl>
    <w:lvl w:ilvl="2" w:tplc="A126D686" w:tentative="1">
      <w:start w:val="1"/>
      <w:numFmt w:val="bullet"/>
      <w:lvlText w:val=""/>
      <w:lvlJc w:val="left"/>
      <w:pPr>
        <w:tabs>
          <w:tab w:val="num" w:pos="2160"/>
        </w:tabs>
        <w:ind w:left="2160" w:hanging="360"/>
      </w:pPr>
      <w:rPr>
        <w:rFonts w:ascii="Wingdings" w:hAnsi="Wingdings" w:hint="default"/>
      </w:rPr>
    </w:lvl>
    <w:lvl w:ilvl="3" w:tplc="8E12EEFC" w:tentative="1">
      <w:start w:val="1"/>
      <w:numFmt w:val="bullet"/>
      <w:lvlText w:val=""/>
      <w:lvlJc w:val="left"/>
      <w:pPr>
        <w:tabs>
          <w:tab w:val="num" w:pos="2880"/>
        </w:tabs>
        <w:ind w:left="2880" w:hanging="360"/>
      </w:pPr>
      <w:rPr>
        <w:rFonts w:ascii="Symbol" w:hAnsi="Symbol" w:hint="default"/>
      </w:rPr>
    </w:lvl>
    <w:lvl w:ilvl="4" w:tplc="E31A1530" w:tentative="1">
      <w:start w:val="1"/>
      <w:numFmt w:val="bullet"/>
      <w:lvlText w:val="o"/>
      <w:lvlJc w:val="left"/>
      <w:pPr>
        <w:tabs>
          <w:tab w:val="num" w:pos="3600"/>
        </w:tabs>
        <w:ind w:left="3600" w:hanging="360"/>
      </w:pPr>
      <w:rPr>
        <w:rFonts w:ascii="Courier New" w:hAnsi="Courier New" w:cs="Courier New" w:hint="default"/>
      </w:rPr>
    </w:lvl>
    <w:lvl w:ilvl="5" w:tplc="58621532" w:tentative="1">
      <w:start w:val="1"/>
      <w:numFmt w:val="bullet"/>
      <w:lvlText w:val=""/>
      <w:lvlJc w:val="left"/>
      <w:pPr>
        <w:tabs>
          <w:tab w:val="num" w:pos="4320"/>
        </w:tabs>
        <w:ind w:left="4320" w:hanging="360"/>
      </w:pPr>
      <w:rPr>
        <w:rFonts w:ascii="Wingdings" w:hAnsi="Wingdings" w:hint="default"/>
      </w:rPr>
    </w:lvl>
    <w:lvl w:ilvl="6" w:tplc="6406A2FE" w:tentative="1">
      <w:start w:val="1"/>
      <w:numFmt w:val="bullet"/>
      <w:lvlText w:val=""/>
      <w:lvlJc w:val="left"/>
      <w:pPr>
        <w:tabs>
          <w:tab w:val="num" w:pos="5040"/>
        </w:tabs>
        <w:ind w:left="5040" w:hanging="360"/>
      </w:pPr>
      <w:rPr>
        <w:rFonts w:ascii="Symbol" w:hAnsi="Symbol" w:hint="default"/>
      </w:rPr>
    </w:lvl>
    <w:lvl w:ilvl="7" w:tplc="85660BF8" w:tentative="1">
      <w:start w:val="1"/>
      <w:numFmt w:val="bullet"/>
      <w:lvlText w:val="o"/>
      <w:lvlJc w:val="left"/>
      <w:pPr>
        <w:tabs>
          <w:tab w:val="num" w:pos="5760"/>
        </w:tabs>
        <w:ind w:left="5760" w:hanging="360"/>
      </w:pPr>
      <w:rPr>
        <w:rFonts w:ascii="Courier New" w:hAnsi="Courier New" w:cs="Courier New" w:hint="default"/>
      </w:rPr>
    </w:lvl>
    <w:lvl w:ilvl="8" w:tplc="7F8E03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093E60"/>
    <w:multiLevelType w:val="multilevel"/>
    <w:tmpl w:val="787EF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0A8048B8">
      <w:start w:val="1"/>
      <w:numFmt w:val="bullet"/>
      <w:pStyle w:val="Lijstopsomteken2"/>
      <w:lvlText w:val="–"/>
      <w:lvlJc w:val="left"/>
      <w:pPr>
        <w:tabs>
          <w:tab w:val="num" w:pos="227"/>
        </w:tabs>
        <w:ind w:left="227" w:firstLine="0"/>
      </w:pPr>
      <w:rPr>
        <w:rFonts w:ascii="Verdana" w:hAnsi="Verdana" w:hint="default"/>
      </w:rPr>
    </w:lvl>
    <w:lvl w:ilvl="1" w:tplc="0FF45BA4" w:tentative="1">
      <w:start w:val="1"/>
      <w:numFmt w:val="bullet"/>
      <w:lvlText w:val="o"/>
      <w:lvlJc w:val="left"/>
      <w:pPr>
        <w:tabs>
          <w:tab w:val="num" w:pos="1440"/>
        </w:tabs>
        <w:ind w:left="1440" w:hanging="360"/>
      </w:pPr>
      <w:rPr>
        <w:rFonts w:ascii="Courier New" w:hAnsi="Courier New" w:cs="Courier New" w:hint="default"/>
      </w:rPr>
    </w:lvl>
    <w:lvl w:ilvl="2" w:tplc="2EF85F4E" w:tentative="1">
      <w:start w:val="1"/>
      <w:numFmt w:val="bullet"/>
      <w:lvlText w:val=""/>
      <w:lvlJc w:val="left"/>
      <w:pPr>
        <w:tabs>
          <w:tab w:val="num" w:pos="2160"/>
        </w:tabs>
        <w:ind w:left="2160" w:hanging="360"/>
      </w:pPr>
      <w:rPr>
        <w:rFonts w:ascii="Wingdings" w:hAnsi="Wingdings" w:hint="default"/>
      </w:rPr>
    </w:lvl>
    <w:lvl w:ilvl="3" w:tplc="AAA2AAE4" w:tentative="1">
      <w:start w:val="1"/>
      <w:numFmt w:val="bullet"/>
      <w:lvlText w:val=""/>
      <w:lvlJc w:val="left"/>
      <w:pPr>
        <w:tabs>
          <w:tab w:val="num" w:pos="2880"/>
        </w:tabs>
        <w:ind w:left="2880" w:hanging="360"/>
      </w:pPr>
      <w:rPr>
        <w:rFonts w:ascii="Symbol" w:hAnsi="Symbol" w:hint="default"/>
      </w:rPr>
    </w:lvl>
    <w:lvl w:ilvl="4" w:tplc="6FEE9F4C" w:tentative="1">
      <w:start w:val="1"/>
      <w:numFmt w:val="bullet"/>
      <w:lvlText w:val="o"/>
      <w:lvlJc w:val="left"/>
      <w:pPr>
        <w:tabs>
          <w:tab w:val="num" w:pos="3600"/>
        </w:tabs>
        <w:ind w:left="3600" w:hanging="360"/>
      </w:pPr>
      <w:rPr>
        <w:rFonts w:ascii="Courier New" w:hAnsi="Courier New" w:cs="Courier New" w:hint="default"/>
      </w:rPr>
    </w:lvl>
    <w:lvl w:ilvl="5" w:tplc="98800956" w:tentative="1">
      <w:start w:val="1"/>
      <w:numFmt w:val="bullet"/>
      <w:lvlText w:val=""/>
      <w:lvlJc w:val="left"/>
      <w:pPr>
        <w:tabs>
          <w:tab w:val="num" w:pos="4320"/>
        </w:tabs>
        <w:ind w:left="4320" w:hanging="360"/>
      </w:pPr>
      <w:rPr>
        <w:rFonts w:ascii="Wingdings" w:hAnsi="Wingdings" w:hint="default"/>
      </w:rPr>
    </w:lvl>
    <w:lvl w:ilvl="6" w:tplc="A170CE4E" w:tentative="1">
      <w:start w:val="1"/>
      <w:numFmt w:val="bullet"/>
      <w:lvlText w:val=""/>
      <w:lvlJc w:val="left"/>
      <w:pPr>
        <w:tabs>
          <w:tab w:val="num" w:pos="5040"/>
        </w:tabs>
        <w:ind w:left="5040" w:hanging="360"/>
      </w:pPr>
      <w:rPr>
        <w:rFonts w:ascii="Symbol" w:hAnsi="Symbol" w:hint="default"/>
      </w:rPr>
    </w:lvl>
    <w:lvl w:ilvl="7" w:tplc="2884A072" w:tentative="1">
      <w:start w:val="1"/>
      <w:numFmt w:val="bullet"/>
      <w:lvlText w:val="o"/>
      <w:lvlJc w:val="left"/>
      <w:pPr>
        <w:tabs>
          <w:tab w:val="num" w:pos="5760"/>
        </w:tabs>
        <w:ind w:left="5760" w:hanging="360"/>
      </w:pPr>
      <w:rPr>
        <w:rFonts w:ascii="Courier New" w:hAnsi="Courier New" w:cs="Courier New" w:hint="default"/>
      </w:rPr>
    </w:lvl>
    <w:lvl w:ilvl="8" w:tplc="ACB673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C055C"/>
    <w:multiLevelType w:val="hybridMultilevel"/>
    <w:tmpl w:val="7A04742A"/>
    <w:lvl w:ilvl="0" w:tplc="C3704B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307C4D"/>
    <w:multiLevelType w:val="hybridMultilevel"/>
    <w:tmpl w:val="B39CD7A4"/>
    <w:lvl w:ilvl="0" w:tplc="04130001">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D31843"/>
    <w:multiLevelType w:val="hybridMultilevel"/>
    <w:tmpl w:val="8ED64DC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4D3499"/>
    <w:multiLevelType w:val="hybridMultilevel"/>
    <w:tmpl w:val="A808DE02"/>
    <w:lvl w:ilvl="0" w:tplc="72B02EE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1879758">
    <w:abstractNumId w:val="13"/>
  </w:num>
  <w:num w:numId="2" w16cid:durableId="555895301">
    <w:abstractNumId w:val="7"/>
  </w:num>
  <w:num w:numId="3" w16cid:durableId="862330930">
    <w:abstractNumId w:val="6"/>
  </w:num>
  <w:num w:numId="4" w16cid:durableId="1783305621">
    <w:abstractNumId w:val="5"/>
  </w:num>
  <w:num w:numId="5" w16cid:durableId="1847818468">
    <w:abstractNumId w:val="4"/>
  </w:num>
  <w:num w:numId="6" w16cid:durableId="1003437082">
    <w:abstractNumId w:val="8"/>
  </w:num>
  <w:num w:numId="7" w16cid:durableId="1071928388">
    <w:abstractNumId w:val="3"/>
  </w:num>
  <w:num w:numId="8" w16cid:durableId="1321811594">
    <w:abstractNumId w:val="2"/>
  </w:num>
  <w:num w:numId="9" w16cid:durableId="342434896">
    <w:abstractNumId w:val="1"/>
  </w:num>
  <w:num w:numId="10" w16cid:durableId="2000770122">
    <w:abstractNumId w:val="0"/>
  </w:num>
  <w:num w:numId="11" w16cid:durableId="1723214824">
    <w:abstractNumId w:val="11"/>
  </w:num>
  <w:num w:numId="12" w16cid:durableId="1389643060">
    <w:abstractNumId w:val="15"/>
  </w:num>
  <w:num w:numId="13" w16cid:durableId="135266413">
    <w:abstractNumId w:val="19"/>
  </w:num>
  <w:num w:numId="14" w16cid:durableId="1228959197">
    <w:abstractNumId w:val="16"/>
  </w:num>
  <w:num w:numId="15" w16cid:durableId="327752981">
    <w:abstractNumId w:val="18"/>
  </w:num>
  <w:num w:numId="16" w16cid:durableId="536967222">
    <w:abstractNumId w:val="9"/>
  </w:num>
  <w:num w:numId="17" w16cid:durableId="1654984460">
    <w:abstractNumId w:val="14"/>
  </w:num>
  <w:num w:numId="18" w16cid:durableId="1618298472">
    <w:abstractNumId w:val="21"/>
  </w:num>
  <w:num w:numId="19" w16cid:durableId="2131822134">
    <w:abstractNumId w:val="10"/>
  </w:num>
  <w:num w:numId="20" w16cid:durableId="744958169">
    <w:abstractNumId w:val="20"/>
  </w:num>
  <w:num w:numId="21" w16cid:durableId="447437451">
    <w:abstractNumId w:val="17"/>
  </w:num>
  <w:num w:numId="22" w16cid:durableId="15463332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070"/>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4E0A"/>
    <w:rsid w:val="000A65AC"/>
    <w:rsid w:val="000A6E0F"/>
    <w:rsid w:val="000B0E19"/>
    <w:rsid w:val="000B7281"/>
    <w:rsid w:val="000B7FAB"/>
    <w:rsid w:val="000C1BA1"/>
    <w:rsid w:val="000C3733"/>
    <w:rsid w:val="000C3EA9"/>
    <w:rsid w:val="000C4A32"/>
    <w:rsid w:val="000C65BB"/>
    <w:rsid w:val="000C7119"/>
    <w:rsid w:val="000D0225"/>
    <w:rsid w:val="000D11B0"/>
    <w:rsid w:val="000D249E"/>
    <w:rsid w:val="000D40EA"/>
    <w:rsid w:val="000D6399"/>
    <w:rsid w:val="000E5886"/>
    <w:rsid w:val="000E6621"/>
    <w:rsid w:val="000E7895"/>
    <w:rsid w:val="000F161D"/>
    <w:rsid w:val="000F1B4E"/>
    <w:rsid w:val="000F1FFF"/>
    <w:rsid w:val="000F521E"/>
    <w:rsid w:val="00100203"/>
    <w:rsid w:val="00104B4D"/>
    <w:rsid w:val="00105677"/>
    <w:rsid w:val="0011234B"/>
    <w:rsid w:val="00114B3E"/>
    <w:rsid w:val="001177B4"/>
    <w:rsid w:val="00122CF9"/>
    <w:rsid w:val="00123704"/>
    <w:rsid w:val="001267D7"/>
    <w:rsid w:val="001270C7"/>
    <w:rsid w:val="00132540"/>
    <w:rsid w:val="001377D4"/>
    <w:rsid w:val="00142E41"/>
    <w:rsid w:val="0014786A"/>
    <w:rsid w:val="0014792A"/>
    <w:rsid w:val="001511AB"/>
    <w:rsid w:val="001516A4"/>
    <w:rsid w:val="00151E5F"/>
    <w:rsid w:val="00153BD0"/>
    <w:rsid w:val="001569AB"/>
    <w:rsid w:val="00163DBA"/>
    <w:rsid w:val="00164D63"/>
    <w:rsid w:val="0016725C"/>
    <w:rsid w:val="00167DE5"/>
    <w:rsid w:val="0017008F"/>
    <w:rsid w:val="00170B4D"/>
    <w:rsid w:val="001726F3"/>
    <w:rsid w:val="00173C51"/>
    <w:rsid w:val="001740B9"/>
    <w:rsid w:val="00174CC2"/>
    <w:rsid w:val="00175B16"/>
    <w:rsid w:val="00176CC6"/>
    <w:rsid w:val="00177B41"/>
    <w:rsid w:val="00180791"/>
    <w:rsid w:val="0018160F"/>
    <w:rsid w:val="0018193C"/>
    <w:rsid w:val="00181BE4"/>
    <w:rsid w:val="0018496F"/>
    <w:rsid w:val="00184B30"/>
    <w:rsid w:val="00185576"/>
    <w:rsid w:val="00185951"/>
    <w:rsid w:val="00192178"/>
    <w:rsid w:val="00194A00"/>
    <w:rsid w:val="00196B8B"/>
    <w:rsid w:val="001A031A"/>
    <w:rsid w:val="001A0BFA"/>
    <w:rsid w:val="001A1608"/>
    <w:rsid w:val="001A2BEA"/>
    <w:rsid w:val="001A325F"/>
    <w:rsid w:val="001A48CB"/>
    <w:rsid w:val="001A6D93"/>
    <w:rsid w:val="001B2BBA"/>
    <w:rsid w:val="001B35FA"/>
    <w:rsid w:val="001B3B78"/>
    <w:rsid w:val="001C006F"/>
    <w:rsid w:val="001C2C36"/>
    <w:rsid w:val="001C32EC"/>
    <w:rsid w:val="001C38BD"/>
    <w:rsid w:val="001C4D5A"/>
    <w:rsid w:val="001E0256"/>
    <w:rsid w:val="001E34C6"/>
    <w:rsid w:val="001E5581"/>
    <w:rsid w:val="001F3C70"/>
    <w:rsid w:val="00200D88"/>
    <w:rsid w:val="00201C09"/>
    <w:rsid w:val="00201F68"/>
    <w:rsid w:val="00210BA3"/>
    <w:rsid w:val="00212BCD"/>
    <w:rsid w:val="00212F2A"/>
    <w:rsid w:val="00214F2B"/>
    <w:rsid w:val="00215356"/>
    <w:rsid w:val="00215964"/>
    <w:rsid w:val="00215D8B"/>
    <w:rsid w:val="00217880"/>
    <w:rsid w:val="00222D66"/>
    <w:rsid w:val="0022441A"/>
    <w:rsid w:val="00224A8A"/>
    <w:rsid w:val="002309A8"/>
    <w:rsid w:val="00231EAF"/>
    <w:rsid w:val="002347DF"/>
    <w:rsid w:val="00236CFE"/>
    <w:rsid w:val="002428E3"/>
    <w:rsid w:val="0024430A"/>
    <w:rsid w:val="00245FF7"/>
    <w:rsid w:val="00253B65"/>
    <w:rsid w:val="00253F40"/>
    <w:rsid w:val="00260251"/>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E08"/>
    <w:rsid w:val="002B153C"/>
    <w:rsid w:val="002B3921"/>
    <w:rsid w:val="002B52FC"/>
    <w:rsid w:val="002B75A0"/>
    <w:rsid w:val="002C26D0"/>
    <w:rsid w:val="002C2830"/>
    <w:rsid w:val="002C3CE0"/>
    <w:rsid w:val="002C40AF"/>
    <w:rsid w:val="002D001A"/>
    <w:rsid w:val="002D28E2"/>
    <w:rsid w:val="002D317B"/>
    <w:rsid w:val="002D3587"/>
    <w:rsid w:val="002D36A4"/>
    <w:rsid w:val="002D3F4E"/>
    <w:rsid w:val="002D502D"/>
    <w:rsid w:val="002D6C72"/>
    <w:rsid w:val="002E0F69"/>
    <w:rsid w:val="002E1572"/>
    <w:rsid w:val="002E2142"/>
    <w:rsid w:val="002E2DA3"/>
    <w:rsid w:val="002E473D"/>
    <w:rsid w:val="002E4CF2"/>
    <w:rsid w:val="002E4F18"/>
    <w:rsid w:val="002E6FC0"/>
    <w:rsid w:val="002E701D"/>
    <w:rsid w:val="002F258D"/>
    <w:rsid w:val="002F3F37"/>
    <w:rsid w:val="002F493B"/>
    <w:rsid w:val="002F4ED5"/>
    <w:rsid w:val="002F5147"/>
    <w:rsid w:val="002F5A0B"/>
    <w:rsid w:val="002F71BB"/>
    <w:rsid w:val="002F7ABD"/>
    <w:rsid w:val="002F7C4B"/>
    <w:rsid w:val="00305059"/>
    <w:rsid w:val="00307B3C"/>
    <w:rsid w:val="00310890"/>
    <w:rsid w:val="00310EF2"/>
    <w:rsid w:val="003115A6"/>
    <w:rsid w:val="00312597"/>
    <w:rsid w:val="00315487"/>
    <w:rsid w:val="00322836"/>
    <w:rsid w:val="00323DB1"/>
    <w:rsid w:val="00334154"/>
    <w:rsid w:val="003341D0"/>
    <w:rsid w:val="003372C4"/>
    <w:rsid w:val="003375E7"/>
    <w:rsid w:val="00341FA0"/>
    <w:rsid w:val="00342374"/>
    <w:rsid w:val="00344F3D"/>
    <w:rsid w:val="00345299"/>
    <w:rsid w:val="003479A8"/>
    <w:rsid w:val="00350FC1"/>
    <w:rsid w:val="00351A8D"/>
    <w:rsid w:val="003526BB"/>
    <w:rsid w:val="00352BCF"/>
    <w:rsid w:val="00353932"/>
    <w:rsid w:val="00353CD9"/>
    <w:rsid w:val="0035464B"/>
    <w:rsid w:val="00356D2B"/>
    <w:rsid w:val="003614E6"/>
    <w:rsid w:val="00361A56"/>
    <w:rsid w:val="0036252A"/>
    <w:rsid w:val="00364D9D"/>
    <w:rsid w:val="00371048"/>
    <w:rsid w:val="00372BAB"/>
    <w:rsid w:val="0037396C"/>
    <w:rsid w:val="00374137"/>
    <w:rsid w:val="0037421D"/>
    <w:rsid w:val="00374412"/>
    <w:rsid w:val="00376093"/>
    <w:rsid w:val="0037715E"/>
    <w:rsid w:val="00377255"/>
    <w:rsid w:val="00383DA1"/>
    <w:rsid w:val="00385F30"/>
    <w:rsid w:val="00387600"/>
    <w:rsid w:val="003929C4"/>
    <w:rsid w:val="00393696"/>
    <w:rsid w:val="00393963"/>
    <w:rsid w:val="00394798"/>
    <w:rsid w:val="00395575"/>
    <w:rsid w:val="00395672"/>
    <w:rsid w:val="003A06C8"/>
    <w:rsid w:val="003A0D7C"/>
    <w:rsid w:val="003A7160"/>
    <w:rsid w:val="003B0155"/>
    <w:rsid w:val="003B09DB"/>
    <w:rsid w:val="003B20FD"/>
    <w:rsid w:val="003B4551"/>
    <w:rsid w:val="003B528D"/>
    <w:rsid w:val="003B7924"/>
    <w:rsid w:val="003B7EE7"/>
    <w:rsid w:val="003C2CCB"/>
    <w:rsid w:val="003C4A1C"/>
    <w:rsid w:val="003C5BCB"/>
    <w:rsid w:val="003D134E"/>
    <w:rsid w:val="003D39EC"/>
    <w:rsid w:val="003D40EA"/>
    <w:rsid w:val="003E3DD5"/>
    <w:rsid w:val="003E5464"/>
    <w:rsid w:val="003E5FE6"/>
    <w:rsid w:val="003F07C6"/>
    <w:rsid w:val="003F1F6B"/>
    <w:rsid w:val="003F3757"/>
    <w:rsid w:val="003F44B7"/>
    <w:rsid w:val="004000A9"/>
    <w:rsid w:val="004008E9"/>
    <w:rsid w:val="00407991"/>
    <w:rsid w:val="0041019E"/>
    <w:rsid w:val="00413D48"/>
    <w:rsid w:val="00424A60"/>
    <w:rsid w:val="00426A33"/>
    <w:rsid w:val="00426C1C"/>
    <w:rsid w:val="0043137C"/>
    <w:rsid w:val="00434042"/>
    <w:rsid w:val="00434500"/>
    <w:rsid w:val="00441AC2"/>
    <w:rsid w:val="0044228F"/>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57E2"/>
    <w:rsid w:val="00496319"/>
    <w:rsid w:val="0049657E"/>
    <w:rsid w:val="00497279"/>
    <w:rsid w:val="004A010B"/>
    <w:rsid w:val="004A3186"/>
    <w:rsid w:val="004A419C"/>
    <w:rsid w:val="004A670A"/>
    <w:rsid w:val="004B5465"/>
    <w:rsid w:val="004B6487"/>
    <w:rsid w:val="004B6964"/>
    <w:rsid w:val="004B70F0"/>
    <w:rsid w:val="004C0035"/>
    <w:rsid w:val="004C1299"/>
    <w:rsid w:val="004C2333"/>
    <w:rsid w:val="004C7E1D"/>
    <w:rsid w:val="004D065C"/>
    <w:rsid w:val="004D33FE"/>
    <w:rsid w:val="004D39A8"/>
    <w:rsid w:val="004D4703"/>
    <w:rsid w:val="004D505E"/>
    <w:rsid w:val="004D50D7"/>
    <w:rsid w:val="004D67E8"/>
    <w:rsid w:val="004D72CA"/>
    <w:rsid w:val="004E10EC"/>
    <w:rsid w:val="004E2242"/>
    <w:rsid w:val="004E3A7C"/>
    <w:rsid w:val="004F0F6D"/>
    <w:rsid w:val="004F2483"/>
    <w:rsid w:val="004F42FF"/>
    <w:rsid w:val="004F44C2"/>
    <w:rsid w:val="004F5635"/>
    <w:rsid w:val="00505262"/>
    <w:rsid w:val="005107B1"/>
    <w:rsid w:val="005117DC"/>
    <w:rsid w:val="00516022"/>
    <w:rsid w:val="00516AA4"/>
    <w:rsid w:val="00520915"/>
    <w:rsid w:val="00521CEE"/>
    <w:rsid w:val="00527BD4"/>
    <w:rsid w:val="00533061"/>
    <w:rsid w:val="00533FA1"/>
    <w:rsid w:val="00534C77"/>
    <w:rsid w:val="00535A9B"/>
    <w:rsid w:val="005363A1"/>
    <w:rsid w:val="005368E0"/>
    <w:rsid w:val="005403C8"/>
    <w:rsid w:val="00540AFE"/>
    <w:rsid w:val="00541AD9"/>
    <w:rsid w:val="005429DC"/>
    <w:rsid w:val="0054573B"/>
    <w:rsid w:val="00555A21"/>
    <w:rsid w:val="005565F9"/>
    <w:rsid w:val="00563538"/>
    <w:rsid w:val="005639D2"/>
    <w:rsid w:val="00565739"/>
    <w:rsid w:val="00573041"/>
    <w:rsid w:val="00575B80"/>
    <w:rsid w:val="00576EB3"/>
    <w:rsid w:val="00577559"/>
    <w:rsid w:val="005819CE"/>
    <w:rsid w:val="0058298D"/>
    <w:rsid w:val="00590595"/>
    <w:rsid w:val="00592003"/>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5933"/>
    <w:rsid w:val="005C740C"/>
    <w:rsid w:val="005D283A"/>
    <w:rsid w:val="005D625B"/>
    <w:rsid w:val="005E17A2"/>
    <w:rsid w:val="005E3322"/>
    <w:rsid w:val="005E436C"/>
    <w:rsid w:val="005E64E2"/>
    <w:rsid w:val="005E6FE4"/>
    <w:rsid w:val="005F62D3"/>
    <w:rsid w:val="005F6D11"/>
    <w:rsid w:val="005F7ECB"/>
    <w:rsid w:val="00600CF0"/>
    <w:rsid w:val="0060281E"/>
    <w:rsid w:val="006048F4"/>
    <w:rsid w:val="0060660A"/>
    <w:rsid w:val="006109B0"/>
    <w:rsid w:val="00610A24"/>
    <w:rsid w:val="00613B1D"/>
    <w:rsid w:val="0061483B"/>
    <w:rsid w:val="00617311"/>
    <w:rsid w:val="00617A44"/>
    <w:rsid w:val="006202B6"/>
    <w:rsid w:val="006205C0"/>
    <w:rsid w:val="00621824"/>
    <w:rsid w:val="00623CB2"/>
    <w:rsid w:val="00625CD0"/>
    <w:rsid w:val="0062627D"/>
    <w:rsid w:val="00627432"/>
    <w:rsid w:val="00635031"/>
    <w:rsid w:val="006417BF"/>
    <w:rsid w:val="0064192A"/>
    <w:rsid w:val="00642768"/>
    <w:rsid w:val="006448E4"/>
    <w:rsid w:val="00645414"/>
    <w:rsid w:val="00646CA7"/>
    <w:rsid w:val="0065244E"/>
    <w:rsid w:val="006534D0"/>
    <w:rsid w:val="00653606"/>
    <w:rsid w:val="006610E9"/>
    <w:rsid w:val="00661591"/>
    <w:rsid w:val="00662A78"/>
    <w:rsid w:val="00663187"/>
    <w:rsid w:val="0066632F"/>
    <w:rsid w:val="006669FF"/>
    <w:rsid w:val="00674A89"/>
    <w:rsid w:val="00674F3D"/>
    <w:rsid w:val="006813D9"/>
    <w:rsid w:val="006819F0"/>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F2C"/>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4E4"/>
    <w:rsid w:val="00727AAC"/>
    <w:rsid w:val="00735D88"/>
    <w:rsid w:val="0073720D"/>
    <w:rsid w:val="00737507"/>
    <w:rsid w:val="00740712"/>
    <w:rsid w:val="00741309"/>
    <w:rsid w:val="00742AB9"/>
    <w:rsid w:val="007506A2"/>
    <w:rsid w:val="00751A6A"/>
    <w:rsid w:val="00754AD6"/>
    <w:rsid w:val="00754FBF"/>
    <w:rsid w:val="00755FC8"/>
    <w:rsid w:val="007615AC"/>
    <w:rsid w:val="00764585"/>
    <w:rsid w:val="00767FEF"/>
    <w:rsid w:val="007709EF"/>
    <w:rsid w:val="00771429"/>
    <w:rsid w:val="00771B34"/>
    <w:rsid w:val="00783559"/>
    <w:rsid w:val="007846ED"/>
    <w:rsid w:val="007851C4"/>
    <w:rsid w:val="00785C3B"/>
    <w:rsid w:val="0078799A"/>
    <w:rsid w:val="007956A9"/>
    <w:rsid w:val="00797AA5"/>
    <w:rsid w:val="007A20A6"/>
    <w:rsid w:val="007A26BD"/>
    <w:rsid w:val="007A4105"/>
    <w:rsid w:val="007A4F0E"/>
    <w:rsid w:val="007A514C"/>
    <w:rsid w:val="007A7390"/>
    <w:rsid w:val="007B098C"/>
    <w:rsid w:val="007B0D8E"/>
    <w:rsid w:val="007B4503"/>
    <w:rsid w:val="007C03C9"/>
    <w:rsid w:val="007C16D8"/>
    <w:rsid w:val="007C406E"/>
    <w:rsid w:val="007C5183"/>
    <w:rsid w:val="007C7573"/>
    <w:rsid w:val="007D032F"/>
    <w:rsid w:val="007E14E4"/>
    <w:rsid w:val="007E233C"/>
    <w:rsid w:val="007E2B20"/>
    <w:rsid w:val="007F5331"/>
    <w:rsid w:val="007F57A5"/>
    <w:rsid w:val="00800722"/>
    <w:rsid w:val="00800CCA"/>
    <w:rsid w:val="008020F2"/>
    <w:rsid w:val="00804AE8"/>
    <w:rsid w:val="00806120"/>
    <w:rsid w:val="00810C93"/>
    <w:rsid w:val="00812028"/>
    <w:rsid w:val="00812DD8"/>
    <w:rsid w:val="00813082"/>
    <w:rsid w:val="00813527"/>
    <w:rsid w:val="00813C0B"/>
    <w:rsid w:val="00814120"/>
    <w:rsid w:val="00814D03"/>
    <w:rsid w:val="00814D62"/>
    <w:rsid w:val="00815C7E"/>
    <w:rsid w:val="00820DDA"/>
    <w:rsid w:val="00821114"/>
    <w:rsid w:val="008211EF"/>
    <w:rsid w:val="00821FC1"/>
    <w:rsid w:val="008267CC"/>
    <w:rsid w:val="0083178B"/>
    <w:rsid w:val="00833695"/>
    <w:rsid w:val="008336B7"/>
    <w:rsid w:val="00833A8E"/>
    <w:rsid w:val="0084255A"/>
    <w:rsid w:val="00842CD8"/>
    <w:rsid w:val="008431FA"/>
    <w:rsid w:val="00845030"/>
    <w:rsid w:val="008547BA"/>
    <w:rsid w:val="008553C7"/>
    <w:rsid w:val="00857FEB"/>
    <w:rsid w:val="008601AF"/>
    <w:rsid w:val="008674BF"/>
    <w:rsid w:val="00872271"/>
    <w:rsid w:val="008731F6"/>
    <w:rsid w:val="00874982"/>
    <w:rsid w:val="008762B6"/>
    <w:rsid w:val="00883137"/>
    <w:rsid w:val="00892BA5"/>
    <w:rsid w:val="008A08AC"/>
    <w:rsid w:val="008A1F5D"/>
    <w:rsid w:val="008A28F5"/>
    <w:rsid w:val="008A3203"/>
    <w:rsid w:val="008B0E6F"/>
    <w:rsid w:val="008B10E5"/>
    <w:rsid w:val="008B1198"/>
    <w:rsid w:val="008B2349"/>
    <w:rsid w:val="008B23F7"/>
    <w:rsid w:val="008B3471"/>
    <w:rsid w:val="008B3929"/>
    <w:rsid w:val="008B3BAB"/>
    <w:rsid w:val="008B4125"/>
    <w:rsid w:val="008B4CB3"/>
    <w:rsid w:val="008B567B"/>
    <w:rsid w:val="008B7327"/>
    <w:rsid w:val="008B7B24"/>
    <w:rsid w:val="008C0CAB"/>
    <w:rsid w:val="008C356D"/>
    <w:rsid w:val="008C68EB"/>
    <w:rsid w:val="008D1583"/>
    <w:rsid w:val="008D7B43"/>
    <w:rsid w:val="008E0B3F"/>
    <w:rsid w:val="008E1341"/>
    <w:rsid w:val="008E2B1F"/>
    <w:rsid w:val="008E3932"/>
    <w:rsid w:val="008E49AD"/>
    <w:rsid w:val="008E698E"/>
    <w:rsid w:val="008F123F"/>
    <w:rsid w:val="008F2584"/>
    <w:rsid w:val="008F3246"/>
    <w:rsid w:val="008F3C1B"/>
    <w:rsid w:val="008F508C"/>
    <w:rsid w:val="00901C96"/>
    <w:rsid w:val="0090271B"/>
    <w:rsid w:val="00910642"/>
    <w:rsid w:val="00910DDF"/>
    <w:rsid w:val="00920504"/>
    <w:rsid w:val="00921861"/>
    <w:rsid w:val="0092274A"/>
    <w:rsid w:val="00924639"/>
    <w:rsid w:val="0092611E"/>
    <w:rsid w:val="00926F1F"/>
    <w:rsid w:val="00926F4B"/>
    <w:rsid w:val="00930B13"/>
    <w:rsid w:val="009311C8"/>
    <w:rsid w:val="0093199F"/>
    <w:rsid w:val="00933020"/>
    <w:rsid w:val="00933376"/>
    <w:rsid w:val="00933A2F"/>
    <w:rsid w:val="00933C50"/>
    <w:rsid w:val="009350CB"/>
    <w:rsid w:val="0094000D"/>
    <w:rsid w:val="00940206"/>
    <w:rsid w:val="00941B16"/>
    <w:rsid w:val="00944000"/>
    <w:rsid w:val="00946703"/>
    <w:rsid w:val="00946A3B"/>
    <w:rsid w:val="009528B2"/>
    <w:rsid w:val="009607C4"/>
    <w:rsid w:val="009618CC"/>
    <w:rsid w:val="00962F2A"/>
    <w:rsid w:val="00963440"/>
    <w:rsid w:val="009716D8"/>
    <w:rsid w:val="009718F9"/>
    <w:rsid w:val="00971FBD"/>
    <w:rsid w:val="009724E4"/>
    <w:rsid w:val="00972FB9"/>
    <w:rsid w:val="00975112"/>
    <w:rsid w:val="009812EB"/>
    <w:rsid w:val="00981768"/>
    <w:rsid w:val="009838BB"/>
    <w:rsid w:val="00983E8F"/>
    <w:rsid w:val="00984225"/>
    <w:rsid w:val="00992338"/>
    <w:rsid w:val="00994FDA"/>
    <w:rsid w:val="00997D15"/>
    <w:rsid w:val="009A1164"/>
    <w:rsid w:val="009A31BF"/>
    <w:rsid w:val="009A3B71"/>
    <w:rsid w:val="009A5914"/>
    <w:rsid w:val="009A61BC"/>
    <w:rsid w:val="009B0138"/>
    <w:rsid w:val="009B0FE9"/>
    <w:rsid w:val="009B173A"/>
    <w:rsid w:val="009B5846"/>
    <w:rsid w:val="009B601B"/>
    <w:rsid w:val="009C3F20"/>
    <w:rsid w:val="009C64FB"/>
    <w:rsid w:val="009C7CA1"/>
    <w:rsid w:val="009D043D"/>
    <w:rsid w:val="009D313D"/>
    <w:rsid w:val="009D62D4"/>
    <w:rsid w:val="009D66BC"/>
    <w:rsid w:val="009D716F"/>
    <w:rsid w:val="009E3B07"/>
    <w:rsid w:val="009E46DE"/>
    <w:rsid w:val="009F3259"/>
    <w:rsid w:val="009F541F"/>
    <w:rsid w:val="00A056DE"/>
    <w:rsid w:val="00A0678A"/>
    <w:rsid w:val="00A12123"/>
    <w:rsid w:val="00A1289E"/>
    <w:rsid w:val="00A128AD"/>
    <w:rsid w:val="00A12A45"/>
    <w:rsid w:val="00A161A0"/>
    <w:rsid w:val="00A20730"/>
    <w:rsid w:val="00A21E76"/>
    <w:rsid w:val="00A23BC8"/>
    <w:rsid w:val="00A2531F"/>
    <w:rsid w:val="00A30E68"/>
    <w:rsid w:val="00A31933"/>
    <w:rsid w:val="00A32073"/>
    <w:rsid w:val="00A34AA0"/>
    <w:rsid w:val="00A365DE"/>
    <w:rsid w:val="00A41FE2"/>
    <w:rsid w:val="00A421A1"/>
    <w:rsid w:val="00A46085"/>
    <w:rsid w:val="00A46FEF"/>
    <w:rsid w:val="00A47948"/>
    <w:rsid w:val="00A50CF6"/>
    <w:rsid w:val="00A51C81"/>
    <w:rsid w:val="00A55B9F"/>
    <w:rsid w:val="00A56850"/>
    <w:rsid w:val="00A56946"/>
    <w:rsid w:val="00A604D3"/>
    <w:rsid w:val="00A60B58"/>
    <w:rsid w:val="00A6170E"/>
    <w:rsid w:val="00A63B8C"/>
    <w:rsid w:val="00A6728F"/>
    <w:rsid w:val="00A67AC7"/>
    <w:rsid w:val="00A70F76"/>
    <w:rsid w:val="00A715F8"/>
    <w:rsid w:val="00A73693"/>
    <w:rsid w:val="00A741BA"/>
    <w:rsid w:val="00A773CC"/>
    <w:rsid w:val="00A77F6F"/>
    <w:rsid w:val="00A831FD"/>
    <w:rsid w:val="00A83352"/>
    <w:rsid w:val="00A850A2"/>
    <w:rsid w:val="00A91FA3"/>
    <w:rsid w:val="00A927D3"/>
    <w:rsid w:val="00A9429A"/>
    <w:rsid w:val="00A97165"/>
    <w:rsid w:val="00AA70B0"/>
    <w:rsid w:val="00AA7FC9"/>
    <w:rsid w:val="00AB237D"/>
    <w:rsid w:val="00AB50E6"/>
    <w:rsid w:val="00AB5933"/>
    <w:rsid w:val="00AC0760"/>
    <w:rsid w:val="00AC7CD0"/>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4909"/>
    <w:rsid w:val="00B259C8"/>
    <w:rsid w:val="00B26CCF"/>
    <w:rsid w:val="00B30FC2"/>
    <w:rsid w:val="00B31BA0"/>
    <w:rsid w:val="00B331A2"/>
    <w:rsid w:val="00B33CF2"/>
    <w:rsid w:val="00B34792"/>
    <w:rsid w:val="00B350A2"/>
    <w:rsid w:val="00B425F0"/>
    <w:rsid w:val="00B42DFA"/>
    <w:rsid w:val="00B47A81"/>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B75B2"/>
    <w:rsid w:val="00BC0D9E"/>
    <w:rsid w:val="00BC3B53"/>
    <w:rsid w:val="00BC3B96"/>
    <w:rsid w:val="00BC4AE3"/>
    <w:rsid w:val="00BC5B28"/>
    <w:rsid w:val="00BC7264"/>
    <w:rsid w:val="00BD4BC3"/>
    <w:rsid w:val="00BE168C"/>
    <w:rsid w:val="00BE17D4"/>
    <w:rsid w:val="00BE2863"/>
    <w:rsid w:val="00BE3F88"/>
    <w:rsid w:val="00BE4756"/>
    <w:rsid w:val="00BE5ED9"/>
    <w:rsid w:val="00BE7B41"/>
    <w:rsid w:val="00BE7E8B"/>
    <w:rsid w:val="00BF4427"/>
    <w:rsid w:val="00BF46B6"/>
    <w:rsid w:val="00BF561E"/>
    <w:rsid w:val="00BF5675"/>
    <w:rsid w:val="00C10995"/>
    <w:rsid w:val="00C15A91"/>
    <w:rsid w:val="00C206F1"/>
    <w:rsid w:val="00C2159D"/>
    <w:rsid w:val="00C217E1"/>
    <w:rsid w:val="00C219B1"/>
    <w:rsid w:val="00C231E2"/>
    <w:rsid w:val="00C2703D"/>
    <w:rsid w:val="00C27B53"/>
    <w:rsid w:val="00C352B6"/>
    <w:rsid w:val="00C4015B"/>
    <w:rsid w:val="00C401C5"/>
    <w:rsid w:val="00C4044E"/>
    <w:rsid w:val="00C406C7"/>
    <w:rsid w:val="00C40C60"/>
    <w:rsid w:val="00C44487"/>
    <w:rsid w:val="00C47F04"/>
    <w:rsid w:val="00C50E87"/>
    <w:rsid w:val="00C5258E"/>
    <w:rsid w:val="00C5333A"/>
    <w:rsid w:val="00C53BD7"/>
    <w:rsid w:val="00C55923"/>
    <w:rsid w:val="00C619A7"/>
    <w:rsid w:val="00C64E34"/>
    <w:rsid w:val="00C6545E"/>
    <w:rsid w:val="00C657AA"/>
    <w:rsid w:val="00C7097A"/>
    <w:rsid w:val="00C736E8"/>
    <w:rsid w:val="00C73D5F"/>
    <w:rsid w:val="00C74EC8"/>
    <w:rsid w:val="00C965EF"/>
    <w:rsid w:val="00C97C80"/>
    <w:rsid w:val="00CA1D00"/>
    <w:rsid w:val="00CA201E"/>
    <w:rsid w:val="00CA35E4"/>
    <w:rsid w:val="00CA47D3"/>
    <w:rsid w:val="00CA6533"/>
    <w:rsid w:val="00CA6A25"/>
    <w:rsid w:val="00CA6A3F"/>
    <w:rsid w:val="00CA7C99"/>
    <w:rsid w:val="00CB3546"/>
    <w:rsid w:val="00CB4B45"/>
    <w:rsid w:val="00CC108E"/>
    <w:rsid w:val="00CC15DE"/>
    <w:rsid w:val="00CC6290"/>
    <w:rsid w:val="00CC789D"/>
    <w:rsid w:val="00CD233D"/>
    <w:rsid w:val="00CD362D"/>
    <w:rsid w:val="00CE101D"/>
    <w:rsid w:val="00CE1C84"/>
    <w:rsid w:val="00CE4E63"/>
    <w:rsid w:val="00CE5055"/>
    <w:rsid w:val="00CE6426"/>
    <w:rsid w:val="00CF053F"/>
    <w:rsid w:val="00CF1A17"/>
    <w:rsid w:val="00CF3DC7"/>
    <w:rsid w:val="00CF7A82"/>
    <w:rsid w:val="00D0140D"/>
    <w:rsid w:val="00D01C92"/>
    <w:rsid w:val="00D030AB"/>
    <w:rsid w:val="00D037A9"/>
    <w:rsid w:val="00D044CC"/>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374C3"/>
    <w:rsid w:val="00D41CE8"/>
    <w:rsid w:val="00D44B73"/>
    <w:rsid w:val="00D452B8"/>
    <w:rsid w:val="00D516BE"/>
    <w:rsid w:val="00D539B9"/>
    <w:rsid w:val="00D5423B"/>
    <w:rsid w:val="00D54F4E"/>
    <w:rsid w:val="00D604B3"/>
    <w:rsid w:val="00D60BA4"/>
    <w:rsid w:val="00D62419"/>
    <w:rsid w:val="00D62AD8"/>
    <w:rsid w:val="00D65336"/>
    <w:rsid w:val="00D66074"/>
    <w:rsid w:val="00D67632"/>
    <w:rsid w:val="00D74F66"/>
    <w:rsid w:val="00D75B3F"/>
    <w:rsid w:val="00D77870"/>
    <w:rsid w:val="00D80977"/>
    <w:rsid w:val="00D80CCE"/>
    <w:rsid w:val="00D81C4A"/>
    <w:rsid w:val="00D849AF"/>
    <w:rsid w:val="00D84EF6"/>
    <w:rsid w:val="00D86CC6"/>
    <w:rsid w:val="00D86EEA"/>
    <w:rsid w:val="00D87D03"/>
    <w:rsid w:val="00D93170"/>
    <w:rsid w:val="00D937CA"/>
    <w:rsid w:val="00D9561B"/>
    <w:rsid w:val="00D95C88"/>
    <w:rsid w:val="00D9606C"/>
    <w:rsid w:val="00D97B2E"/>
    <w:rsid w:val="00DA1BA1"/>
    <w:rsid w:val="00DA241E"/>
    <w:rsid w:val="00DA51B5"/>
    <w:rsid w:val="00DB36FE"/>
    <w:rsid w:val="00DB38E3"/>
    <w:rsid w:val="00DB533A"/>
    <w:rsid w:val="00DB6307"/>
    <w:rsid w:val="00DC18F3"/>
    <w:rsid w:val="00DC2443"/>
    <w:rsid w:val="00DC5AD7"/>
    <w:rsid w:val="00DC691C"/>
    <w:rsid w:val="00DD1DCD"/>
    <w:rsid w:val="00DD338F"/>
    <w:rsid w:val="00DD3404"/>
    <w:rsid w:val="00DD4B4F"/>
    <w:rsid w:val="00DD5CD3"/>
    <w:rsid w:val="00DD66F2"/>
    <w:rsid w:val="00DE1EB5"/>
    <w:rsid w:val="00DE3FE0"/>
    <w:rsid w:val="00DE578A"/>
    <w:rsid w:val="00DF2583"/>
    <w:rsid w:val="00DF3E62"/>
    <w:rsid w:val="00DF4D7F"/>
    <w:rsid w:val="00DF4E80"/>
    <w:rsid w:val="00DF54D9"/>
    <w:rsid w:val="00DF63F3"/>
    <w:rsid w:val="00DF7283"/>
    <w:rsid w:val="00E01A59"/>
    <w:rsid w:val="00E01E73"/>
    <w:rsid w:val="00E0622C"/>
    <w:rsid w:val="00E0675E"/>
    <w:rsid w:val="00E10DC6"/>
    <w:rsid w:val="00E11F8E"/>
    <w:rsid w:val="00E13D95"/>
    <w:rsid w:val="00E14407"/>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5F7C"/>
    <w:rsid w:val="00E876B9"/>
    <w:rsid w:val="00E91B40"/>
    <w:rsid w:val="00E91F7C"/>
    <w:rsid w:val="00E94D82"/>
    <w:rsid w:val="00E972A2"/>
    <w:rsid w:val="00EA5BA2"/>
    <w:rsid w:val="00EB0168"/>
    <w:rsid w:val="00EB73E0"/>
    <w:rsid w:val="00EC0D9F"/>
    <w:rsid w:val="00EC0DFF"/>
    <w:rsid w:val="00EC237D"/>
    <w:rsid w:val="00EC25AB"/>
    <w:rsid w:val="00EC25B9"/>
    <w:rsid w:val="00EC2927"/>
    <w:rsid w:val="00EC4D0E"/>
    <w:rsid w:val="00EC4E2B"/>
    <w:rsid w:val="00EC5947"/>
    <w:rsid w:val="00ED072A"/>
    <w:rsid w:val="00ED2F32"/>
    <w:rsid w:val="00ED539E"/>
    <w:rsid w:val="00ED576F"/>
    <w:rsid w:val="00ED5E4D"/>
    <w:rsid w:val="00EE1033"/>
    <w:rsid w:val="00EE4A1F"/>
    <w:rsid w:val="00EE4BC5"/>
    <w:rsid w:val="00EE4C2D"/>
    <w:rsid w:val="00EF0CCB"/>
    <w:rsid w:val="00EF1B5A"/>
    <w:rsid w:val="00EF24FB"/>
    <w:rsid w:val="00EF2CCA"/>
    <w:rsid w:val="00EF4D48"/>
    <w:rsid w:val="00EF60DC"/>
    <w:rsid w:val="00F00A7A"/>
    <w:rsid w:val="00F00CCE"/>
    <w:rsid w:val="00F00F54"/>
    <w:rsid w:val="00F01557"/>
    <w:rsid w:val="00F03963"/>
    <w:rsid w:val="00F05507"/>
    <w:rsid w:val="00F06446"/>
    <w:rsid w:val="00F0733A"/>
    <w:rsid w:val="00F07592"/>
    <w:rsid w:val="00F11068"/>
    <w:rsid w:val="00F115FD"/>
    <w:rsid w:val="00F1256D"/>
    <w:rsid w:val="00F13A4E"/>
    <w:rsid w:val="00F1454F"/>
    <w:rsid w:val="00F172BB"/>
    <w:rsid w:val="00F17B10"/>
    <w:rsid w:val="00F17BFE"/>
    <w:rsid w:val="00F20147"/>
    <w:rsid w:val="00F21979"/>
    <w:rsid w:val="00F21BEF"/>
    <w:rsid w:val="00F2315B"/>
    <w:rsid w:val="00F31111"/>
    <w:rsid w:val="00F406DF"/>
    <w:rsid w:val="00F40F11"/>
    <w:rsid w:val="00F41A6F"/>
    <w:rsid w:val="00F44F8A"/>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F52"/>
    <w:rsid w:val="00F75603"/>
    <w:rsid w:val="00F77BE5"/>
    <w:rsid w:val="00F845B4"/>
    <w:rsid w:val="00F84FCE"/>
    <w:rsid w:val="00F8713B"/>
    <w:rsid w:val="00F904FB"/>
    <w:rsid w:val="00F93F9E"/>
    <w:rsid w:val="00F950BC"/>
    <w:rsid w:val="00FA17BF"/>
    <w:rsid w:val="00FA2CD7"/>
    <w:rsid w:val="00FA5AD5"/>
    <w:rsid w:val="00FA7882"/>
    <w:rsid w:val="00FB06ED"/>
    <w:rsid w:val="00FB47C8"/>
    <w:rsid w:val="00FB6C6B"/>
    <w:rsid w:val="00FC08A4"/>
    <w:rsid w:val="00FC202F"/>
    <w:rsid w:val="00FC3165"/>
    <w:rsid w:val="00FC36AB"/>
    <w:rsid w:val="00FC4300"/>
    <w:rsid w:val="00FC7F66"/>
    <w:rsid w:val="00FD30C1"/>
    <w:rsid w:val="00FD5776"/>
    <w:rsid w:val="00FD6A55"/>
    <w:rsid w:val="00FD6CF9"/>
    <w:rsid w:val="00FE0EB1"/>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24BBEF"/>
  <w15:docId w15:val="{EACCA76B-DA02-4655-BDB2-3D47B11B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231EAF"/>
    <w:rPr>
      <w:sz w:val="16"/>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0D11B0"/>
    <w:pPr>
      <w:ind w:left="720"/>
      <w:contextualSpacing/>
    </w:pPr>
  </w:style>
  <w:style w:type="character" w:styleId="Voetnootmarkering">
    <w:name w:val="footnote reference"/>
    <w:basedOn w:val="Standaardalinea-lettertype"/>
    <w:rsid w:val="00901C96"/>
    <w:rPr>
      <w:vertAlign w:val="superscript"/>
    </w:rPr>
  </w:style>
  <w:style w:type="character" w:styleId="Verwijzingopmerking">
    <w:name w:val="annotation reference"/>
    <w:basedOn w:val="Standaardalinea-lettertype"/>
    <w:rsid w:val="005368E0"/>
    <w:rPr>
      <w:sz w:val="16"/>
      <w:szCs w:val="16"/>
    </w:rPr>
  </w:style>
  <w:style w:type="paragraph" w:styleId="Tekstopmerking">
    <w:name w:val="annotation text"/>
    <w:basedOn w:val="Standaard"/>
    <w:link w:val="TekstopmerkingChar"/>
    <w:rsid w:val="005368E0"/>
    <w:pPr>
      <w:spacing w:line="240" w:lineRule="auto"/>
    </w:pPr>
    <w:rPr>
      <w:sz w:val="20"/>
      <w:szCs w:val="20"/>
    </w:rPr>
  </w:style>
  <w:style w:type="character" w:customStyle="1" w:styleId="TekstopmerkingChar">
    <w:name w:val="Tekst opmerking Char"/>
    <w:basedOn w:val="Standaardalinea-lettertype"/>
    <w:link w:val="Tekstopmerking"/>
    <w:rsid w:val="005368E0"/>
    <w:rPr>
      <w:rFonts w:ascii="Verdana" w:hAnsi="Verdana"/>
      <w:lang w:val="nl-NL" w:eastAsia="nl-NL"/>
    </w:rPr>
  </w:style>
  <w:style w:type="paragraph" w:styleId="Onderwerpvanopmerking">
    <w:name w:val="annotation subject"/>
    <w:basedOn w:val="Tekstopmerking"/>
    <w:next w:val="Tekstopmerking"/>
    <w:link w:val="OnderwerpvanopmerkingChar"/>
    <w:rsid w:val="005368E0"/>
    <w:rPr>
      <w:b/>
      <w:bCs/>
    </w:rPr>
  </w:style>
  <w:style w:type="character" w:customStyle="1" w:styleId="OnderwerpvanopmerkingChar">
    <w:name w:val="Onderwerp van opmerking Char"/>
    <w:basedOn w:val="TekstopmerkingChar"/>
    <w:link w:val="Onderwerpvanopmerking"/>
    <w:rsid w:val="005368E0"/>
    <w:rPr>
      <w:rFonts w:ascii="Verdana" w:hAnsi="Verdana"/>
      <w:b/>
      <w:bCs/>
      <w:lang w:val="nl-NL" w:eastAsia="nl-NL"/>
    </w:rPr>
  </w:style>
  <w:style w:type="paragraph" w:styleId="Revisie">
    <w:name w:val="Revision"/>
    <w:hidden/>
    <w:uiPriority w:val="99"/>
    <w:semiHidden/>
    <w:rsid w:val="00B34792"/>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6109B0"/>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onderwerpen/onderwijs/instructietaal-universitaire-opleidi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2163</ap:Words>
  <ap:Characters>12084</ap:Characters>
  <ap:DocSecurity>4</ap:DocSecurity>
  <ap:Lines>100</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2025-02-07T14:45:00.0000000Z</dcterms:created>
  <dcterms:modified xsi:type="dcterms:W3CDTF">2025-02-07T14:45:00.0000000Z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O237HER</vt:lpwstr>
  </property>
  <property fmtid="{D5CDD505-2E9C-101B-9397-08002B2CF9AE}" pid="3" name="Author">
    <vt:lpwstr>O237HER</vt:lpwstr>
  </property>
  <property fmtid="{D5CDD505-2E9C-101B-9397-08002B2CF9AE}" pid="4" name="cs_objectid">
    <vt:lpwstr>50464369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Nota van wijziging Wet internationalisering in balans: verankering positie regio</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O237HER</vt:lpwstr>
  </property>
</Properties>
</file>